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22"/>
        </w:rPr>
        <w:id w:val="673003491"/>
        <w:docPartObj>
          <w:docPartGallery w:val="Cover Pages"/>
          <w:docPartUnique/>
        </w:docPartObj>
      </w:sdtPr>
      <w:sdtContent>
        <w:p w14:paraId="5FD234DE" w14:textId="77777777" w:rsidR="00CB4923" w:rsidRDefault="00CB4923" w:rsidP="005713FD">
          <w:pPr>
            <w:pStyle w:val="BodyText"/>
          </w:pPr>
          <w:r>
            <w:rPr>
              <w:noProof/>
            </w:rPr>
            <mc:AlternateContent>
              <mc:Choice Requires="wps">
                <w:drawing>
                  <wp:anchor distT="0" distB="0" distL="114300" distR="114300" simplePos="0" relativeHeight="251658245" behindDoc="0" locked="1" layoutInCell="1" allowOverlap="1" wp14:anchorId="4A3BB175" wp14:editId="6F13B376">
                    <wp:simplePos x="0" y="0"/>
                    <wp:positionH relativeFrom="page">
                      <wp:posOffset>5082540</wp:posOffset>
                    </wp:positionH>
                    <wp:positionV relativeFrom="page">
                      <wp:posOffset>950595</wp:posOffset>
                    </wp:positionV>
                    <wp:extent cx="1745615" cy="409575"/>
                    <wp:effectExtent l="0" t="0" r="1270" b="1905"/>
                    <wp:wrapSquare wrapText="bothSides"/>
                    <wp:docPr id="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1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0F6F488" w14:textId="77777777" w:rsidR="00CB4923" w:rsidRPr="00883E43" w:rsidRDefault="00CB4923" w:rsidP="00214263">
                                <w:pPr>
                                  <w:pStyle w:val="BodyText"/>
                                  <w:spacing w:before="0" w:after="0" w:line="240" w:lineRule="auto"/>
                                  <w:jc w:val="right"/>
                                  <w:rPr>
                                    <w:b/>
                                    <w:noProof/>
                                    <w:color w:val="757579" w:themeColor="accent3"/>
                                  </w:rPr>
                                </w:pPr>
                                <w:r w:rsidRPr="00883E43">
                                  <w:rPr>
                                    <w:noProof/>
                                    <w:color w:val="757579" w:themeColor="accent3"/>
                                  </w:rPr>
                                  <w:t>Australia’s National</w:t>
                                </w:r>
                                <w:r w:rsidRPr="00883E43">
                                  <w:rPr>
                                    <w:noProof/>
                                    <w:color w:val="757579" w:themeColor="accent3"/>
                                  </w:rPr>
                                  <w:br/>
                                  <w:t>Science Agency</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3BB175" id="_x0000_t202" coordsize="21600,21600" o:spt="202" path="m,l,21600r21600,l21600,xe">
                    <v:stroke joinstyle="miter"/>
                    <v:path gradientshapeok="t" o:connecttype="rect"/>
                  </v:shapetype>
                  <v:shape id="Text Box 6" o:spid="_x0000_s1026" type="#_x0000_t202" style="position:absolute;margin-left:400.2pt;margin-top:74.85pt;width:137.45pt;height:32.2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" filled="f" stroked="f" strokeweight=".5pt">
                    <v:textbox inset="0,0,0,0">
                      <w:txbxContent>
                        <w:p w14:paraId="60F6F488" w14:textId="77777777" w:rsidR="00CB4923" w:rsidRPr="00883E43" w:rsidRDefault="00CB4923" w:rsidP="00214263">
                          <w:pPr>
                            <w:pStyle w:val="BodyText"/>
                            <w:spacing w:before="0" w:after="0" w:line="240" w:lineRule="auto"/>
                            <w:jc w:val="right"/>
                            <w:rPr>
                              <w:b/>
                              <w:noProof/>
                              <w:color w:val="757579" w:themeColor="accent3"/>
                            </w:rPr>
                          </w:pPr>
                          <w:r w:rsidRPr="00883E43">
                            <w:rPr>
                              <w:noProof/>
                              <w:color w:val="757579" w:themeColor="accent3"/>
                            </w:rPr>
                            <w:t>Australia’s National</w:t>
                          </w:r>
                          <w:r w:rsidRPr="00883E43">
                            <w:rPr>
                              <w:noProof/>
                              <w:color w:val="757579" w:themeColor="accent3"/>
                            </w:rPr>
                            <w:br/>
                            <w:t>Science Agency</w:t>
                          </w:r>
                        </w:p>
                      </w:txbxContent>
                    </v:textbox>
                    <w10:wrap type="square" anchorx="page" anchory="page"/>
                    <w10:anchorlock/>
                  </v:shape>
                </w:pict>
              </mc:Fallback>
            </mc:AlternateContent>
          </w:r>
          <w:r>
            <w:rPr>
              <w:noProof/>
            </w:rPr>
            <w:drawing>
              <wp:anchor distT="0" distB="180340" distL="114300" distR="360045" simplePos="0" relativeHeight="251658244" behindDoc="1" locked="1" layoutInCell="1" allowOverlap="1" wp14:anchorId="61D8AD87" wp14:editId="5085F107">
                <wp:simplePos x="0" y="0"/>
                <wp:positionH relativeFrom="page">
                  <wp:posOffset>723900</wp:posOffset>
                </wp:positionH>
                <wp:positionV relativeFrom="page">
                  <wp:posOffset>725805</wp:posOffset>
                </wp:positionV>
                <wp:extent cx="791362" cy="792000"/>
                <wp:effectExtent l="0" t="0" r="8890" b="8255"/>
                <wp:wrapTopAndBottom/>
                <wp:docPr id="77" name="Picture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1"/>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p w14:paraId="2955B945" w14:textId="0E3AAC57" w:rsidR="00C773F8" w:rsidRDefault="00C773F8" w:rsidP="00214263">
          <w:pPr>
            <w:pStyle w:val="CoverTitle"/>
            <w:rPr>
              <w:b/>
              <w:bCs/>
              <w:sz w:val="56"/>
              <w:szCs w:val="36"/>
            </w:rPr>
          </w:pPr>
          <w:r>
            <w:rPr>
              <w:b/>
              <w:bCs/>
              <w:sz w:val="56"/>
              <w:szCs w:val="36"/>
            </w:rPr>
            <w:t xml:space="preserve">AR-PST Stage 5 </w:t>
          </w:r>
        </w:p>
        <w:p w14:paraId="1E4308C9" w14:textId="7005CB50" w:rsidR="00CB4923" w:rsidRPr="00C773F8" w:rsidRDefault="00235C5D" w:rsidP="00214263">
          <w:pPr>
            <w:pStyle w:val="CoverTitle"/>
            <w:rPr>
              <w:b/>
              <w:bCs/>
            </w:rPr>
          </w:pPr>
          <w:r w:rsidRPr="00C773F8">
            <w:rPr>
              <w:b/>
              <w:bCs/>
              <w:sz w:val="56"/>
              <w:szCs w:val="36"/>
            </w:rPr>
            <w:t>Securing DER Stability via Trusted Sovereign Monitor (TSM</w:t>
          </w:r>
          <w:r w:rsidRPr="00C773F8">
            <w:rPr>
              <w:b/>
              <w:bCs/>
            </w:rPr>
            <w:t>)</w:t>
          </w:r>
        </w:p>
        <w:p w14:paraId="0CB4BC39" w14:textId="56634444" w:rsidR="00CB4923" w:rsidRDefault="00CB4923" w:rsidP="00214263">
          <w:pPr>
            <w:pStyle w:val="BodyText"/>
          </w:pPr>
        </w:p>
        <w:p w14:paraId="67D8B233" w14:textId="1513EFB0" w:rsidR="00CB4923" w:rsidRDefault="00CE26B3" w:rsidP="005713FD">
          <w:pPr>
            <w:pStyle w:val="BodyText"/>
            <w:framePr w:w="9809" w:h="1701" w:hRule="exact" w:wrap="notBeside" w:hAnchor="margin" w:yAlign="bottom" w:anchorLock="1"/>
            <w:jc w:val="center"/>
          </w:pPr>
          <w:r>
            <w:rPr>
              <w:noProof/>
            </w:rPr>
            <w:drawing>
              <wp:inline distT="0" distB="0" distL="0" distR="0" wp14:anchorId="38DEDD1F" wp14:editId="365DBD74">
                <wp:extent cx="1447800" cy="1121084"/>
                <wp:effectExtent l="0" t="0" r="0" b="0"/>
                <wp:docPr id="35506133" name="Picture 1" descr="A blue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032153" name="Picture 1" descr="A blue circle with white text&#10;&#10;AI-generated content may be incorrect."/>
                        <pic:cNvPicPr>
                          <a:picLocks noChangeAspect="1" noChangeArrowheads="1"/>
                        </pic:cNvPicPr>
                      </pic:nvPicPr>
                      <pic:blipFill rotWithShape="1">
                        <a:blip r:embed="rId12">
                          <a:extLst>
                            <a:ext uri="{28A0092B-C50C-407E-A947-70E740481C1C}">
                              <a14:useLocalDpi xmlns:a14="http://schemas.microsoft.com/office/drawing/2010/main" val="0"/>
                            </a:ext>
                          </a:extLst>
                        </a:blip>
                        <a:srcRect r="64621"/>
                        <a:stretch>
                          <a:fillRect/>
                        </a:stretch>
                      </pic:blipFill>
                      <pic:spPr bwMode="auto">
                        <a:xfrm>
                          <a:off x="0" y="0"/>
                          <a:ext cx="1462715" cy="1132633"/>
                        </a:xfrm>
                        <a:prstGeom prst="rect">
                          <a:avLst/>
                        </a:prstGeom>
                        <a:noFill/>
                        <a:ln>
                          <a:noFill/>
                        </a:ln>
                        <a:extLst>
                          <a:ext uri="{53640926-AAD7-44D8-BBD7-CCE9431645EC}">
                            <a14:shadowObscured xmlns:a14="http://schemas.microsoft.com/office/drawing/2010/main"/>
                          </a:ext>
                        </a:extLst>
                      </pic:spPr>
                    </pic:pic>
                  </a:graphicData>
                </a:graphic>
              </wp:inline>
            </w:drawing>
          </w:r>
        </w:p>
        <w:p w14:paraId="7F39340D" w14:textId="03D414E6" w:rsidR="00CB4923" w:rsidRDefault="00CB4923" w:rsidP="00AF785F">
          <w:pPr>
            <w:pStyle w:val="BodyText"/>
            <w:framePr w:w="9809" w:h="1701" w:hRule="exact" w:wrap="notBeside" w:hAnchor="margin" w:yAlign="bottom" w:anchorLock="1"/>
            <w:jc w:val="center"/>
          </w:pPr>
        </w:p>
        <w:p w14:paraId="138D2BC6" w14:textId="72DBA2F4" w:rsidR="00CB4923" w:rsidRDefault="00CB4923">
          <w:pPr>
            <w:spacing w:after="0"/>
            <w:rPr>
              <w:sz w:val="24"/>
            </w:rPr>
          </w:pPr>
          <w:r w:rsidRPr="004F3C06">
            <w:rPr>
              <w:noProof/>
            </w:rPr>
            <mc:AlternateContent>
              <mc:Choice Requires="wps">
                <w:drawing>
                  <wp:anchor distT="0" distB="0" distL="114300" distR="114300" simplePos="0" relativeHeight="251658246" behindDoc="1" locked="1" layoutInCell="1" allowOverlap="1" wp14:anchorId="3E6E9988" wp14:editId="6F075A82">
                    <wp:simplePos x="0" y="0"/>
                    <wp:positionH relativeFrom="page">
                      <wp:posOffset>0</wp:posOffset>
                    </wp:positionH>
                    <wp:positionV relativeFrom="page">
                      <wp:posOffset>5325110</wp:posOffset>
                    </wp:positionV>
                    <wp:extent cx="7560000" cy="0"/>
                    <wp:effectExtent l="0" t="19050" r="22225" b="19050"/>
                    <wp:wrapNone/>
                    <wp:docPr id="108" name="Straight Connector 1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44CD9F" id="Straight Connector 108" o:spid="_x0000_s1026" alt="&quot;&quot;" style="position:absolute;z-index:-25165823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419.3pt" to="595.3pt,4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" strokecolor="#00a0c3 [3044]" strokeweight="3pt">
                    <w10:wrap anchorx="page" anchory="page"/>
                    <w10:anchorlock/>
                  </v:line>
                </w:pict>
              </mc:Fallback>
            </mc:AlternateContent>
          </w:r>
          <w:r w:rsidRPr="004F3C06">
            <w:rPr>
              <w:noProof/>
            </w:rPr>
            <mc:AlternateContent>
              <mc:Choice Requires="wpg">
                <w:drawing>
                  <wp:anchor distT="0" distB="0" distL="720090" distR="114300" simplePos="0" relativeHeight="251658243" behindDoc="1" locked="1" layoutInCell="1" allowOverlap="1" wp14:anchorId="3673E10B" wp14:editId="168D3D96">
                    <wp:simplePos x="0" y="0"/>
                    <wp:positionH relativeFrom="page">
                      <wp:posOffset>4770755</wp:posOffset>
                    </wp:positionH>
                    <wp:positionV relativeFrom="page">
                      <wp:posOffset>2570480</wp:posOffset>
                    </wp:positionV>
                    <wp:extent cx="5551200" cy="5544000"/>
                    <wp:effectExtent l="19050" t="19050" r="11430" b="19050"/>
                    <wp:wrapTight wrapText="bothSides">
                      <wp:wrapPolygon edited="0">
                        <wp:start x="9562" y="-74"/>
                        <wp:lineTo x="8524" y="-74"/>
                        <wp:lineTo x="5559" y="816"/>
                        <wp:lineTo x="5559" y="1113"/>
                        <wp:lineTo x="3780" y="2153"/>
                        <wp:lineTo x="2520" y="3340"/>
                        <wp:lineTo x="1631" y="4528"/>
                        <wp:lineTo x="667" y="6235"/>
                        <wp:lineTo x="74" y="8016"/>
                        <wp:lineTo x="-74" y="9427"/>
                        <wp:lineTo x="-74" y="12693"/>
                        <wp:lineTo x="296" y="14177"/>
                        <wp:lineTo x="741" y="15365"/>
                        <wp:lineTo x="1334" y="16553"/>
                        <wp:lineTo x="2150" y="17740"/>
                        <wp:lineTo x="3336" y="18928"/>
                        <wp:lineTo x="5040" y="20190"/>
                        <wp:lineTo x="7635" y="21303"/>
                        <wp:lineTo x="7857" y="21303"/>
                        <wp:lineTo x="9340" y="21600"/>
                        <wp:lineTo x="9414" y="21600"/>
                        <wp:lineTo x="12156" y="21600"/>
                        <wp:lineTo x="12231" y="21600"/>
                        <wp:lineTo x="13713" y="21303"/>
                        <wp:lineTo x="13787" y="21303"/>
                        <wp:lineTo x="16456" y="20115"/>
                        <wp:lineTo x="16530" y="20115"/>
                        <wp:lineTo x="18161" y="18928"/>
                        <wp:lineTo x="19347" y="17740"/>
                        <wp:lineTo x="20162" y="16553"/>
                        <wp:lineTo x="20755" y="15365"/>
                        <wp:lineTo x="21570" y="12990"/>
                        <wp:lineTo x="21570" y="9427"/>
                        <wp:lineTo x="21422" y="8313"/>
                        <wp:lineTo x="21422" y="8239"/>
                        <wp:lineTo x="21126" y="7052"/>
                        <wp:lineTo x="20607" y="5864"/>
                        <wp:lineTo x="19940" y="4676"/>
                        <wp:lineTo x="18976" y="3489"/>
                        <wp:lineTo x="17716" y="2227"/>
                        <wp:lineTo x="16307" y="1262"/>
                        <wp:lineTo x="15937" y="1113"/>
                        <wp:lineTo x="15937" y="816"/>
                        <wp:lineTo x="12898" y="-74"/>
                        <wp:lineTo x="11934" y="-74"/>
                        <wp:lineTo x="9562" y="-74"/>
                      </wp:wrapPolygon>
                    </wp:wrapTight>
                    <wp:docPr id="109" name="Group 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551200" cy="5544000"/>
                              <a:chOff x="0" y="0"/>
                              <a:chExt cx="5410200" cy="5403215"/>
                            </a:xfrm>
                          </wpg:grpSpPr>
                          <wps:wsp>
                            <wps:cNvPr id="110" name="Oval 110"/>
                            <wps:cNvSpPr>
                              <a:spLocks noChangeAspect="1"/>
                            </wps:cNvSpPr>
                            <wps:spPr>
                              <a:xfrm>
                                <a:off x="0" y="0"/>
                                <a:ext cx="5410200" cy="5403215"/>
                              </a:xfrm>
                              <a:prstGeom prst="ellipse">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Pie 53"/>
                            <wps:cNvSpPr>
                              <a:spLocks noChangeAspect="1"/>
                            </wps:cNvSpPr>
                            <wps:spPr>
                              <a:xfrm rot="16200000">
                                <a:off x="1355834" y="1340070"/>
                                <a:ext cx="2704465" cy="5403215"/>
                              </a:xfrm>
                              <a:custGeom>
                                <a:avLst/>
                                <a:gdLst>
                                  <a:gd name="connsiteX0" fmla="*/ 5153594 w 5153594"/>
                                  <a:gd name="connsiteY0" fmla="*/ 2576797 h 5153594"/>
                                  <a:gd name="connsiteX1" fmla="*/ 2576797 w 5153594"/>
                                  <a:gd name="connsiteY1" fmla="*/ 5153594 h 5153594"/>
                                  <a:gd name="connsiteX2" fmla="*/ 0 w 5153594"/>
                                  <a:gd name="connsiteY2" fmla="*/ 2576797 h 5153594"/>
                                  <a:gd name="connsiteX3" fmla="*/ 2576797 w 5153594"/>
                                  <a:gd name="connsiteY3" fmla="*/ 0 h 5153594"/>
                                  <a:gd name="connsiteX4" fmla="*/ 2576797 w 5153594"/>
                                  <a:gd name="connsiteY4" fmla="*/ 2576797 h 5153594"/>
                                  <a:gd name="connsiteX5" fmla="*/ 5153594 w 5153594"/>
                                  <a:gd name="connsiteY5" fmla="*/ 2576797 h 5153594"/>
                                  <a:gd name="connsiteX0" fmla="*/ 2576797 w 2576797"/>
                                  <a:gd name="connsiteY0" fmla="*/ 2576797 h 5153594"/>
                                  <a:gd name="connsiteX1" fmla="*/ 2576797 w 2576797"/>
                                  <a:gd name="connsiteY1" fmla="*/ 5153594 h 5153594"/>
                                  <a:gd name="connsiteX2" fmla="*/ 0 w 2576797"/>
                                  <a:gd name="connsiteY2" fmla="*/ 2576797 h 5153594"/>
                                  <a:gd name="connsiteX3" fmla="*/ 2576797 w 2576797"/>
                                  <a:gd name="connsiteY3" fmla="*/ 0 h 5153594"/>
                                  <a:gd name="connsiteX4" fmla="*/ 2576797 w 2576797"/>
                                  <a:gd name="connsiteY4" fmla="*/ 2576797 h 51535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576797" h="5153594">
                                    <a:moveTo>
                                      <a:pt x="2576797" y="2576797"/>
                                    </a:moveTo>
                                    <a:lnTo>
                                      <a:pt x="2576797" y="5153594"/>
                                    </a:lnTo>
                                    <a:cubicBezTo>
                                      <a:pt x="1153671" y="5153594"/>
                                      <a:pt x="0" y="3999923"/>
                                      <a:pt x="0" y="2576797"/>
                                    </a:cubicBezTo>
                                    <a:cubicBezTo>
                                      <a:pt x="0" y="1153671"/>
                                      <a:pt x="1153671" y="0"/>
                                      <a:pt x="2576797" y="0"/>
                                    </a:cubicBezTo>
                                    <a:lnTo>
                                      <a:pt x="2576797" y="2576797"/>
                                    </a:lnTo>
                                    <a:close/>
                                  </a:path>
                                </a:pathLst>
                              </a:custGeom>
                              <a:solidFill>
                                <a:schemeClr val="accent1"/>
                              </a:solid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8B4530" id="Group 109" o:spid="_x0000_s1026" alt="&quot;&quot;" style="position:absolute;margin-left:375.65pt;margin-top:202.4pt;width:437.1pt;height:436.55pt;z-index:-251658237;mso-wrap-distance-left:56.7pt;mso-position-horizontal-relative:page;mso-position-vertical-relative:page;mso-width-relative:margin;mso-height-relative:margin" coordsize="54102,5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">
                    <o:lock v:ext="edit" aspectratio="t"/>
                    <v:oval id="Oval 110" o:spid="_x0000_s1027" style="position:absolute;width:54102;height:54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" filled="f" strokecolor="#00a9ce [3204]" strokeweight="3pt">
                      <v:path arrowok="t"/>
                      <o:lock v:ext="edit" aspectratio="t"/>
                    </v:oval>
                    <v:shape id="Pie 53" o:spid="_x0000_s1028" style="position:absolute;left:13557;top:13401;width:27045;height:54032;rotation:-90;visibility:visible;mso-wrap-style:square;v-text-anchor:middle" coordsize="2576797,515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" path="m2576797,2576797r,2576797c1153671,5153594,,3999923,,2576797,,1153671,1153671,,2576797,r,2576797xe" fillcolor="#00a9ce [3204]" strokecolor="#00a9ce [3204]" strokeweight="3pt">
                      <v:path arrowok="t" o:connecttype="custom" o:connectlocs="2704465,2701608;2704465,5403215;0,2701608;2704465,0;2704465,2701608" o:connectangles="0,0,0,0,0"/>
                      <o:lock v:ext="edit" aspectratio="t"/>
                    </v:shape>
                    <w10:wrap type="tight" anchorx="page" anchory="page"/>
                    <w10:anchorlock/>
                  </v:group>
                </w:pict>
              </mc:Fallback>
            </mc:AlternateContent>
          </w:r>
          <w:r>
            <w:br w:type="page"/>
          </w:r>
        </w:p>
      </w:sdtContent>
    </w:sdt>
    <w:p w14:paraId="29D514D0" w14:textId="77777777" w:rsidR="00A943B2" w:rsidRPr="00590FC9" w:rsidRDefault="00A943B2" w:rsidP="00590FC9">
      <w:pPr>
        <w:pStyle w:val="BodyText"/>
      </w:pPr>
      <w:r w:rsidRPr="005A6C20">
        <w:lastRenderedPageBreak/>
        <w:t>[Insert ISBN or ISSN</w:t>
      </w:r>
      <w:r>
        <w:t xml:space="preserve"> and </w:t>
      </w:r>
      <w:r w:rsidR="00277610">
        <w:t>c</w:t>
      </w:r>
      <w:r>
        <w:t xml:space="preserve">ataloguing-in-publication </w:t>
      </w:r>
      <w:r w:rsidRPr="005A6C20">
        <w:t>(C</w:t>
      </w:r>
      <w:r>
        <w:t>iP</w:t>
      </w:r>
      <w:r w:rsidRPr="005A6C20">
        <w:t>) information if required]</w:t>
      </w:r>
    </w:p>
    <w:p w14:paraId="6E8C26C8" w14:textId="77777777" w:rsidR="00A943B2" w:rsidRDefault="00D578AD" w:rsidP="00DC2413">
      <w:pPr>
        <w:pStyle w:val="BodyText"/>
      </w:pPr>
      <w:r>
        <w:t xml:space="preserve">[Insert </w:t>
      </w:r>
      <w:r w:rsidR="006F65B7">
        <w:t>Research/Enterprise</w:t>
      </w:r>
      <w:r>
        <w:t xml:space="preserve"> Unit</w:t>
      </w:r>
      <w:r w:rsidR="00A943B2">
        <w:t xml:space="preserve"> specific information if required]</w:t>
      </w:r>
    </w:p>
    <w:p w14:paraId="11B8C1D7" w14:textId="77777777" w:rsidR="00A943B2" w:rsidRPr="00D1044D" w:rsidRDefault="00A943B2" w:rsidP="00D1044D">
      <w:pPr>
        <w:pStyle w:val="VersoPageHeading"/>
      </w:pPr>
      <w:r w:rsidRPr="00D1044D">
        <w:t>Citation</w:t>
      </w:r>
    </w:p>
    <w:p w14:paraId="77F12041" w14:textId="77777777" w:rsidR="00A943B2" w:rsidRPr="00F444B7" w:rsidRDefault="00A943B2" w:rsidP="00DC2413">
      <w:pPr>
        <w:pStyle w:val="BodyText"/>
      </w:pPr>
      <w:r>
        <w:t xml:space="preserve">Smith BA, Jones KJ and </w:t>
      </w:r>
      <w:r w:rsidR="002B2A12">
        <w:t>White</w:t>
      </w:r>
      <w:r>
        <w:t xml:space="preserve"> SM (20</w:t>
      </w:r>
      <w:r w:rsidR="004D1FAA">
        <w:t>2</w:t>
      </w:r>
      <w:r w:rsidR="001375BE">
        <w:t>5</w:t>
      </w:r>
      <w:r>
        <w:t xml:space="preserve">) The CSIRO report template. CSIRO, </w:t>
      </w:r>
      <w:smartTag w:uri="urn:schemas-microsoft-com:office:smarttags" w:element="country-region">
        <w:smartTag w:uri="urn:schemas-microsoft-com:office:smarttags" w:element="place">
          <w:r>
            <w:t>Australia</w:t>
          </w:r>
        </w:smartTag>
      </w:smartTag>
      <w:r>
        <w:t>.</w:t>
      </w:r>
      <w:r w:rsidRPr="00E825CA">
        <w:t xml:space="preserve"> </w:t>
      </w:r>
      <w:r>
        <w:t>[Insert correct details]</w:t>
      </w:r>
    </w:p>
    <w:p w14:paraId="786F64EE" w14:textId="77777777" w:rsidR="00A943B2" w:rsidRDefault="00A943B2" w:rsidP="00D1044D">
      <w:pPr>
        <w:pStyle w:val="VersoPageHeading"/>
      </w:pPr>
      <w:r>
        <w:t xml:space="preserve">Copyright </w:t>
      </w:r>
    </w:p>
    <w:p w14:paraId="64800076" w14:textId="77777777" w:rsidR="00A943B2" w:rsidRDefault="004D7860" w:rsidP="00DC2413">
      <w:pPr>
        <w:pStyle w:val="BodyText"/>
      </w:pPr>
      <w:r w:rsidRPr="004D7860">
        <w:t>© Commonwealth Scientific and Industrial Research Organisation 20XX</w:t>
      </w:r>
      <w:r>
        <w:t xml:space="preserve">. </w:t>
      </w:r>
      <w:r w:rsidR="00A943B2">
        <w:t>To the extent permitted by law, all rights are reserved and no part of this publication covered by copyright may be reproduced or copied in any form or by any means except with the written permission of CSIRO.</w:t>
      </w:r>
    </w:p>
    <w:p w14:paraId="1D9E8E67" w14:textId="77777777" w:rsidR="00A943B2" w:rsidRDefault="00A943B2" w:rsidP="00D1044D">
      <w:pPr>
        <w:pStyle w:val="VersoPageHeading"/>
      </w:pPr>
      <w:r>
        <w:t>Important disclaimer</w:t>
      </w:r>
    </w:p>
    <w:p w14:paraId="66C9CF98" w14:textId="77777777" w:rsidR="00A943B2" w:rsidRDefault="00A943B2" w:rsidP="00DC2413">
      <w:pPr>
        <w:pStyle w:val="BodyText"/>
      </w:pPr>
      <w:r>
        <w:t>CSIRO advises that the information contained in this publication comprises general statements based on scientific research. The reader is advised and needs to be aware that such information may be incomplete or unable to be used in any specific situation. No reliance or actions must therefore be made on that information without seeking prior expert professional, scientific and technical advice. To the extent permitted by law, CSIRO (including its employees and consultants) excludes all liability to any person for any consequences, including but not limited to all losses, damages, costs, expenses and any other compensation, arising directly or indirectly from using this publication (in part or in whole) and any information or material contained in it.</w:t>
      </w:r>
    </w:p>
    <w:p w14:paraId="672DF3AD" w14:textId="77777777" w:rsidR="00590FC9" w:rsidRDefault="004D1FAA" w:rsidP="00590FC9">
      <w:pPr>
        <w:pStyle w:val="BodyText"/>
      </w:pPr>
      <w:bookmarkStart w:id="0" w:name="_Hlk85218697"/>
      <w:r>
        <w:t>CSIRO i</w:t>
      </w:r>
      <w:r w:rsidRPr="002F6753">
        <w:t>s committed to providing web accessible content wherever possible. If you are having difficulties with accessing this document please contact</w:t>
      </w:r>
      <w:r>
        <w:t xml:space="preserve"> </w:t>
      </w:r>
      <w:hyperlink r:id="rId13" w:tooltip="Contact CSIRO" w:history="1">
        <w:r>
          <w:rPr>
            <w:rStyle w:val="Hyperlink"/>
          </w:rPr>
          <w:t>csiro.au</w:t>
        </w:r>
      </w:hyperlink>
      <w:r>
        <w:rPr>
          <w:rStyle w:val="Hyperlink"/>
        </w:rPr>
        <w:t>/contact</w:t>
      </w:r>
      <w:bookmarkEnd w:id="0"/>
      <w:r w:rsidR="002F6753">
        <w:t>.</w:t>
      </w:r>
    </w:p>
    <w:p w14:paraId="68EA1E8B" w14:textId="77777777" w:rsidR="004A6521" w:rsidRDefault="004A6521" w:rsidP="004A6521">
      <w:pPr>
        <w:pStyle w:val="VersoPageHeading"/>
      </w:pPr>
      <w:r>
        <w:t>Acknowledgement of Country</w:t>
      </w:r>
    </w:p>
    <w:p w14:paraId="78A2AD82" w14:textId="77777777" w:rsidR="004A6521" w:rsidRDefault="004A6521" w:rsidP="004A6521">
      <w:pPr>
        <w:pStyle w:val="BodyText"/>
      </w:pPr>
      <w:r>
        <w:t xml:space="preserve">CSIRO acknowledges </w:t>
      </w:r>
      <w:r w:rsidRPr="001E48FE">
        <w:t>[the Traditional Owner/s name(s) as</w:t>
      </w:r>
      <w:r>
        <w:t xml:space="preserve"> (delete if not required)</w:t>
      </w:r>
      <w:r w:rsidRPr="001E48FE">
        <w:t>]</w:t>
      </w:r>
      <w:r>
        <w:t xml:space="preserve"> the Traditional Owners of the lands, seas and waters of the are that we live and work on across Australia and pays its respects to Elders past and present. CSIRO recognises that Aboriginal and Torres Strait Islander peoples have made, and will continue to make, extraordinary contributions to Australian life including in cultural, economic, and scientific domains.</w:t>
      </w:r>
    </w:p>
    <w:p w14:paraId="0B94D47D" w14:textId="77777777" w:rsidR="002B35CB" w:rsidRDefault="002B35CB" w:rsidP="00DC2413">
      <w:pPr>
        <w:pStyle w:val="BodyText"/>
        <w:rPr>
          <w:rFonts w:asciiTheme="minorHAnsi" w:eastAsiaTheme="minorEastAsia" w:hAnsiTheme="minorHAnsi" w:cstheme="minorBidi"/>
        </w:rPr>
      </w:pPr>
    </w:p>
    <w:p w14:paraId="0E1386AA" w14:textId="77777777" w:rsidR="002B35CB" w:rsidRDefault="002B35CB" w:rsidP="00DC2413">
      <w:pPr>
        <w:pStyle w:val="BodyText"/>
        <w:rPr>
          <w:rFonts w:asciiTheme="minorHAnsi" w:eastAsiaTheme="minorEastAsia" w:hAnsiTheme="minorHAnsi" w:cstheme="minorBidi"/>
        </w:rPr>
      </w:pPr>
    </w:p>
    <w:p w14:paraId="1409BCCA" w14:textId="77777777" w:rsidR="002B35CB" w:rsidRDefault="002B35CB" w:rsidP="00DC2413">
      <w:pPr>
        <w:pStyle w:val="BodyText"/>
        <w:rPr>
          <w:rFonts w:asciiTheme="minorHAnsi" w:eastAsiaTheme="minorEastAsia" w:hAnsiTheme="minorHAnsi" w:cstheme="minorBidi"/>
        </w:rPr>
      </w:pPr>
    </w:p>
    <w:p w14:paraId="0BAD6157" w14:textId="77777777" w:rsidR="002B35CB" w:rsidRDefault="002B35CB" w:rsidP="00DC2413">
      <w:pPr>
        <w:pStyle w:val="BodyText"/>
        <w:rPr>
          <w:rFonts w:asciiTheme="minorHAnsi" w:eastAsiaTheme="minorEastAsia" w:hAnsiTheme="minorHAnsi" w:cstheme="minorBidi"/>
        </w:rPr>
      </w:pPr>
    </w:p>
    <w:p w14:paraId="058F6328" w14:textId="77777777" w:rsidR="002B35CB" w:rsidRDefault="002B35CB" w:rsidP="00DC2413">
      <w:pPr>
        <w:pStyle w:val="BodyText"/>
        <w:rPr>
          <w:rFonts w:asciiTheme="minorHAnsi" w:eastAsiaTheme="minorEastAsia" w:hAnsiTheme="minorHAnsi" w:cstheme="minorBidi"/>
        </w:rPr>
      </w:pPr>
    </w:p>
    <w:p w14:paraId="4EE99825" w14:textId="77777777" w:rsidR="002B35CB" w:rsidRDefault="002B35CB" w:rsidP="00DC2413">
      <w:pPr>
        <w:pStyle w:val="BodyText"/>
        <w:rPr>
          <w:rFonts w:asciiTheme="minorHAnsi" w:eastAsiaTheme="minorEastAsia" w:hAnsiTheme="minorHAnsi" w:cstheme="minorBidi"/>
        </w:rPr>
      </w:pPr>
    </w:p>
    <w:p w14:paraId="5C2582AC" w14:textId="77777777" w:rsidR="00880DE8" w:rsidRDefault="00880DE8" w:rsidP="00DC2413">
      <w:pPr>
        <w:pStyle w:val="BodyText"/>
        <w:rPr>
          <w:rFonts w:asciiTheme="minorHAnsi" w:eastAsiaTheme="minorEastAsia" w:hAnsiTheme="minorHAnsi" w:cstheme="minorBidi"/>
        </w:rPr>
      </w:pPr>
      <w:r w:rsidRPr="3C9E86E5">
        <w:rPr>
          <w:rFonts w:asciiTheme="minorHAnsi" w:eastAsiaTheme="minorEastAsia" w:hAnsiTheme="minorHAnsi" w:cstheme="minorBidi"/>
        </w:rPr>
        <w:br w:type="page"/>
      </w:r>
    </w:p>
    <w:bookmarkStart w:id="1" w:name="_Toc234310773" w:displacedByCustomXml="next"/>
    <w:sdt>
      <w:sdtPr>
        <w:rPr>
          <w:rFonts w:asciiTheme="minorHAnsi" w:eastAsiaTheme="minorEastAsia" w:hAnsiTheme="minorHAnsi" w:cstheme="minorBidi"/>
          <w:b/>
          <w:noProof/>
          <w:color w:val="FFFFFF"/>
          <w:sz w:val="24"/>
          <w:szCs w:val="24"/>
        </w:rPr>
        <w:id w:val="1461690707"/>
        <w:docPartObj>
          <w:docPartGallery w:val="Table of Contents"/>
          <w:docPartUnique/>
        </w:docPartObj>
      </w:sdtPr>
      <w:sdtEndPr>
        <w:rPr>
          <w:rFonts w:eastAsia="Calibri" w:cs="Times New Roman"/>
          <w:color w:val="FFFFFF" w:themeColor="background2"/>
        </w:rPr>
      </w:sdtEndPr>
      <w:sdtContent>
        <w:p w14:paraId="4FD94CA9" w14:textId="2D02102B" w:rsidR="00763BBD" w:rsidRDefault="00763BBD">
          <w:pPr>
            <w:pStyle w:val="TOCHeading"/>
            <w:rPr>
              <w:rFonts w:asciiTheme="minorHAnsi" w:eastAsiaTheme="minorEastAsia" w:hAnsiTheme="minorHAnsi" w:cstheme="minorBidi"/>
            </w:rPr>
          </w:pPr>
          <w:r>
            <w:t>Contents</w:t>
          </w:r>
          <w:bookmarkEnd w:id="1"/>
        </w:p>
        <w:p w14:paraId="6E58F04F" w14:textId="38400472" w:rsidR="00E13EFC" w:rsidRDefault="4097E735">
          <w:pPr>
            <w:pStyle w:val="TOC2"/>
            <w:rPr>
              <w:rFonts w:asciiTheme="minorHAnsi" w:eastAsiaTheme="minorEastAsia" w:hAnsiTheme="minorHAnsi" w:cstheme="minorBidi"/>
              <w:color w:val="auto"/>
              <w:kern w:val="2"/>
              <w:szCs w:val="24"/>
              <w14:ligatures w14:val="standardContextual"/>
            </w:rPr>
          </w:pPr>
          <w:r>
            <w:fldChar w:fldCharType="begin"/>
          </w:r>
          <w:r w:rsidR="00763BBD">
            <w:instrText>TOC \o "1-3" \z \u \h</w:instrText>
          </w:r>
          <w:r>
            <w:fldChar w:fldCharType="separate"/>
          </w:r>
        </w:p>
        <w:p w14:paraId="650800FB" w14:textId="02437936" w:rsidR="00E13EFC" w:rsidRDefault="00E13EFC">
          <w:pPr>
            <w:pStyle w:val="TOC1"/>
            <w:rPr>
              <w:rFonts w:asciiTheme="minorHAnsi" w:eastAsiaTheme="minorEastAsia" w:hAnsiTheme="minorHAnsi" w:cstheme="minorBidi"/>
              <w:b w:val="0"/>
              <w:color w:val="auto"/>
              <w:kern w:val="2"/>
              <w:szCs w:val="24"/>
              <w14:ligatures w14:val="standardContextual"/>
            </w:rPr>
          </w:pPr>
          <w:hyperlink w:anchor="_Toc234310774" w:history="1">
            <w:r w:rsidRPr="007617E7">
              <w:rPr>
                <w:rStyle w:val="Hyperlink"/>
              </w:rPr>
              <w:t>Acknowledgments</w:t>
            </w:r>
            <w:r>
              <w:rPr>
                <w:webHidden/>
              </w:rPr>
              <w:tab/>
            </w:r>
            <w:r>
              <w:rPr>
                <w:webHidden/>
              </w:rPr>
              <w:fldChar w:fldCharType="begin"/>
            </w:r>
            <w:r>
              <w:rPr>
                <w:webHidden/>
              </w:rPr>
              <w:instrText xml:space="preserve"> PAGEREF _Toc234310774 \h </w:instrText>
            </w:r>
            <w:r>
              <w:rPr>
                <w:webHidden/>
              </w:rPr>
            </w:r>
            <w:r>
              <w:rPr>
                <w:webHidden/>
              </w:rPr>
              <w:fldChar w:fldCharType="separate"/>
            </w:r>
            <w:r w:rsidR="00F8092D">
              <w:rPr>
                <w:webHidden/>
              </w:rPr>
              <w:t>10</w:t>
            </w:r>
            <w:r>
              <w:rPr>
                <w:webHidden/>
              </w:rPr>
              <w:fldChar w:fldCharType="end"/>
            </w:r>
          </w:hyperlink>
        </w:p>
        <w:p w14:paraId="7F1A9358" w14:textId="36782CED" w:rsidR="00E13EFC" w:rsidRDefault="00E13EFC">
          <w:pPr>
            <w:pStyle w:val="TOC1"/>
            <w:rPr>
              <w:rFonts w:asciiTheme="minorHAnsi" w:eastAsiaTheme="minorEastAsia" w:hAnsiTheme="minorHAnsi" w:cstheme="minorBidi"/>
              <w:b w:val="0"/>
              <w:color w:val="auto"/>
              <w:kern w:val="2"/>
              <w:szCs w:val="24"/>
              <w14:ligatures w14:val="standardContextual"/>
            </w:rPr>
          </w:pPr>
          <w:hyperlink w:anchor="_Toc234310775" w:history="1">
            <w:r w:rsidRPr="007617E7">
              <w:rPr>
                <w:rStyle w:val="Hyperlink"/>
              </w:rPr>
              <w:t>Executive summary</w:t>
            </w:r>
            <w:r>
              <w:rPr>
                <w:webHidden/>
              </w:rPr>
              <w:tab/>
            </w:r>
            <w:r>
              <w:rPr>
                <w:webHidden/>
              </w:rPr>
              <w:fldChar w:fldCharType="begin"/>
            </w:r>
            <w:r>
              <w:rPr>
                <w:webHidden/>
              </w:rPr>
              <w:instrText xml:space="preserve"> PAGEREF _Toc234310775 \h </w:instrText>
            </w:r>
            <w:r>
              <w:rPr>
                <w:webHidden/>
              </w:rPr>
            </w:r>
            <w:r>
              <w:rPr>
                <w:webHidden/>
              </w:rPr>
              <w:fldChar w:fldCharType="separate"/>
            </w:r>
            <w:r w:rsidR="00F8092D">
              <w:rPr>
                <w:webHidden/>
              </w:rPr>
              <w:t>11</w:t>
            </w:r>
            <w:r>
              <w:rPr>
                <w:webHidden/>
              </w:rPr>
              <w:fldChar w:fldCharType="end"/>
            </w:r>
          </w:hyperlink>
        </w:p>
        <w:p w14:paraId="399381F8" w14:textId="7B08169D" w:rsidR="00E13EFC" w:rsidRDefault="00E13EFC">
          <w:pPr>
            <w:pStyle w:val="TOC1"/>
            <w:rPr>
              <w:rFonts w:asciiTheme="minorHAnsi" w:eastAsiaTheme="minorEastAsia" w:hAnsiTheme="minorHAnsi" w:cstheme="minorBidi"/>
              <w:b w:val="0"/>
              <w:color w:val="auto"/>
              <w:kern w:val="2"/>
              <w:szCs w:val="24"/>
              <w14:ligatures w14:val="standardContextual"/>
            </w:rPr>
          </w:pPr>
          <w:hyperlink w:anchor="_Toc234310776" w:history="1">
            <w:r w:rsidRPr="007617E7">
              <w:rPr>
                <w:rStyle w:val="Hyperlink"/>
              </w:rPr>
              <w:t>1. Introduction</w:t>
            </w:r>
            <w:r>
              <w:rPr>
                <w:webHidden/>
              </w:rPr>
              <w:tab/>
            </w:r>
            <w:r>
              <w:rPr>
                <w:webHidden/>
              </w:rPr>
              <w:fldChar w:fldCharType="begin"/>
            </w:r>
            <w:r>
              <w:rPr>
                <w:webHidden/>
              </w:rPr>
              <w:instrText xml:space="preserve"> PAGEREF _Toc234310776 \h </w:instrText>
            </w:r>
            <w:r>
              <w:rPr>
                <w:webHidden/>
              </w:rPr>
            </w:r>
            <w:r>
              <w:rPr>
                <w:webHidden/>
              </w:rPr>
              <w:fldChar w:fldCharType="separate"/>
            </w:r>
            <w:r w:rsidR="00F8092D">
              <w:rPr>
                <w:webHidden/>
              </w:rPr>
              <w:t>13</w:t>
            </w:r>
            <w:r>
              <w:rPr>
                <w:webHidden/>
              </w:rPr>
              <w:fldChar w:fldCharType="end"/>
            </w:r>
          </w:hyperlink>
        </w:p>
        <w:p w14:paraId="6AEDC941" w14:textId="5ED408B7"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777" w:history="1">
            <w:r w:rsidRPr="007617E7">
              <w:rPr>
                <w:rStyle w:val="Hyperlink"/>
              </w:rPr>
              <w:t>1.1</w:t>
            </w:r>
            <w:r>
              <w:rPr>
                <w:rFonts w:asciiTheme="minorHAnsi" w:eastAsiaTheme="minorEastAsia" w:hAnsiTheme="minorHAnsi" w:cstheme="minorBidi"/>
                <w:color w:val="auto"/>
                <w:kern w:val="2"/>
                <w:szCs w:val="24"/>
                <w14:ligatures w14:val="standardContextual"/>
              </w:rPr>
              <w:tab/>
            </w:r>
            <w:r w:rsidRPr="007617E7">
              <w:rPr>
                <w:rStyle w:val="Hyperlink"/>
              </w:rPr>
              <w:t>Significance of the Research</w:t>
            </w:r>
            <w:r>
              <w:rPr>
                <w:webHidden/>
              </w:rPr>
              <w:tab/>
            </w:r>
            <w:r>
              <w:rPr>
                <w:webHidden/>
              </w:rPr>
              <w:fldChar w:fldCharType="begin"/>
            </w:r>
            <w:r>
              <w:rPr>
                <w:webHidden/>
              </w:rPr>
              <w:instrText xml:space="preserve"> PAGEREF _Toc234310777 \h </w:instrText>
            </w:r>
            <w:r>
              <w:rPr>
                <w:webHidden/>
              </w:rPr>
            </w:r>
            <w:r>
              <w:rPr>
                <w:webHidden/>
              </w:rPr>
              <w:fldChar w:fldCharType="separate"/>
            </w:r>
            <w:r w:rsidR="00F8092D">
              <w:rPr>
                <w:webHidden/>
              </w:rPr>
              <w:t>13</w:t>
            </w:r>
            <w:r>
              <w:rPr>
                <w:webHidden/>
              </w:rPr>
              <w:fldChar w:fldCharType="end"/>
            </w:r>
          </w:hyperlink>
        </w:p>
        <w:p w14:paraId="3F4EAB5D" w14:textId="6D60933A"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778" w:history="1">
            <w:r w:rsidRPr="007617E7">
              <w:rPr>
                <w:rStyle w:val="Hyperlink"/>
              </w:rPr>
              <w:t>1.2</w:t>
            </w:r>
            <w:r>
              <w:rPr>
                <w:rFonts w:asciiTheme="minorHAnsi" w:eastAsiaTheme="minorEastAsia" w:hAnsiTheme="minorHAnsi" w:cstheme="minorBidi"/>
                <w:color w:val="auto"/>
                <w:kern w:val="2"/>
                <w:szCs w:val="24"/>
                <w14:ligatures w14:val="standardContextual"/>
              </w:rPr>
              <w:tab/>
            </w:r>
            <w:r w:rsidRPr="007617E7">
              <w:rPr>
                <w:rStyle w:val="Hyperlink"/>
              </w:rPr>
              <w:t>EV and EVSE infrastructure in Australia</w:t>
            </w:r>
            <w:r>
              <w:rPr>
                <w:webHidden/>
              </w:rPr>
              <w:tab/>
            </w:r>
            <w:r>
              <w:rPr>
                <w:webHidden/>
              </w:rPr>
              <w:fldChar w:fldCharType="begin"/>
            </w:r>
            <w:r>
              <w:rPr>
                <w:webHidden/>
              </w:rPr>
              <w:instrText xml:space="preserve"> PAGEREF _Toc234310778 \h </w:instrText>
            </w:r>
            <w:r>
              <w:rPr>
                <w:webHidden/>
              </w:rPr>
            </w:r>
            <w:r>
              <w:rPr>
                <w:webHidden/>
              </w:rPr>
              <w:fldChar w:fldCharType="separate"/>
            </w:r>
            <w:r w:rsidR="00F8092D">
              <w:rPr>
                <w:webHidden/>
              </w:rPr>
              <w:t>14</w:t>
            </w:r>
            <w:r>
              <w:rPr>
                <w:webHidden/>
              </w:rPr>
              <w:fldChar w:fldCharType="end"/>
            </w:r>
          </w:hyperlink>
        </w:p>
        <w:p w14:paraId="4810E63A" w14:textId="0376B451"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779" w:history="1">
            <w:r w:rsidRPr="007617E7">
              <w:rPr>
                <w:rStyle w:val="Hyperlink"/>
              </w:rPr>
              <w:t>1.3</w:t>
            </w:r>
            <w:r>
              <w:rPr>
                <w:rFonts w:asciiTheme="minorHAnsi" w:eastAsiaTheme="minorEastAsia" w:hAnsiTheme="minorHAnsi" w:cstheme="minorBidi"/>
                <w:color w:val="auto"/>
                <w:kern w:val="2"/>
                <w:szCs w:val="24"/>
                <w14:ligatures w14:val="standardContextual"/>
              </w:rPr>
              <w:tab/>
            </w:r>
            <w:r w:rsidRPr="007617E7">
              <w:rPr>
                <w:rStyle w:val="Hyperlink"/>
              </w:rPr>
              <w:t>DER Stability in Previous AR-PST Stages</w:t>
            </w:r>
            <w:r>
              <w:rPr>
                <w:webHidden/>
              </w:rPr>
              <w:tab/>
            </w:r>
            <w:r>
              <w:rPr>
                <w:webHidden/>
              </w:rPr>
              <w:fldChar w:fldCharType="begin"/>
            </w:r>
            <w:r>
              <w:rPr>
                <w:webHidden/>
              </w:rPr>
              <w:instrText xml:space="preserve"> PAGEREF _Toc234310779 \h </w:instrText>
            </w:r>
            <w:r>
              <w:rPr>
                <w:webHidden/>
              </w:rPr>
            </w:r>
            <w:r>
              <w:rPr>
                <w:webHidden/>
              </w:rPr>
              <w:fldChar w:fldCharType="separate"/>
            </w:r>
            <w:r w:rsidR="00F8092D">
              <w:rPr>
                <w:webHidden/>
              </w:rPr>
              <w:t>14</w:t>
            </w:r>
            <w:r>
              <w:rPr>
                <w:webHidden/>
              </w:rPr>
              <w:fldChar w:fldCharType="end"/>
            </w:r>
          </w:hyperlink>
        </w:p>
        <w:p w14:paraId="4B5D17EF" w14:textId="4B389445"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780" w:history="1">
            <w:r w:rsidRPr="007617E7">
              <w:rPr>
                <w:rStyle w:val="Hyperlink"/>
              </w:rPr>
              <w:t>1.4</w:t>
            </w:r>
            <w:r>
              <w:rPr>
                <w:rFonts w:asciiTheme="minorHAnsi" w:eastAsiaTheme="minorEastAsia" w:hAnsiTheme="minorHAnsi" w:cstheme="minorBidi"/>
                <w:color w:val="auto"/>
                <w:kern w:val="2"/>
                <w:szCs w:val="24"/>
                <w14:ligatures w14:val="standardContextual"/>
              </w:rPr>
              <w:tab/>
            </w:r>
            <w:r w:rsidRPr="007617E7">
              <w:rPr>
                <w:rStyle w:val="Hyperlink"/>
              </w:rPr>
              <w:t>EVSE as Critical Cyber-Physical Infrastructure</w:t>
            </w:r>
            <w:r>
              <w:rPr>
                <w:webHidden/>
              </w:rPr>
              <w:tab/>
            </w:r>
            <w:r>
              <w:rPr>
                <w:webHidden/>
              </w:rPr>
              <w:fldChar w:fldCharType="begin"/>
            </w:r>
            <w:r>
              <w:rPr>
                <w:webHidden/>
              </w:rPr>
              <w:instrText xml:space="preserve"> PAGEREF _Toc234310780 \h </w:instrText>
            </w:r>
            <w:r>
              <w:rPr>
                <w:webHidden/>
              </w:rPr>
            </w:r>
            <w:r>
              <w:rPr>
                <w:webHidden/>
              </w:rPr>
              <w:fldChar w:fldCharType="separate"/>
            </w:r>
            <w:r w:rsidR="00F8092D">
              <w:rPr>
                <w:webHidden/>
              </w:rPr>
              <w:t>15</w:t>
            </w:r>
            <w:r>
              <w:rPr>
                <w:webHidden/>
              </w:rPr>
              <w:fldChar w:fldCharType="end"/>
            </w:r>
          </w:hyperlink>
        </w:p>
        <w:p w14:paraId="4D6C15FF" w14:textId="23FEFEDF"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781" w:history="1">
            <w:r w:rsidRPr="007617E7">
              <w:rPr>
                <w:rStyle w:val="Hyperlink"/>
              </w:rPr>
              <w:t>1.5</w:t>
            </w:r>
            <w:r>
              <w:rPr>
                <w:rFonts w:asciiTheme="minorHAnsi" w:eastAsiaTheme="minorEastAsia" w:hAnsiTheme="minorHAnsi" w:cstheme="minorBidi"/>
                <w:color w:val="auto"/>
                <w:kern w:val="2"/>
                <w:szCs w:val="24"/>
                <w14:ligatures w14:val="standardContextual"/>
              </w:rPr>
              <w:tab/>
            </w:r>
            <w:r w:rsidRPr="007617E7">
              <w:rPr>
                <w:rStyle w:val="Hyperlink"/>
              </w:rPr>
              <w:t>Gaps in Existing EVSE Trust Models</w:t>
            </w:r>
            <w:r>
              <w:rPr>
                <w:webHidden/>
              </w:rPr>
              <w:tab/>
            </w:r>
            <w:r>
              <w:rPr>
                <w:webHidden/>
              </w:rPr>
              <w:fldChar w:fldCharType="begin"/>
            </w:r>
            <w:r>
              <w:rPr>
                <w:webHidden/>
              </w:rPr>
              <w:instrText xml:space="preserve"> PAGEREF _Toc234310781 \h </w:instrText>
            </w:r>
            <w:r>
              <w:rPr>
                <w:webHidden/>
              </w:rPr>
            </w:r>
            <w:r>
              <w:rPr>
                <w:webHidden/>
              </w:rPr>
              <w:fldChar w:fldCharType="separate"/>
            </w:r>
            <w:r w:rsidR="00F8092D">
              <w:rPr>
                <w:webHidden/>
              </w:rPr>
              <w:t>16</w:t>
            </w:r>
            <w:r>
              <w:rPr>
                <w:webHidden/>
              </w:rPr>
              <w:fldChar w:fldCharType="end"/>
            </w:r>
          </w:hyperlink>
        </w:p>
        <w:p w14:paraId="4694C03D" w14:textId="5A775C6D"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782" w:history="1">
            <w:r w:rsidRPr="007617E7">
              <w:rPr>
                <w:rStyle w:val="Hyperlink"/>
              </w:rPr>
              <w:t>1.6</w:t>
            </w:r>
            <w:r>
              <w:rPr>
                <w:rFonts w:asciiTheme="minorHAnsi" w:eastAsiaTheme="minorEastAsia" w:hAnsiTheme="minorHAnsi" w:cstheme="minorBidi"/>
                <w:color w:val="auto"/>
                <w:kern w:val="2"/>
                <w:szCs w:val="24"/>
                <w14:ligatures w14:val="standardContextual"/>
              </w:rPr>
              <w:tab/>
            </w:r>
            <w:r w:rsidRPr="007617E7">
              <w:rPr>
                <w:rStyle w:val="Hyperlink"/>
              </w:rPr>
              <w:t>Research Problem</w:t>
            </w:r>
            <w:r>
              <w:rPr>
                <w:webHidden/>
              </w:rPr>
              <w:tab/>
            </w:r>
            <w:r>
              <w:rPr>
                <w:webHidden/>
              </w:rPr>
              <w:fldChar w:fldCharType="begin"/>
            </w:r>
            <w:r>
              <w:rPr>
                <w:webHidden/>
              </w:rPr>
              <w:instrText xml:space="preserve"> PAGEREF _Toc234310782 \h </w:instrText>
            </w:r>
            <w:r>
              <w:rPr>
                <w:webHidden/>
              </w:rPr>
            </w:r>
            <w:r>
              <w:rPr>
                <w:webHidden/>
              </w:rPr>
              <w:fldChar w:fldCharType="separate"/>
            </w:r>
            <w:r w:rsidR="00F8092D">
              <w:rPr>
                <w:webHidden/>
              </w:rPr>
              <w:t>16</w:t>
            </w:r>
            <w:r>
              <w:rPr>
                <w:webHidden/>
              </w:rPr>
              <w:fldChar w:fldCharType="end"/>
            </w:r>
          </w:hyperlink>
        </w:p>
        <w:p w14:paraId="539FAD84" w14:textId="15072158"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783" w:history="1">
            <w:r w:rsidRPr="007617E7">
              <w:rPr>
                <w:rStyle w:val="Hyperlink"/>
              </w:rPr>
              <w:t>1.7</w:t>
            </w:r>
            <w:r>
              <w:rPr>
                <w:rFonts w:asciiTheme="minorHAnsi" w:eastAsiaTheme="minorEastAsia" w:hAnsiTheme="minorHAnsi" w:cstheme="minorBidi"/>
                <w:color w:val="auto"/>
                <w:kern w:val="2"/>
                <w:szCs w:val="24"/>
                <w14:ligatures w14:val="standardContextual"/>
              </w:rPr>
              <w:tab/>
            </w:r>
            <w:r w:rsidRPr="007617E7">
              <w:rPr>
                <w:rStyle w:val="Hyperlink"/>
              </w:rPr>
              <w:t>Stage 5 Focus Topic 9-2</w:t>
            </w:r>
            <w:r>
              <w:rPr>
                <w:webHidden/>
              </w:rPr>
              <w:tab/>
            </w:r>
            <w:r>
              <w:rPr>
                <w:webHidden/>
              </w:rPr>
              <w:fldChar w:fldCharType="begin"/>
            </w:r>
            <w:r>
              <w:rPr>
                <w:webHidden/>
              </w:rPr>
              <w:instrText xml:space="preserve"> PAGEREF _Toc234310783 \h </w:instrText>
            </w:r>
            <w:r>
              <w:rPr>
                <w:webHidden/>
              </w:rPr>
            </w:r>
            <w:r>
              <w:rPr>
                <w:webHidden/>
              </w:rPr>
              <w:fldChar w:fldCharType="separate"/>
            </w:r>
            <w:r w:rsidR="00F8092D">
              <w:rPr>
                <w:webHidden/>
              </w:rPr>
              <w:t>17</w:t>
            </w:r>
            <w:r>
              <w:rPr>
                <w:webHidden/>
              </w:rPr>
              <w:fldChar w:fldCharType="end"/>
            </w:r>
          </w:hyperlink>
        </w:p>
        <w:p w14:paraId="2FD07420" w14:textId="3210315C"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784" w:history="1">
            <w:r w:rsidRPr="007617E7">
              <w:rPr>
                <w:rStyle w:val="Hyperlink"/>
              </w:rPr>
              <w:t>1.8</w:t>
            </w:r>
            <w:r>
              <w:rPr>
                <w:rFonts w:asciiTheme="minorHAnsi" w:eastAsiaTheme="minorEastAsia" w:hAnsiTheme="minorHAnsi" w:cstheme="minorBidi"/>
                <w:color w:val="auto"/>
                <w:kern w:val="2"/>
                <w:szCs w:val="24"/>
                <w14:ligatures w14:val="standardContextual"/>
              </w:rPr>
              <w:tab/>
            </w:r>
            <w:r w:rsidRPr="007617E7">
              <w:rPr>
                <w:rStyle w:val="Hyperlink"/>
              </w:rPr>
              <w:t>Research Contribution and National Relevance</w:t>
            </w:r>
            <w:r>
              <w:rPr>
                <w:webHidden/>
              </w:rPr>
              <w:tab/>
            </w:r>
            <w:r>
              <w:rPr>
                <w:webHidden/>
              </w:rPr>
              <w:fldChar w:fldCharType="begin"/>
            </w:r>
            <w:r>
              <w:rPr>
                <w:webHidden/>
              </w:rPr>
              <w:instrText xml:space="preserve"> PAGEREF _Toc234310784 \h </w:instrText>
            </w:r>
            <w:r>
              <w:rPr>
                <w:webHidden/>
              </w:rPr>
            </w:r>
            <w:r>
              <w:rPr>
                <w:webHidden/>
              </w:rPr>
              <w:fldChar w:fldCharType="separate"/>
            </w:r>
            <w:r w:rsidR="00F8092D">
              <w:rPr>
                <w:webHidden/>
              </w:rPr>
              <w:t>18</w:t>
            </w:r>
            <w:r>
              <w:rPr>
                <w:webHidden/>
              </w:rPr>
              <w:fldChar w:fldCharType="end"/>
            </w:r>
          </w:hyperlink>
        </w:p>
        <w:p w14:paraId="6B03BAED" w14:textId="39834FE4" w:rsidR="00E13EFC" w:rsidRDefault="00E13EFC">
          <w:pPr>
            <w:pStyle w:val="TOC1"/>
            <w:rPr>
              <w:rFonts w:asciiTheme="minorHAnsi" w:eastAsiaTheme="minorEastAsia" w:hAnsiTheme="minorHAnsi" w:cstheme="minorBidi"/>
              <w:b w:val="0"/>
              <w:color w:val="auto"/>
              <w:kern w:val="2"/>
              <w:szCs w:val="24"/>
              <w14:ligatures w14:val="standardContextual"/>
            </w:rPr>
          </w:pPr>
          <w:hyperlink w:anchor="_Toc234310785" w:history="1">
            <w:r w:rsidRPr="007617E7">
              <w:rPr>
                <w:rStyle w:val="Hyperlink"/>
              </w:rPr>
              <w:t>2</w:t>
            </w:r>
            <w:r>
              <w:rPr>
                <w:rFonts w:asciiTheme="minorHAnsi" w:eastAsiaTheme="minorEastAsia" w:hAnsiTheme="minorHAnsi" w:cstheme="minorBidi"/>
                <w:b w:val="0"/>
                <w:color w:val="auto"/>
                <w:kern w:val="2"/>
                <w:szCs w:val="24"/>
                <w14:ligatures w14:val="standardContextual"/>
              </w:rPr>
              <w:tab/>
            </w:r>
            <w:r w:rsidRPr="007617E7">
              <w:rPr>
                <w:rStyle w:val="Hyperlink"/>
              </w:rPr>
              <w:t>Methodology</w:t>
            </w:r>
            <w:r>
              <w:rPr>
                <w:webHidden/>
              </w:rPr>
              <w:tab/>
            </w:r>
            <w:r>
              <w:rPr>
                <w:webHidden/>
              </w:rPr>
              <w:fldChar w:fldCharType="begin"/>
            </w:r>
            <w:r>
              <w:rPr>
                <w:webHidden/>
              </w:rPr>
              <w:instrText xml:space="preserve"> PAGEREF _Toc234310785 \h </w:instrText>
            </w:r>
            <w:r>
              <w:rPr>
                <w:webHidden/>
              </w:rPr>
            </w:r>
            <w:r>
              <w:rPr>
                <w:webHidden/>
              </w:rPr>
              <w:fldChar w:fldCharType="separate"/>
            </w:r>
            <w:r w:rsidR="00F8092D">
              <w:rPr>
                <w:webHidden/>
              </w:rPr>
              <w:t>20</w:t>
            </w:r>
            <w:r>
              <w:rPr>
                <w:webHidden/>
              </w:rPr>
              <w:fldChar w:fldCharType="end"/>
            </w:r>
          </w:hyperlink>
        </w:p>
        <w:p w14:paraId="092704FF" w14:textId="01755ED4"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786" w:history="1">
            <w:r w:rsidRPr="007617E7">
              <w:rPr>
                <w:rStyle w:val="Hyperlink"/>
                <w:b/>
              </w:rPr>
              <w:t>2.1</w:t>
            </w:r>
            <w:r>
              <w:rPr>
                <w:rFonts w:asciiTheme="minorHAnsi" w:eastAsiaTheme="minorEastAsia" w:hAnsiTheme="minorHAnsi" w:cstheme="minorBidi"/>
                <w:color w:val="auto"/>
                <w:kern w:val="2"/>
                <w:szCs w:val="24"/>
                <w14:ligatures w14:val="standardContextual"/>
              </w:rPr>
              <w:tab/>
            </w:r>
            <w:r w:rsidRPr="007617E7">
              <w:rPr>
                <w:rStyle w:val="Hyperlink"/>
                <w:b/>
              </w:rPr>
              <w:t>Scientific Exploratory Methodology</w:t>
            </w:r>
            <w:r>
              <w:rPr>
                <w:webHidden/>
              </w:rPr>
              <w:tab/>
            </w:r>
            <w:r>
              <w:rPr>
                <w:webHidden/>
              </w:rPr>
              <w:fldChar w:fldCharType="begin"/>
            </w:r>
            <w:r>
              <w:rPr>
                <w:webHidden/>
              </w:rPr>
              <w:instrText xml:space="preserve"> PAGEREF _Toc234310786 \h </w:instrText>
            </w:r>
            <w:r>
              <w:rPr>
                <w:webHidden/>
              </w:rPr>
            </w:r>
            <w:r>
              <w:rPr>
                <w:webHidden/>
              </w:rPr>
              <w:fldChar w:fldCharType="separate"/>
            </w:r>
            <w:r w:rsidR="00F8092D">
              <w:rPr>
                <w:webHidden/>
              </w:rPr>
              <w:t>21</w:t>
            </w:r>
            <w:r>
              <w:rPr>
                <w:webHidden/>
              </w:rPr>
              <w:fldChar w:fldCharType="end"/>
            </w:r>
          </w:hyperlink>
        </w:p>
        <w:p w14:paraId="38F75785" w14:textId="03E2FF96"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787" w:history="1">
            <w:r w:rsidRPr="007617E7">
              <w:rPr>
                <w:rStyle w:val="Hyperlink"/>
                <w:b/>
              </w:rPr>
              <w:t>2.2</w:t>
            </w:r>
            <w:r>
              <w:rPr>
                <w:rFonts w:asciiTheme="minorHAnsi" w:eastAsiaTheme="minorEastAsia" w:hAnsiTheme="minorHAnsi" w:cstheme="minorBidi"/>
                <w:color w:val="auto"/>
                <w:kern w:val="2"/>
                <w:szCs w:val="24"/>
                <w14:ligatures w14:val="standardContextual"/>
              </w:rPr>
              <w:tab/>
            </w:r>
            <w:r w:rsidRPr="007617E7">
              <w:rPr>
                <w:rStyle w:val="Hyperlink"/>
                <w:b/>
              </w:rPr>
              <w:t>Software and Platforms used</w:t>
            </w:r>
            <w:r>
              <w:rPr>
                <w:webHidden/>
              </w:rPr>
              <w:tab/>
            </w:r>
            <w:r>
              <w:rPr>
                <w:webHidden/>
              </w:rPr>
              <w:fldChar w:fldCharType="begin"/>
            </w:r>
            <w:r>
              <w:rPr>
                <w:webHidden/>
              </w:rPr>
              <w:instrText xml:space="preserve"> PAGEREF _Toc234310787 \h </w:instrText>
            </w:r>
            <w:r>
              <w:rPr>
                <w:webHidden/>
              </w:rPr>
            </w:r>
            <w:r>
              <w:rPr>
                <w:webHidden/>
              </w:rPr>
              <w:fldChar w:fldCharType="separate"/>
            </w:r>
            <w:r w:rsidR="00F8092D">
              <w:rPr>
                <w:webHidden/>
              </w:rPr>
              <w:t>23</w:t>
            </w:r>
            <w:r>
              <w:rPr>
                <w:webHidden/>
              </w:rPr>
              <w:fldChar w:fldCharType="end"/>
            </w:r>
          </w:hyperlink>
        </w:p>
        <w:p w14:paraId="03E55B97" w14:textId="1303A8C4"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788" w:history="1">
            <w:r w:rsidRPr="007617E7">
              <w:rPr>
                <w:rStyle w:val="Hyperlink"/>
                <w:b/>
              </w:rPr>
              <w:t>2.3</w:t>
            </w:r>
            <w:r>
              <w:rPr>
                <w:rFonts w:asciiTheme="minorHAnsi" w:eastAsiaTheme="minorEastAsia" w:hAnsiTheme="minorHAnsi" w:cstheme="minorBidi"/>
                <w:color w:val="auto"/>
                <w:kern w:val="2"/>
                <w:szCs w:val="24"/>
                <w14:ligatures w14:val="standardContextual"/>
              </w:rPr>
              <w:tab/>
            </w:r>
            <w:r w:rsidRPr="007617E7">
              <w:rPr>
                <w:rStyle w:val="Hyperlink"/>
                <w:b/>
              </w:rPr>
              <w:t>Reproducibility and Data Transparency</w:t>
            </w:r>
            <w:r>
              <w:rPr>
                <w:webHidden/>
              </w:rPr>
              <w:tab/>
            </w:r>
            <w:r>
              <w:rPr>
                <w:webHidden/>
              </w:rPr>
              <w:fldChar w:fldCharType="begin"/>
            </w:r>
            <w:r>
              <w:rPr>
                <w:webHidden/>
              </w:rPr>
              <w:instrText xml:space="preserve"> PAGEREF _Toc234310788 \h </w:instrText>
            </w:r>
            <w:r>
              <w:rPr>
                <w:webHidden/>
              </w:rPr>
            </w:r>
            <w:r>
              <w:rPr>
                <w:webHidden/>
              </w:rPr>
              <w:fldChar w:fldCharType="separate"/>
            </w:r>
            <w:r w:rsidR="00F8092D">
              <w:rPr>
                <w:webHidden/>
              </w:rPr>
              <w:t>23</w:t>
            </w:r>
            <w:r>
              <w:rPr>
                <w:webHidden/>
              </w:rPr>
              <w:fldChar w:fldCharType="end"/>
            </w:r>
          </w:hyperlink>
        </w:p>
        <w:p w14:paraId="10F77445" w14:textId="32A32422"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789" w:history="1">
            <w:r w:rsidRPr="007617E7">
              <w:rPr>
                <w:rStyle w:val="Hyperlink"/>
                <w:b/>
              </w:rPr>
              <w:t>2.4</w:t>
            </w:r>
            <w:r>
              <w:rPr>
                <w:rFonts w:asciiTheme="minorHAnsi" w:eastAsiaTheme="minorEastAsia" w:hAnsiTheme="minorHAnsi" w:cstheme="minorBidi"/>
                <w:color w:val="auto"/>
                <w:kern w:val="2"/>
                <w:szCs w:val="24"/>
                <w14:ligatures w14:val="standardContextual"/>
              </w:rPr>
              <w:tab/>
            </w:r>
            <w:r w:rsidRPr="007617E7">
              <w:rPr>
                <w:rStyle w:val="Hyperlink"/>
                <w:b/>
              </w:rPr>
              <w:t>Project Structure</w:t>
            </w:r>
            <w:r>
              <w:rPr>
                <w:webHidden/>
              </w:rPr>
              <w:tab/>
            </w:r>
            <w:r>
              <w:rPr>
                <w:webHidden/>
              </w:rPr>
              <w:fldChar w:fldCharType="begin"/>
            </w:r>
            <w:r>
              <w:rPr>
                <w:webHidden/>
              </w:rPr>
              <w:instrText xml:space="preserve"> PAGEREF _Toc234310789 \h </w:instrText>
            </w:r>
            <w:r>
              <w:rPr>
                <w:webHidden/>
              </w:rPr>
            </w:r>
            <w:r>
              <w:rPr>
                <w:webHidden/>
              </w:rPr>
              <w:fldChar w:fldCharType="separate"/>
            </w:r>
            <w:r w:rsidR="00F8092D">
              <w:rPr>
                <w:webHidden/>
              </w:rPr>
              <w:t>24</w:t>
            </w:r>
            <w:r>
              <w:rPr>
                <w:webHidden/>
              </w:rPr>
              <w:fldChar w:fldCharType="end"/>
            </w:r>
          </w:hyperlink>
        </w:p>
        <w:p w14:paraId="00342854" w14:textId="26CF1E67"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790" w:history="1">
            <w:r w:rsidRPr="007617E7">
              <w:rPr>
                <w:rStyle w:val="Hyperlink"/>
                <w:noProof/>
              </w:rPr>
              <w:t>2.4.1</w:t>
            </w:r>
            <w:r>
              <w:rPr>
                <w:rFonts w:asciiTheme="minorHAnsi" w:eastAsiaTheme="minorEastAsia" w:hAnsiTheme="minorHAnsi" w:cstheme="minorBidi"/>
                <w:noProof/>
                <w:color w:val="auto"/>
                <w:kern w:val="2"/>
                <w:szCs w:val="24"/>
                <w14:ligatures w14:val="standardContextual"/>
              </w:rPr>
              <w:tab/>
            </w:r>
            <w:r w:rsidRPr="007617E7">
              <w:rPr>
                <w:rStyle w:val="Hyperlink"/>
                <w:noProof/>
              </w:rPr>
              <w:t>Phase 1- EVSE Threat Modelling</w:t>
            </w:r>
            <w:r>
              <w:rPr>
                <w:noProof/>
                <w:webHidden/>
              </w:rPr>
              <w:tab/>
            </w:r>
            <w:r>
              <w:rPr>
                <w:noProof/>
                <w:webHidden/>
              </w:rPr>
              <w:fldChar w:fldCharType="begin"/>
            </w:r>
            <w:r>
              <w:rPr>
                <w:noProof/>
                <w:webHidden/>
              </w:rPr>
              <w:instrText xml:space="preserve"> PAGEREF _Toc234310790 \h </w:instrText>
            </w:r>
            <w:r>
              <w:rPr>
                <w:noProof/>
                <w:webHidden/>
              </w:rPr>
            </w:r>
            <w:r>
              <w:rPr>
                <w:noProof/>
                <w:webHidden/>
              </w:rPr>
              <w:fldChar w:fldCharType="separate"/>
            </w:r>
            <w:r w:rsidR="00F8092D">
              <w:rPr>
                <w:noProof/>
                <w:webHidden/>
              </w:rPr>
              <w:t>24</w:t>
            </w:r>
            <w:r>
              <w:rPr>
                <w:noProof/>
                <w:webHidden/>
              </w:rPr>
              <w:fldChar w:fldCharType="end"/>
            </w:r>
          </w:hyperlink>
        </w:p>
        <w:p w14:paraId="6BFBC6E6" w14:textId="67125586"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791" w:history="1">
            <w:r w:rsidRPr="007617E7">
              <w:rPr>
                <w:rStyle w:val="Hyperlink"/>
                <w:noProof/>
              </w:rPr>
              <w:t>2.4.2</w:t>
            </w:r>
            <w:r>
              <w:rPr>
                <w:rFonts w:asciiTheme="minorHAnsi" w:eastAsiaTheme="minorEastAsia" w:hAnsiTheme="minorHAnsi" w:cstheme="minorBidi"/>
                <w:noProof/>
                <w:color w:val="auto"/>
                <w:kern w:val="2"/>
                <w:szCs w:val="24"/>
                <w14:ligatures w14:val="standardContextual"/>
              </w:rPr>
              <w:tab/>
            </w:r>
            <w:r w:rsidRPr="007617E7">
              <w:rPr>
                <w:rStyle w:val="Hyperlink"/>
                <w:noProof/>
              </w:rPr>
              <w:t>TSM Reference Architecture Design</w:t>
            </w:r>
            <w:r>
              <w:rPr>
                <w:noProof/>
                <w:webHidden/>
              </w:rPr>
              <w:tab/>
            </w:r>
            <w:r>
              <w:rPr>
                <w:noProof/>
                <w:webHidden/>
              </w:rPr>
              <w:fldChar w:fldCharType="begin"/>
            </w:r>
            <w:r>
              <w:rPr>
                <w:noProof/>
                <w:webHidden/>
              </w:rPr>
              <w:instrText xml:space="preserve"> PAGEREF _Toc234310791 \h </w:instrText>
            </w:r>
            <w:r>
              <w:rPr>
                <w:noProof/>
                <w:webHidden/>
              </w:rPr>
            </w:r>
            <w:r>
              <w:rPr>
                <w:noProof/>
                <w:webHidden/>
              </w:rPr>
              <w:fldChar w:fldCharType="separate"/>
            </w:r>
            <w:r w:rsidR="00F8092D">
              <w:rPr>
                <w:noProof/>
                <w:webHidden/>
              </w:rPr>
              <w:t>29</w:t>
            </w:r>
            <w:r>
              <w:rPr>
                <w:noProof/>
                <w:webHidden/>
              </w:rPr>
              <w:fldChar w:fldCharType="end"/>
            </w:r>
          </w:hyperlink>
        </w:p>
        <w:p w14:paraId="350A6217" w14:textId="3C17E167"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792" w:history="1">
            <w:r w:rsidRPr="007617E7">
              <w:rPr>
                <w:rStyle w:val="Hyperlink"/>
                <w:noProof/>
              </w:rPr>
              <w:t>2.4.3</w:t>
            </w:r>
            <w:r>
              <w:rPr>
                <w:rFonts w:asciiTheme="minorHAnsi" w:eastAsiaTheme="minorEastAsia" w:hAnsiTheme="minorHAnsi" w:cstheme="minorBidi"/>
                <w:noProof/>
                <w:color w:val="auto"/>
                <w:kern w:val="2"/>
                <w:szCs w:val="24"/>
                <w14:ligatures w14:val="standardContextual"/>
              </w:rPr>
              <w:tab/>
            </w:r>
            <w:r w:rsidRPr="007617E7">
              <w:rPr>
                <w:rStyle w:val="Hyperlink"/>
                <w:noProof/>
              </w:rPr>
              <w:t>Phase 2: Cyber–Physical Co-Simulation Platform Development</w:t>
            </w:r>
            <w:r>
              <w:rPr>
                <w:noProof/>
                <w:webHidden/>
              </w:rPr>
              <w:tab/>
            </w:r>
            <w:r>
              <w:rPr>
                <w:noProof/>
                <w:webHidden/>
              </w:rPr>
              <w:fldChar w:fldCharType="begin"/>
            </w:r>
            <w:r>
              <w:rPr>
                <w:noProof/>
                <w:webHidden/>
              </w:rPr>
              <w:instrText xml:space="preserve"> PAGEREF _Toc234310792 \h </w:instrText>
            </w:r>
            <w:r>
              <w:rPr>
                <w:noProof/>
                <w:webHidden/>
              </w:rPr>
            </w:r>
            <w:r>
              <w:rPr>
                <w:noProof/>
                <w:webHidden/>
              </w:rPr>
              <w:fldChar w:fldCharType="separate"/>
            </w:r>
            <w:r w:rsidR="00F8092D">
              <w:rPr>
                <w:noProof/>
                <w:webHidden/>
              </w:rPr>
              <w:t>31</w:t>
            </w:r>
            <w:r>
              <w:rPr>
                <w:noProof/>
                <w:webHidden/>
              </w:rPr>
              <w:fldChar w:fldCharType="end"/>
            </w:r>
          </w:hyperlink>
        </w:p>
        <w:p w14:paraId="6A61C9DF" w14:textId="527DCCC6"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793" w:history="1">
            <w:r w:rsidRPr="007617E7">
              <w:rPr>
                <w:rStyle w:val="Hyperlink"/>
                <w:noProof/>
              </w:rPr>
              <w:t>2.4.4</w:t>
            </w:r>
            <w:r>
              <w:rPr>
                <w:rFonts w:asciiTheme="minorHAnsi" w:eastAsiaTheme="minorEastAsia" w:hAnsiTheme="minorHAnsi" w:cstheme="minorBidi"/>
                <w:noProof/>
                <w:color w:val="auto"/>
                <w:kern w:val="2"/>
                <w:szCs w:val="24"/>
                <w14:ligatures w14:val="standardContextual"/>
              </w:rPr>
              <w:tab/>
            </w:r>
            <w:r w:rsidRPr="007617E7">
              <w:rPr>
                <w:rStyle w:val="Hyperlink"/>
                <w:noProof/>
              </w:rPr>
              <w:t>Phase 3: TSM Implementation and Experimentation</w:t>
            </w:r>
            <w:r>
              <w:rPr>
                <w:noProof/>
                <w:webHidden/>
              </w:rPr>
              <w:tab/>
            </w:r>
            <w:r>
              <w:rPr>
                <w:noProof/>
                <w:webHidden/>
              </w:rPr>
              <w:fldChar w:fldCharType="begin"/>
            </w:r>
            <w:r>
              <w:rPr>
                <w:noProof/>
                <w:webHidden/>
              </w:rPr>
              <w:instrText xml:space="preserve"> PAGEREF _Toc234310793 \h </w:instrText>
            </w:r>
            <w:r>
              <w:rPr>
                <w:noProof/>
                <w:webHidden/>
              </w:rPr>
            </w:r>
            <w:r>
              <w:rPr>
                <w:noProof/>
                <w:webHidden/>
              </w:rPr>
              <w:fldChar w:fldCharType="separate"/>
            </w:r>
            <w:r w:rsidR="00F8092D">
              <w:rPr>
                <w:noProof/>
                <w:webHidden/>
              </w:rPr>
              <w:t>33</w:t>
            </w:r>
            <w:r>
              <w:rPr>
                <w:noProof/>
                <w:webHidden/>
              </w:rPr>
              <w:fldChar w:fldCharType="end"/>
            </w:r>
          </w:hyperlink>
        </w:p>
        <w:p w14:paraId="448A4EB9" w14:textId="22964A69"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794" w:history="1">
            <w:r w:rsidRPr="007617E7">
              <w:rPr>
                <w:rStyle w:val="Hyperlink"/>
                <w:noProof/>
              </w:rPr>
              <w:t>2.4.5</w:t>
            </w:r>
            <w:r>
              <w:rPr>
                <w:rFonts w:asciiTheme="minorHAnsi" w:eastAsiaTheme="minorEastAsia" w:hAnsiTheme="minorHAnsi" w:cstheme="minorBidi"/>
                <w:noProof/>
                <w:color w:val="auto"/>
                <w:kern w:val="2"/>
                <w:szCs w:val="24"/>
                <w14:ligatures w14:val="standardContextual"/>
              </w:rPr>
              <w:tab/>
            </w:r>
            <w:r w:rsidRPr="007617E7">
              <w:rPr>
                <w:rStyle w:val="Hyperlink"/>
                <w:noProof/>
              </w:rPr>
              <w:t>Phase 4. Policy Recommendations and Dissemination</w:t>
            </w:r>
            <w:r>
              <w:rPr>
                <w:noProof/>
                <w:webHidden/>
              </w:rPr>
              <w:tab/>
            </w:r>
            <w:r>
              <w:rPr>
                <w:noProof/>
                <w:webHidden/>
              </w:rPr>
              <w:fldChar w:fldCharType="begin"/>
            </w:r>
            <w:r>
              <w:rPr>
                <w:noProof/>
                <w:webHidden/>
              </w:rPr>
              <w:instrText xml:space="preserve"> PAGEREF _Toc234310794 \h </w:instrText>
            </w:r>
            <w:r>
              <w:rPr>
                <w:noProof/>
                <w:webHidden/>
              </w:rPr>
            </w:r>
            <w:r>
              <w:rPr>
                <w:noProof/>
                <w:webHidden/>
              </w:rPr>
              <w:fldChar w:fldCharType="separate"/>
            </w:r>
            <w:r w:rsidR="00F8092D">
              <w:rPr>
                <w:noProof/>
                <w:webHidden/>
              </w:rPr>
              <w:t>40</w:t>
            </w:r>
            <w:r>
              <w:rPr>
                <w:noProof/>
                <w:webHidden/>
              </w:rPr>
              <w:fldChar w:fldCharType="end"/>
            </w:r>
          </w:hyperlink>
        </w:p>
        <w:p w14:paraId="08FAD977" w14:textId="04521BDD"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795" w:history="1">
            <w:r w:rsidRPr="007617E7">
              <w:rPr>
                <w:rStyle w:val="Hyperlink"/>
              </w:rPr>
              <w:t>2.5</w:t>
            </w:r>
            <w:r>
              <w:rPr>
                <w:rFonts w:asciiTheme="minorHAnsi" w:eastAsiaTheme="minorEastAsia" w:hAnsiTheme="minorHAnsi" w:cstheme="minorBidi"/>
                <w:color w:val="auto"/>
                <w:kern w:val="2"/>
                <w:szCs w:val="24"/>
                <w14:ligatures w14:val="standardContextual"/>
              </w:rPr>
              <w:tab/>
            </w:r>
            <w:r w:rsidRPr="007617E7">
              <w:rPr>
                <w:rStyle w:val="Hyperlink"/>
              </w:rPr>
              <w:t>Summary</w:t>
            </w:r>
            <w:r>
              <w:rPr>
                <w:webHidden/>
              </w:rPr>
              <w:tab/>
            </w:r>
            <w:r>
              <w:rPr>
                <w:webHidden/>
              </w:rPr>
              <w:fldChar w:fldCharType="begin"/>
            </w:r>
            <w:r>
              <w:rPr>
                <w:webHidden/>
              </w:rPr>
              <w:instrText xml:space="preserve"> PAGEREF _Toc234310795 \h </w:instrText>
            </w:r>
            <w:r>
              <w:rPr>
                <w:webHidden/>
              </w:rPr>
            </w:r>
            <w:r>
              <w:rPr>
                <w:webHidden/>
              </w:rPr>
              <w:fldChar w:fldCharType="separate"/>
            </w:r>
            <w:r w:rsidR="00F8092D">
              <w:rPr>
                <w:webHidden/>
              </w:rPr>
              <w:t>40</w:t>
            </w:r>
            <w:r>
              <w:rPr>
                <w:webHidden/>
              </w:rPr>
              <w:fldChar w:fldCharType="end"/>
            </w:r>
          </w:hyperlink>
        </w:p>
        <w:p w14:paraId="1A755DEF" w14:textId="6D414145" w:rsidR="00E13EFC" w:rsidRDefault="00E13EFC">
          <w:pPr>
            <w:pStyle w:val="TOC1"/>
            <w:rPr>
              <w:rFonts w:asciiTheme="minorHAnsi" w:eastAsiaTheme="minorEastAsia" w:hAnsiTheme="minorHAnsi" w:cstheme="minorBidi"/>
              <w:b w:val="0"/>
              <w:color w:val="auto"/>
              <w:kern w:val="2"/>
              <w:szCs w:val="24"/>
              <w14:ligatures w14:val="standardContextual"/>
            </w:rPr>
          </w:pPr>
          <w:hyperlink w:anchor="_Toc234310796" w:history="1">
            <w:r w:rsidRPr="007617E7">
              <w:rPr>
                <w:rStyle w:val="Hyperlink"/>
              </w:rPr>
              <w:t>3</w:t>
            </w:r>
            <w:r>
              <w:rPr>
                <w:rFonts w:asciiTheme="minorHAnsi" w:eastAsiaTheme="minorEastAsia" w:hAnsiTheme="minorHAnsi" w:cstheme="minorBidi"/>
                <w:b w:val="0"/>
                <w:color w:val="auto"/>
                <w:kern w:val="2"/>
                <w:szCs w:val="24"/>
                <w14:ligatures w14:val="standardContextual"/>
              </w:rPr>
              <w:tab/>
            </w:r>
            <w:r w:rsidRPr="007617E7">
              <w:rPr>
                <w:rStyle w:val="Hyperlink"/>
              </w:rPr>
              <w:t>Results</w:t>
            </w:r>
            <w:r>
              <w:rPr>
                <w:webHidden/>
              </w:rPr>
              <w:tab/>
            </w:r>
            <w:r>
              <w:rPr>
                <w:webHidden/>
              </w:rPr>
              <w:fldChar w:fldCharType="begin"/>
            </w:r>
            <w:r>
              <w:rPr>
                <w:webHidden/>
              </w:rPr>
              <w:instrText xml:space="preserve"> PAGEREF _Toc234310796 \h </w:instrText>
            </w:r>
            <w:r>
              <w:rPr>
                <w:webHidden/>
              </w:rPr>
            </w:r>
            <w:r>
              <w:rPr>
                <w:webHidden/>
              </w:rPr>
              <w:fldChar w:fldCharType="separate"/>
            </w:r>
            <w:r w:rsidR="00F8092D">
              <w:rPr>
                <w:webHidden/>
              </w:rPr>
              <w:t>41</w:t>
            </w:r>
            <w:r>
              <w:rPr>
                <w:webHidden/>
              </w:rPr>
              <w:fldChar w:fldCharType="end"/>
            </w:r>
          </w:hyperlink>
        </w:p>
        <w:p w14:paraId="23A15A0A" w14:textId="5D1993CC"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797" w:history="1">
            <w:r w:rsidRPr="007617E7">
              <w:rPr>
                <w:rStyle w:val="Hyperlink"/>
                <w:b/>
              </w:rPr>
              <w:t>3.1</w:t>
            </w:r>
            <w:r>
              <w:rPr>
                <w:rFonts w:asciiTheme="minorHAnsi" w:eastAsiaTheme="minorEastAsia" w:hAnsiTheme="minorHAnsi" w:cstheme="minorBidi"/>
                <w:color w:val="auto"/>
                <w:kern w:val="2"/>
                <w:szCs w:val="24"/>
                <w14:ligatures w14:val="standardContextual"/>
              </w:rPr>
              <w:tab/>
            </w:r>
            <w:r w:rsidRPr="007617E7">
              <w:rPr>
                <w:rStyle w:val="Hyperlink"/>
                <w:b/>
              </w:rPr>
              <w:t>EVSE Vulnerabilities Analysis</w:t>
            </w:r>
            <w:r>
              <w:rPr>
                <w:webHidden/>
              </w:rPr>
              <w:tab/>
            </w:r>
            <w:r>
              <w:rPr>
                <w:webHidden/>
              </w:rPr>
              <w:fldChar w:fldCharType="begin"/>
            </w:r>
            <w:r>
              <w:rPr>
                <w:webHidden/>
              </w:rPr>
              <w:instrText xml:space="preserve"> PAGEREF _Toc234310797 \h </w:instrText>
            </w:r>
            <w:r>
              <w:rPr>
                <w:webHidden/>
              </w:rPr>
            </w:r>
            <w:r>
              <w:rPr>
                <w:webHidden/>
              </w:rPr>
              <w:fldChar w:fldCharType="separate"/>
            </w:r>
            <w:r w:rsidR="00F8092D">
              <w:rPr>
                <w:webHidden/>
              </w:rPr>
              <w:t>41</w:t>
            </w:r>
            <w:r>
              <w:rPr>
                <w:webHidden/>
              </w:rPr>
              <w:fldChar w:fldCharType="end"/>
            </w:r>
          </w:hyperlink>
        </w:p>
        <w:p w14:paraId="0007FEAA" w14:textId="134C47C3"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798" w:history="1">
            <w:r w:rsidRPr="007617E7">
              <w:rPr>
                <w:rStyle w:val="Hyperlink"/>
                <w:noProof/>
              </w:rPr>
              <w:t>3.1.1</w:t>
            </w:r>
            <w:r>
              <w:rPr>
                <w:rFonts w:asciiTheme="minorHAnsi" w:eastAsiaTheme="minorEastAsia" w:hAnsiTheme="minorHAnsi" w:cstheme="minorBidi"/>
                <w:noProof/>
                <w:color w:val="auto"/>
                <w:kern w:val="2"/>
                <w:szCs w:val="24"/>
                <w14:ligatures w14:val="standardContextual"/>
              </w:rPr>
              <w:tab/>
            </w:r>
            <w:r w:rsidRPr="007617E7">
              <w:rPr>
                <w:rStyle w:val="Hyperlink"/>
                <w:noProof/>
              </w:rPr>
              <w:t>Vulnerabilities Findings</w:t>
            </w:r>
            <w:r>
              <w:rPr>
                <w:noProof/>
                <w:webHidden/>
              </w:rPr>
              <w:tab/>
            </w:r>
            <w:r>
              <w:rPr>
                <w:noProof/>
                <w:webHidden/>
              </w:rPr>
              <w:fldChar w:fldCharType="begin"/>
            </w:r>
            <w:r>
              <w:rPr>
                <w:noProof/>
                <w:webHidden/>
              </w:rPr>
              <w:instrText xml:space="preserve"> PAGEREF _Toc234310798 \h </w:instrText>
            </w:r>
            <w:r>
              <w:rPr>
                <w:noProof/>
                <w:webHidden/>
              </w:rPr>
            </w:r>
            <w:r>
              <w:rPr>
                <w:noProof/>
                <w:webHidden/>
              </w:rPr>
              <w:fldChar w:fldCharType="separate"/>
            </w:r>
            <w:r w:rsidR="00F8092D">
              <w:rPr>
                <w:noProof/>
                <w:webHidden/>
              </w:rPr>
              <w:t>41</w:t>
            </w:r>
            <w:r>
              <w:rPr>
                <w:noProof/>
                <w:webHidden/>
              </w:rPr>
              <w:fldChar w:fldCharType="end"/>
            </w:r>
          </w:hyperlink>
        </w:p>
        <w:p w14:paraId="4DC168BE" w14:textId="257ECF82"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799" w:history="1">
            <w:r w:rsidRPr="007617E7">
              <w:rPr>
                <w:rStyle w:val="Hyperlink"/>
                <w:noProof/>
              </w:rPr>
              <w:t>3.1.2</w:t>
            </w:r>
            <w:r>
              <w:rPr>
                <w:rFonts w:asciiTheme="minorHAnsi" w:eastAsiaTheme="minorEastAsia" w:hAnsiTheme="minorHAnsi" w:cstheme="minorBidi"/>
                <w:noProof/>
                <w:color w:val="auto"/>
                <w:kern w:val="2"/>
                <w:szCs w:val="24"/>
                <w14:ligatures w14:val="standardContextual"/>
              </w:rPr>
              <w:tab/>
            </w:r>
            <w:r w:rsidRPr="007617E7">
              <w:rPr>
                <w:rStyle w:val="Hyperlink"/>
                <w:noProof/>
              </w:rPr>
              <w:t>Vulnerability Type Concentration (CWE Analysis).</w:t>
            </w:r>
            <w:r>
              <w:rPr>
                <w:noProof/>
                <w:webHidden/>
              </w:rPr>
              <w:tab/>
            </w:r>
            <w:r>
              <w:rPr>
                <w:noProof/>
                <w:webHidden/>
              </w:rPr>
              <w:fldChar w:fldCharType="begin"/>
            </w:r>
            <w:r>
              <w:rPr>
                <w:noProof/>
                <w:webHidden/>
              </w:rPr>
              <w:instrText xml:space="preserve"> PAGEREF _Toc234310799 \h </w:instrText>
            </w:r>
            <w:r>
              <w:rPr>
                <w:noProof/>
                <w:webHidden/>
              </w:rPr>
            </w:r>
            <w:r>
              <w:rPr>
                <w:noProof/>
                <w:webHidden/>
              </w:rPr>
              <w:fldChar w:fldCharType="separate"/>
            </w:r>
            <w:r w:rsidR="00F8092D">
              <w:rPr>
                <w:noProof/>
                <w:webHidden/>
              </w:rPr>
              <w:t>42</w:t>
            </w:r>
            <w:r>
              <w:rPr>
                <w:noProof/>
                <w:webHidden/>
              </w:rPr>
              <w:fldChar w:fldCharType="end"/>
            </w:r>
          </w:hyperlink>
        </w:p>
        <w:p w14:paraId="0FDC2894" w14:textId="425CCB05"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800" w:history="1">
            <w:r w:rsidRPr="007617E7">
              <w:rPr>
                <w:rStyle w:val="Hyperlink"/>
                <w:b/>
              </w:rPr>
              <w:t>3.2</w:t>
            </w:r>
            <w:r>
              <w:rPr>
                <w:rFonts w:asciiTheme="minorHAnsi" w:eastAsiaTheme="minorEastAsia" w:hAnsiTheme="minorHAnsi" w:cstheme="minorBidi"/>
                <w:color w:val="auto"/>
                <w:kern w:val="2"/>
                <w:szCs w:val="24"/>
                <w14:ligatures w14:val="standardContextual"/>
              </w:rPr>
              <w:tab/>
            </w:r>
            <w:r w:rsidRPr="007617E7">
              <w:rPr>
                <w:rStyle w:val="Hyperlink"/>
                <w:b/>
              </w:rPr>
              <w:t>EVSE Attack Surface Analysis</w:t>
            </w:r>
            <w:r>
              <w:rPr>
                <w:webHidden/>
              </w:rPr>
              <w:tab/>
            </w:r>
            <w:r>
              <w:rPr>
                <w:webHidden/>
              </w:rPr>
              <w:fldChar w:fldCharType="begin"/>
            </w:r>
            <w:r>
              <w:rPr>
                <w:webHidden/>
              </w:rPr>
              <w:instrText xml:space="preserve"> PAGEREF _Toc234310800 \h </w:instrText>
            </w:r>
            <w:r>
              <w:rPr>
                <w:webHidden/>
              </w:rPr>
            </w:r>
            <w:r>
              <w:rPr>
                <w:webHidden/>
              </w:rPr>
              <w:fldChar w:fldCharType="separate"/>
            </w:r>
            <w:r w:rsidR="00F8092D">
              <w:rPr>
                <w:webHidden/>
              </w:rPr>
              <w:t>43</w:t>
            </w:r>
            <w:r>
              <w:rPr>
                <w:webHidden/>
              </w:rPr>
              <w:fldChar w:fldCharType="end"/>
            </w:r>
          </w:hyperlink>
        </w:p>
        <w:p w14:paraId="0C0D77EE" w14:textId="072AA3D3"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801" w:history="1">
            <w:r w:rsidRPr="007617E7">
              <w:rPr>
                <w:rStyle w:val="Hyperlink"/>
                <w:noProof/>
              </w:rPr>
              <w:t>Firmware Governance and Trust Weaknesses:</w:t>
            </w:r>
            <w:r>
              <w:rPr>
                <w:noProof/>
                <w:webHidden/>
              </w:rPr>
              <w:tab/>
            </w:r>
            <w:r>
              <w:rPr>
                <w:noProof/>
                <w:webHidden/>
              </w:rPr>
              <w:fldChar w:fldCharType="begin"/>
            </w:r>
            <w:r>
              <w:rPr>
                <w:noProof/>
                <w:webHidden/>
              </w:rPr>
              <w:instrText xml:space="preserve"> PAGEREF _Toc234310801 \h </w:instrText>
            </w:r>
            <w:r>
              <w:rPr>
                <w:noProof/>
                <w:webHidden/>
              </w:rPr>
            </w:r>
            <w:r>
              <w:rPr>
                <w:noProof/>
                <w:webHidden/>
              </w:rPr>
              <w:fldChar w:fldCharType="separate"/>
            </w:r>
            <w:r w:rsidR="00F8092D">
              <w:rPr>
                <w:noProof/>
                <w:webHidden/>
              </w:rPr>
              <w:t>45</w:t>
            </w:r>
            <w:r>
              <w:rPr>
                <w:noProof/>
                <w:webHidden/>
              </w:rPr>
              <w:fldChar w:fldCharType="end"/>
            </w:r>
          </w:hyperlink>
        </w:p>
        <w:p w14:paraId="7BBEA7D8" w14:textId="47E8F47C"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802" w:history="1">
            <w:r w:rsidRPr="007617E7">
              <w:rPr>
                <w:rStyle w:val="Hyperlink"/>
                <w:b/>
              </w:rPr>
              <w:t>3.3</w:t>
            </w:r>
            <w:r>
              <w:rPr>
                <w:rFonts w:asciiTheme="minorHAnsi" w:eastAsiaTheme="minorEastAsia" w:hAnsiTheme="minorHAnsi" w:cstheme="minorBidi"/>
                <w:color w:val="auto"/>
                <w:kern w:val="2"/>
                <w:szCs w:val="24"/>
                <w14:ligatures w14:val="standardContextual"/>
              </w:rPr>
              <w:tab/>
            </w:r>
            <w:r w:rsidRPr="007617E7">
              <w:rPr>
                <w:rStyle w:val="Hyperlink"/>
                <w:b/>
              </w:rPr>
              <w:t>Attack Graphs Analysis</w:t>
            </w:r>
            <w:r>
              <w:rPr>
                <w:webHidden/>
              </w:rPr>
              <w:tab/>
            </w:r>
            <w:r>
              <w:rPr>
                <w:webHidden/>
              </w:rPr>
              <w:fldChar w:fldCharType="begin"/>
            </w:r>
            <w:r>
              <w:rPr>
                <w:webHidden/>
              </w:rPr>
              <w:instrText xml:space="preserve"> PAGEREF _Toc234310802 \h </w:instrText>
            </w:r>
            <w:r>
              <w:rPr>
                <w:webHidden/>
              </w:rPr>
            </w:r>
            <w:r>
              <w:rPr>
                <w:webHidden/>
              </w:rPr>
              <w:fldChar w:fldCharType="separate"/>
            </w:r>
            <w:r w:rsidR="00F8092D">
              <w:rPr>
                <w:webHidden/>
              </w:rPr>
              <w:t>45</w:t>
            </w:r>
            <w:r>
              <w:rPr>
                <w:webHidden/>
              </w:rPr>
              <w:fldChar w:fldCharType="end"/>
            </w:r>
          </w:hyperlink>
        </w:p>
        <w:p w14:paraId="5C3A071F" w14:textId="1F4C90E1"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803" w:history="1">
            <w:r w:rsidRPr="007617E7">
              <w:rPr>
                <w:rStyle w:val="Hyperlink"/>
                <w:noProof/>
              </w:rPr>
              <w:t>Firmware Compromise Attack</w:t>
            </w:r>
            <w:r>
              <w:rPr>
                <w:noProof/>
                <w:webHidden/>
              </w:rPr>
              <w:tab/>
            </w:r>
            <w:r>
              <w:rPr>
                <w:noProof/>
                <w:webHidden/>
              </w:rPr>
              <w:fldChar w:fldCharType="begin"/>
            </w:r>
            <w:r>
              <w:rPr>
                <w:noProof/>
                <w:webHidden/>
              </w:rPr>
              <w:instrText xml:space="preserve"> PAGEREF _Toc234310803 \h </w:instrText>
            </w:r>
            <w:r>
              <w:rPr>
                <w:noProof/>
                <w:webHidden/>
              </w:rPr>
            </w:r>
            <w:r>
              <w:rPr>
                <w:noProof/>
                <w:webHidden/>
              </w:rPr>
              <w:fldChar w:fldCharType="separate"/>
            </w:r>
            <w:r w:rsidR="00F8092D">
              <w:rPr>
                <w:noProof/>
                <w:webHidden/>
              </w:rPr>
              <w:t>45</w:t>
            </w:r>
            <w:r>
              <w:rPr>
                <w:noProof/>
                <w:webHidden/>
              </w:rPr>
              <w:fldChar w:fldCharType="end"/>
            </w:r>
          </w:hyperlink>
        </w:p>
        <w:p w14:paraId="393021A1" w14:textId="6A0CE9F5"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804" w:history="1">
            <w:r w:rsidRPr="007617E7">
              <w:rPr>
                <w:rStyle w:val="Hyperlink"/>
                <w:b/>
              </w:rPr>
              <w:t>3.4</w:t>
            </w:r>
            <w:r>
              <w:rPr>
                <w:rFonts w:asciiTheme="minorHAnsi" w:eastAsiaTheme="minorEastAsia" w:hAnsiTheme="minorHAnsi" w:cstheme="minorBidi"/>
                <w:color w:val="auto"/>
                <w:kern w:val="2"/>
                <w:szCs w:val="24"/>
                <w14:ligatures w14:val="standardContextual"/>
              </w:rPr>
              <w:tab/>
            </w:r>
            <w:r w:rsidRPr="007617E7">
              <w:rPr>
                <w:rStyle w:val="Hyperlink"/>
                <w:b/>
              </w:rPr>
              <w:t>Risk Analysis</w:t>
            </w:r>
            <w:r>
              <w:rPr>
                <w:webHidden/>
              </w:rPr>
              <w:tab/>
            </w:r>
            <w:r>
              <w:rPr>
                <w:webHidden/>
              </w:rPr>
              <w:fldChar w:fldCharType="begin"/>
            </w:r>
            <w:r>
              <w:rPr>
                <w:webHidden/>
              </w:rPr>
              <w:instrText xml:space="preserve"> PAGEREF _Toc234310804 \h </w:instrText>
            </w:r>
            <w:r>
              <w:rPr>
                <w:webHidden/>
              </w:rPr>
            </w:r>
            <w:r>
              <w:rPr>
                <w:webHidden/>
              </w:rPr>
              <w:fldChar w:fldCharType="separate"/>
            </w:r>
            <w:r w:rsidR="00F8092D">
              <w:rPr>
                <w:webHidden/>
              </w:rPr>
              <w:t>47</w:t>
            </w:r>
            <w:r>
              <w:rPr>
                <w:webHidden/>
              </w:rPr>
              <w:fldChar w:fldCharType="end"/>
            </w:r>
          </w:hyperlink>
        </w:p>
        <w:p w14:paraId="0686F083" w14:textId="7F50FC1D"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805" w:history="1">
            <w:r w:rsidRPr="007617E7">
              <w:rPr>
                <w:rStyle w:val="Hyperlink"/>
                <w:noProof/>
              </w:rPr>
              <w:t>3.4.1</w:t>
            </w:r>
            <w:r>
              <w:rPr>
                <w:rFonts w:asciiTheme="minorHAnsi" w:eastAsiaTheme="minorEastAsia" w:hAnsiTheme="minorHAnsi" w:cstheme="minorBidi"/>
                <w:noProof/>
                <w:color w:val="auto"/>
                <w:kern w:val="2"/>
                <w:szCs w:val="24"/>
                <w14:ligatures w14:val="standardContextual"/>
              </w:rPr>
              <w:tab/>
            </w:r>
            <w:r w:rsidRPr="007617E7">
              <w:rPr>
                <w:rStyle w:val="Hyperlink"/>
                <w:noProof/>
              </w:rPr>
              <w:t>EVSE Threat Distribution Across STRIDE Categories</w:t>
            </w:r>
            <w:r>
              <w:rPr>
                <w:noProof/>
                <w:webHidden/>
              </w:rPr>
              <w:tab/>
            </w:r>
            <w:r>
              <w:rPr>
                <w:noProof/>
                <w:webHidden/>
              </w:rPr>
              <w:fldChar w:fldCharType="begin"/>
            </w:r>
            <w:r>
              <w:rPr>
                <w:noProof/>
                <w:webHidden/>
              </w:rPr>
              <w:instrText xml:space="preserve"> PAGEREF _Toc234310805 \h </w:instrText>
            </w:r>
            <w:r>
              <w:rPr>
                <w:noProof/>
                <w:webHidden/>
              </w:rPr>
            </w:r>
            <w:r>
              <w:rPr>
                <w:noProof/>
                <w:webHidden/>
              </w:rPr>
              <w:fldChar w:fldCharType="separate"/>
            </w:r>
            <w:r w:rsidR="00F8092D">
              <w:rPr>
                <w:noProof/>
                <w:webHidden/>
              </w:rPr>
              <w:t>47</w:t>
            </w:r>
            <w:r>
              <w:rPr>
                <w:noProof/>
                <w:webHidden/>
              </w:rPr>
              <w:fldChar w:fldCharType="end"/>
            </w:r>
          </w:hyperlink>
        </w:p>
        <w:p w14:paraId="01C58EF6" w14:textId="47D77C07"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806" w:history="1">
            <w:r w:rsidRPr="007617E7">
              <w:rPr>
                <w:rStyle w:val="Hyperlink"/>
                <w:noProof/>
              </w:rPr>
              <w:t>3.4.2</w:t>
            </w:r>
            <w:r>
              <w:rPr>
                <w:rFonts w:asciiTheme="minorHAnsi" w:eastAsiaTheme="minorEastAsia" w:hAnsiTheme="minorHAnsi" w:cstheme="minorBidi"/>
                <w:noProof/>
                <w:color w:val="auto"/>
                <w:kern w:val="2"/>
                <w:szCs w:val="24"/>
                <w14:ligatures w14:val="standardContextual"/>
              </w:rPr>
              <w:tab/>
            </w:r>
            <w:r w:rsidRPr="007617E7">
              <w:rPr>
                <w:rStyle w:val="Hyperlink"/>
                <w:noProof/>
              </w:rPr>
              <w:t>Structural Dynamics of High-Risk Threats</w:t>
            </w:r>
            <w:r>
              <w:rPr>
                <w:noProof/>
                <w:webHidden/>
              </w:rPr>
              <w:tab/>
            </w:r>
            <w:r>
              <w:rPr>
                <w:noProof/>
                <w:webHidden/>
              </w:rPr>
              <w:fldChar w:fldCharType="begin"/>
            </w:r>
            <w:r>
              <w:rPr>
                <w:noProof/>
                <w:webHidden/>
              </w:rPr>
              <w:instrText xml:space="preserve"> PAGEREF _Toc234310806 \h </w:instrText>
            </w:r>
            <w:r>
              <w:rPr>
                <w:noProof/>
                <w:webHidden/>
              </w:rPr>
            </w:r>
            <w:r>
              <w:rPr>
                <w:noProof/>
                <w:webHidden/>
              </w:rPr>
              <w:fldChar w:fldCharType="separate"/>
            </w:r>
            <w:r w:rsidR="00F8092D">
              <w:rPr>
                <w:noProof/>
                <w:webHidden/>
              </w:rPr>
              <w:t>48</w:t>
            </w:r>
            <w:r>
              <w:rPr>
                <w:noProof/>
                <w:webHidden/>
              </w:rPr>
              <w:fldChar w:fldCharType="end"/>
            </w:r>
          </w:hyperlink>
        </w:p>
        <w:p w14:paraId="130A1DC8" w14:textId="030DFF82"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807" w:history="1">
            <w:r w:rsidRPr="007617E7">
              <w:rPr>
                <w:rStyle w:val="Hyperlink"/>
                <w:b/>
              </w:rPr>
              <w:t>3.5</w:t>
            </w:r>
            <w:r>
              <w:rPr>
                <w:rFonts w:asciiTheme="minorHAnsi" w:eastAsiaTheme="minorEastAsia" w:hAnsiTheme="minorHAnsi" w:cstheme="minorBidi"/>
                <w:color w:val="auto"/>
                <w:kern w:val="2"/>
                <w:szCs w:val="24"/>
                <w14:ligatures w14:val="standardContextual"/>
              </w:rPr>
              <w:tab/>
            </w:r>
            <w:r w:rsidRPr="007617E7">
              <w:rPr>
                <w:rStyle w:val="Hyperlink"/>
                <w:b/>
              </w:rPr>
              <w:t>TSM Reference Architecture</w:t>
            </w:r>
            <w:r>
              <w:rPr>
                <w:webHidden/>
              </w:rPr>
              <w:tab/>
            </w:r>
            <w:r>
              <w:rPr>
                <w:webHidden/>
              </w:rPr>
              <w:fldChar w:fldCharType="begin"/>
            </w:r>
            <w:r>
              <w:rPr>
                <w:webHidden/>
              </w:rPr>
              <w:instrText xml:space="preserve"> PAGEREF _Toc234310807 \h </w:instrText>
            </w:r>
            <w:r>
              <w:rPr>
                <w:webHidden/>
              </w:rPr>
            </w:r>
            <w:r>
              <w:rPr>
                <w:webHidden/>
              </w:rPr>
              <w:fldChar w:fldCharType="separate"/>
            </w:r>
            <w:r w:rsidR="00F8092D">
              <w:rPr>
                <w:webHidden/>
              </w:rPr>
              <w:t>50</w:t>
            </w:r>
            <w:r>
              <w:rPr>
                <w:webHidden/>
              </w:rPr>
              <w:fldChar w:fldCharType="end"/>
            </w:r>
          </w:hyperlink>
        </w:p>
        <w:p w14:paraId="06252DCC" w14:textId="3A2609F8"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808" w:history="1">
            <w:r w:rsidRPr="007617E7">
              <w:rPr>
                <w:rStyle w:val="Hyperlink"/>
                <w:noProof/>
              </w:rPr>
              <w:t>3.5.1</w:t>
            </w:r>
            <w:r>
              <w:rPr>
                <w:rFonts w:asciiTheme="minorHAnsi" w:eastAsiaTheme="minorEastAsia" w:hAnsiTheme="minorHAnsi" w:cstheme="minorBidi"/>
                <w:noProof/>
                <w:color w:val="auto"/>
                <w:kern w:val="2"/>
                <w:szCs w:val="24"/>
                <w14:ligatures w14:val="standardContextual"/>
              </w:rPr>
              <w:tab/>
            </w:r>
            <w:r w:rsidRPr="007617E7">
              <w:rPr>
                <w:rStyle w:val="Hyperlink"/>
                <w:noProof/>
              </w:rPr>
              <w:t>Architectural Design Realisation</w:t>
            </w:r>
            <w:r>
              <w:rPr>
                <w:noProof/>
                <w:webHidden/>
              </w:rPr>
              <w:tab/>
            </w:r>
            <w:r>
              <w:rPr>
                <w:noProof/>
                <w:webHidden/>
              </w:rPr>
              <w:fldChar w:fldCharType="begin"/>
            </w:r>
            <w:r>
              <w:rPr>
                <w:noProof/>
                <w:webHidden/>
              </w:rPr>
              <w:instrText xml:space="preserve"> PAGEREF _Toc234310808 \h </w:instrText>
            </w:r>
            <w:r>
              <w:rPr>
                <w:noProof/>
                <w:webHidden/>
              </w:rPr>
            </w:r>
            <w:r>
              <w:rPr>
                <w:noProof/>
                <w:webHidden/>
              </w:rPr>
              <w:fldChar w:fldCharType="separate"/>
            </w:r>
            <w:r w:rsidR="00F8092D">
              <w:rPr>
                <w:noProof/>
                <w:webHidden/>
              </w:rPr>
              <w:t>50</w:t>
            </w:r>
            <w:r>
              <w:rPr>
                <w:noProof/>
                <w:webHidden/>
              </w:rPr>
              <w:fldChar w:fldCharType="end"/>
            </w:r>
          </w:hyperlink>
        </w:p>
        <w:p w14:paraId="5B5A8EB3" w14:textId="5B9D9283"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809" w:history="1">
            <w:r w:rsidRPr="007617E7">
              <w:rPr>
                <w:rStyle w:val="Hyperlink"/>
                <w:noProof/>
              </w:rPr>
              <w:t>3.5.2</w:t>
            </w:r>
            <w:r>
              <w:rPr>
                <w:rFonts w:asciiTheme="minorHAnsi" w:eastAsiaTheme="minorEastAsia" w:hAnsiTheme="minorHAnsi" w:cstheme="minorBidi"/>
                <w:noProof/>
                <w:color w:val="auto"/>
                <w:kern w:val="2"/>
                <w:szCs w:val="24"/>
                <w14:ligatures w14:val="standardContextual"/>
              </w:rPr>
              <w:tab/>
            </w:r>
            <w:r w:rsidRPr="007617E7">
              <w:rPr>
                <w:rStyle w:val="Hyperlink"/>
                <w:noProof/>
              </w:rPr>
              <w:t>TSM Integration with CO-Simulation Platform</w:t>
            </w:r>
            <w:r>
              <w:rPr>
                <w:noProof/>
                <w:webHidden/>
              </w:rPr>
              <w:tab/>
            </w:r>
            <w:r>
              <w:rPr>
                <w:noProof/>
                <w:webHidden/>
              </w:rPr>
              <w:fldChar w:fldCharType="begin"/>
            </w:r>
            <w:r>
              <w:rPr>
                <w:noProof/>
                <w:webHidden/>
              </w:rPr>
              <w:instrText xml:space="preserve"> PAGEREF _Toc234310809 \h </w:instrText>
            </w:r>
            <w:r>
              <w:rPr>
                <w:noProof/>
                <w:webHidden/>
              </w:rPr>
            </w:r>
            <w:r>
              <w:rPr>
                <w:noProof/>
                <w:webHidden/>
              </w:rPr>
              <w:fldChar w:fldCharType="separate"/>
            </w:r>
            <w:r w:rsidR="00F8092D">
              <w:rPr>
                <w:noProof/>
                <w:webHidden/>
              </w:rPr>
              <w:t>51</w:t>
            </w:r>
            <w:r>
              <w:rPr>
                <w:noProof/>
                <w:webHidden/>
              </w:rPr>
              <w:fldChar w:fldCharType="end"/>
            </w:r>
          </w:hyperlink>
        </w:p>
        <w:p w14:paraId="3C214D95" w14:textId="7D67F3B1"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810" w:history="1">
            <w:r w:rsidRPr="007617E7">
              <w:rPr>
                <w:rStyle w:val="Hyperlink"/>
                <w:noProof/>
              </w:rPr>
              <w:t>3.5.3</w:t>
            </w:r>
            <w:r>
              <w:rPr>
                <w:rFonts w:asciiTheme="minorHAnsi" w:eastAsiaTheme="minorEastAsia" w:hAnsiTheme="minorHAnsi" w:cstheme="minorBidi"/>
                <w:noProof/>
                <w:color w:val="auto"/>
                <w:kern w:val="2"/>
                <w:szCs w:val="24"/>
                <w14:ligatures w14:val="standardContextual"/>
              </w:rPr>
              <w:tab/>
            </w:r>
            <w:r w:rsidRPr="007617E7">
              <w:rPr>
                <w:rStyle w:val="Hyperlink"/>
                <w:noProof/>
              </w:rPr>
              <w:t>Architectural Enforcement Properties</w:t>
            </w:r>
            <w:r>
              <w:rPr>
                <w:noProof/>
                <w:webHidden/>
              </w:rPr>
              <w:tab/>
            </w:r>
            <w:r>
              <w:rPr>
                <w:noProof/>
                <w:webHidden/>
              </w:rPr>
              <w:fldChar w:fldCharType="begin"/>
            </w:r>
            <w:r>
              <w:rPr>
                <w:noProof/>
                <w:webHidden/>
              </w:rPr>
              <w:instrText xml:space="preserve"> PAGEREF _Toc234310810 \h </w:instrText>
            </w:r>
            <w:r>
              <w:rPr>
                <w:noProof/>
                <w:webHidden/>
              </w:rPr>
            </w:r>
            <w:r>
              <w:rPr>
                <w:noProof/>
                <w:webHidden/>
              </w:rPr>
              <w:fldChar w:fldCharType="separate"/>
            </w:r>
            <w:r w:rsidR="00F8092D">
              <w:rPr>
                <w:noProof/>
                <w:webHidden/>
              </w:rPr>
              <w:t>51</w:t>
            </w:r>
            <w:r>
              <w:rPr>
                <w:noProof/>
                <w:webHidden/>
              </w:rPr>
              <w:fldChar w:fldCharType="end"/>
            </w:r>
          </w:hyperlink>
        </w:p>
        <w:p w14:paraId="64AA1DD3" w14:textId="5A41CA24"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811" w:history="1">
            <w:r w:rsidRPr="007617E7">
              <w:rPr>
                <w:rStyle w:val="Hyperlink"/>
                <w:b/>
              </w:rPr>
              <w:t>3.6</w:t>
            </w:r>
            <w:r>
              <w:rPr>
                <w:rFonts w:asciiTheme="minorHAnsi" w:eastAsiaTheme="minorEastAsia" w:hAnsiTheme="minorHAnsi" w:cstheme="minorBidi"/>
                <w:color w:val="auto"/>
                <w:kern w:val="2"/>
                <w:szCs w:val="24"/>
                <w14:ligatures w14:val="standardContextual"/>
              </w:rPr>
              <w:tab/>
            </w:r>
            <w:r w:rsidRPr="007617E7">
              <w:rPr>
                <w:rStyle w:val="Hyperlink"/>
                <w:b/>
              </w:rPr>
              <w:t>EVSE Co-simulation Baseline Model Results</w:t>
            </w:r>
            <w:r>
              <w:rPr>
                <w:webHidden/>
              </w:rPr>
              <w:tab/>
            </w:r>
            <w:r>
              <w:rPr>
                <w:webHidden/>
              </w:rPr>
              <w:fldChar w:fldCharType="begin"/>
            </w:r>
            <w:r>
              <w:rPr>
                <w:webHidden/>
              </w:rPr>
              <w:instrText xml:space="preserve"> PAGEREF _Toc234310811 \h </w:instrText>
            </w:r>
            <w:r>
              <w:rPr>
                <w:webHidden/>
              </w:rPr>
            </w:r>
            <w:r>
              <w:rPr>
                <w:webHidden/>
              </w:rPr>
              <w:fldChar w:fldCharType="separate"/>
            </w:r>
            <w:r w:rsidR="00F8092D">
              <w:rPr>
                <w:webHidden/>
              </w:rPr>
              <w:t>52</w:t>
            </w:r>
            <w:r>
              <w:rPr>
                <w:webHidden/>
              </w:rPr>
              <w:fldChar w:fldCharType="end"/>
            </w:r>
          </w:hyperlink>
        </w:p>
        <w:p w14:paraId="6D47198A" w14:textId="4DBF72AB"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812" w:history="1">
            <w:r w:rsidRPr="007617E7">
              <w:rPr>
                <w:rStyle w:val="Hyperlink"/>
                <w:rFonts w:eastAsia="Aptos"/>
                <w:noProof/>
              </w:rPr>
              <w:t>3.6.1</w:t>
            </w:r>
            <w:r>
              <w:rPr>
                <w:rFonts w:asciiTheme="minorHAnsi" w:eastAsiaTheme="minorEastAsia" w:hAnsiTheme="minorHAnsi" w:cstheme="minorBidi"/>
                <w:noProof/>
                <w:color w:val="auto"/>
                <w:kern w:val="2"/>
                <w:szCs w:val="24"/>
                <w14:ligatures w14:val="standardContextual"/>
              </w:rPr>
              <w:tab/>
            </w:r>
            <w:r w:rsidRPr="007617E7">
              <w:rPr>
                <w:rStyle w:val="Hyperlink"/>
                <w:rFonts w:eastAsia="Aptos"/>
                <w:noProof/>
              </w:rPr>
              <w:t>Performance Evaluation</w:t>
            </w:r>
            <w:r>
              <w:rPr>
                <w:noProof/>
                <w:webHidden/>
              </w:rPr>
              <w:tab/>
            </w:r>
            <w:r>
              <w:rPr>
                <w:noProof/>
                <w:webHidden/>
              </w:rPr>
              <w:fldChar w:fldCharType="begin"/>
            </w:r>
            <w:r>
              <w:rPr>
                <w:noProof/>
                <w:webHidden/>
              </w:rPr>
              <w:instrText xml:space="preserve"> PAGEREF _Toc234310812 \h </w:instrText>
            </w:r>
            <w:r>
              <w:rPr>
                <w:noProof/>
                <w:webHidden/>
              </w:rPr>
            </w:r>
            <w:r>
              <w:rPr>
                <w:noProof/>
                <w:webHidden/>
              </w:rPr>
              <w:fldChar w:fldCharType="separate"/>
            </w:r>
            <w:r w:rsidR="00F8092D">
              <w:rPr>
                <w:noProof/>
                <w:webHidden/>
              </w:rPr>
              <w:t>54</w:t>
            </w:r>
            <w:r>
              <w:rPr>
                <w:noProof/>
                <w:webHidden/>
              </w:rPr>
              <w:fldChar w:fldCharType="end"/>
            </w:r>
          </w:hyperlink>
        </w:p>
        <w:p w14:paraId="5BABC6EE" w14:textId="20EF2B45"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813" w:history="1">
            <w:r w:rsidRPr="007617E7">
              <w:rPr>
                <w:rStyle w:val="Hyperlink"/>
                <w:rFonts w:eastAsia="Aptos"/>
                <w:noProof/>
              </w:rPr>
              <w:t>3.6.2</w:t>
            </w:r>
            <w:r>
              <w:rPr>
                <w:rFonts w:asciiTheme="minorHAnsi" w:eastAsiaTheme="minorEastAsia" w:hAnsiTheme="minorHAnsi" w:cstheme="minorBidi"/>
                <w:noProof/>
                <w:color w:val="auto"/>
                <w:kern w:val="2"/>
                <w:szCs w:val="24"/>
                <w14:ligatures w14:val="standardContextual"/>
              </w:rPr>
              <w:tab/>
            </w:r>
            <w:r w:rsidRPr="007617E7">
              <w:rPr>
                <w:rStyle w:val="Hyperlink"/>
                <w:rFonts w:eastAsia="Aptos"/>
                <w:noProof/>
              </w:rPr>
              <w:t>EV Charging Dynamics</w:t>
            </w:r>
            <w:r>
              <w:rPr>
                <w:noProof/>
                <w:webHidden/>
              </w:rPr>
              <w:tab/>
            </w:r>
            <w:r>
              <w:rPr>
                <w:noProof/>
                <w:webHidden/>
              </w:rPr>
              <w:fldChar w:fldCharType="begin"/>
            </w:r>
            <w:r>
              <w:rPr>
                <w:noProof/>
                <w:webHidden/>
              </w:rPr>
              <w:instrText xml:space="preserve"> PAGEREF _Toc234310813 \h </w:instrText>
            </w:r>
            <w:r>
              <w:rPr>
                <w:noProof/>
                <w:webHidden/>
              </w:rPr>
            </w:r>
            <w:r>
              <w:rPr>
                <w:noProof/>
                <w:webHidden/>
              </w:rPr>
              <w:fldChar w:fldCharType="separate"/>
            </w:r>
            <w:r w:rsidR="00F8092D">
              <w:rPr>
                <w:noProof/>
                <w:webHidden/>
              </w:rPr>
              <w:t>55</w:t>
            </w:r>
            <w:r>
              <w:rPr>
                <w:noProof/>
                <w:webHidden/>
              </w:rPr>
              <w:fldChar w:fldCharType="end"/>
            </w:r>
          </w:hyperlink>
        </w:p>
        <w:p w14:paraId="67FB85C7" w14:textId="65D6B960"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814" w:history="1">
            <w:r w:rsidRPr="007617E7">
              <w:rPr>
                <w:rStyle w:val="Hyperlink"/>
                <w:rFonts w:eastAsia="Aptos"/>
                <w:noProof/>
              </w:rPr>
              <w:t>3.6.3</w:t>
            </w:r>
            <w:r>
              <w:rPr>
                <w:rFonts w:asciiTheme="minorHAnsi" w:eastAsiaTheme="minorEastAsia" w:hAnsiTheme="minorHAnsi" w:cstheme="minorBidi"/>
                <w:noProof/>
                <w:color w:val="auto"/>
                <w:kern w:val="2"/>
                <w:szCs w:val="24"/>
                <w14:ligatures w14:val="standardContextual"/>
              </w:rPr>
              <w:tab/>
            </w:r>
            <w:r w:rsidRPr="007617E7">
              <w:rPr>
                <w:rStyle w:val="Hyperlink"/>
                <w:rFonts w:eastAsia="Aptos"/>
                <w:noProof/>
              </w:rPr>
              <w:t>Communication Interactions</w:t>
            </w:r>
            <w:r>
              <w:rPr>
                <w:noProof/>
                <w:webHidden/>
              </w:rPr>
              <w:tab/>
            </w:r>
            <w:r>
              <w:rPr>
                <w:noProof/>
                <w:webHidden/>
              </w:rPr>
              <w:fldChar w:fldCharType="begin"/>
            </w:r>
            <w:r>
              <w:rPr>
                <w:noProof/>
                <w:webHidden/>
              </w:rPr>
              <w:instrText xml:space="preserve"> PAGEREF _Toc234310814 \h </w:instrText>
            </w:r>
            <w:r>
              <w:rPr>
                <w:noProof/>
                <w:webHidden/>
              </w:rPr>
            </w:r>
            <w:r>
              <w:rPr>
                <w:noProof/>
                <w:webHidden/>
              </w:rPr>
              <w:fldChar w:fldCharType="separate"/>
            </w:r>
            <w:r w:rsidR="00F8092D">
              <w:rPr>
                <w:noProof/>
                <w:webHidden/>
              </w:rPr>
              <w:t>56</w:t>
            </w:r>
            <w:r>
              <w:rPr>
                <w:noProof/>
                <w:webHidden/>
              </w:rPr>
              <w:fldChar w:fldCharType="end"/>
            </w:r>
          </w:hyperlink>
        </w:p>
        <w:p w14:paraId="37482405" w14:textId="05C1C162"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815" w:history="1">
            <w:r w:rsidRPr="007617E7">
              <w:rPr>
                <w:rStyle w:val="Hyperlink"/>
                <w:rFonts w:eastAsia="Aptos"/>
                <w:noProof/>
              </w:rPr>
              <w:t>3.6.4</w:t>
            </w:r>
            <w:r>
              <w:rPr>
                <w:rFonts w:asciiTheme="minorHAnsi" w:eastAsiaTheme="minorEastAsia" w:hAnsiTheme="minorHAnsi" w:cstheme="minorBidi"/>
                <w:noProof/>
                <w:color w:val="auto"/>
                <w:kern w:val="2"/>
                <w:szCs w:val="24"/>
                <w14:ligatures w14:val="standardContextual"/>
              </w:rPr>
              <w:tab/>
            </w:r>
            <w:r w:rsidRPr="007617E7">
              <w:rPr>
                <w:rStyle w:val="Hyperlink"/>
                <w:rFonts w:eastAsia="Aptos"/>
                <w:noProof/>
              </w:rPr>
              <w:t>EVSE Fleet with Grid Integration</w:t>
            </w:r>
            <w:r>
              <w:rPr>
                <w:noProof/>
                <w:webHidden/>
              </w:rPr>
              <w:tab/>
            </w:r>
            <w:r>
              <w:rPr>
                <w:noProof/>
                <w:webHidden/>
              </w:rPr>
              <w:fldChar w:fldCharType="begin"/>
            </w:r>
            <w:r>
              <w:rPr>
                <w:noProof/>
                <w:webHidden/>
              </w:rPr>
              <w:instrText xml:space="preserve"> PAGEREF _Toc234310815 \h </w:instrText>
            </w:r>
            <w:r>
              <w:rPr>
                <w:noProof/>
                <w:webHidden/>
              </w:rPr>
            </w:r>
            <w:r>
              <w:rPr>
                <w:noProof/>
                <w:webHidden/>
              </w:rPr>
              <w:fldChar w:fldCharType="separate"/>
            </w:r>
            <w:r w:rsidR="00F8092D">
              <w:rPr>
                <w:noProof/>
                <w:webHidden/>
              </w:rPr>
              <w:t>57</w:t>
            </w:r>
            <w:r>
              <w:rPr>
                <w:noProof/>
                <w:webHidden/>
              </w:rPr>
              <w:fldChar w:fldCharType="end"/>
            </w:r>
          </w:hyperlink>
        </w:p>
        <w:p w14:paraId="659AAFE7" w14:textId="16017D8B"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816" w:history="1">
            <w:r w:rsidRPr="007617E7">
              <w:rPr>
                <w:rStyle w:val="Hyperlink"/>
                <w:rFonts w:eastAsia="Aptos"/>
                <w:noProof/>
              </w:rPr>
              <w:t>3.6.5</w:t>
            </w:r>
            <w:r>
              <w:rPr>
                <w:rFonts w:asciiTheme="minorHAnsi" w:eastAsiaTheme="minorEastAsia" w:hAnsiTheme="minorHAnsi" w:cstheme="minorBidi"/>
                <w:noProof/>
                <w:color w:val="auto"/>
                <w:kern w:val="2"/>
                <w:szCs w:val="24"/>
                <w14:ligatures w14:val="standardContextual"/>
              </w:rPr>
              <w:tab/>
            </w:r>
            <w:r w:rsidRPr="007617E7">
              <w:rPr>
                <w:rStyle w:val="Hyperlink"/>
                <w:rFonts w:eastAsia="Aptos"/>
                <w:noProof/>
              </w:rPr>
              <w:t>Simulation Configuration</w:t>
            </w:r>
            <w:r>
              <w:rPr>
                <w:noProof/>
                <w:webHidden/>
              </w:rPr>
              <w:tab/>
            </w:r>
            <w:r>
              <w:rPr>
                <w:noProof/>
                <w:webHidden/>
              </w:rPr>
              <w:fldChar w:fldCharType="begin"/>
            </w:r>
            <w:r>
              <w:rPr>
                <w:noProof/>
                <w:webHidden/>
              </w:rPr>
              <w:instrText xml:space="preserve"> PAGEREF _Toc234310816 \h </w:instrText>
            </w:r>
            <w:r>
              <w:rPr>
                <w:noProof/>
                <w:webHidden/>
              </w:rPr>
            </w:r>
            <w:r>
              <w:rPr>
                <w:noProof/>
                <w:webHidden/>
              </w:rPr>
              <w:fldChar w:fldCharType="separate"/>
            </w:r>
            <w:r w:rsidR="00F8092D">
              <w:rPr>
                <w:noProof/>
                <w:webHidden/>
              </w:rPr>
              <w:t>58</w:t>
            </w:r>
            <w:r>
              <w:rPr>
                <w:noProof/>
                <w:webHidden/>
              </w:rPr>
              <w:fldChar w:fldCharType="end"/>
            </w:r>
          </w:hyperlink>
        </w:p>
        <w:p w14:paraId="7A5B13D2" w14:textId="13265A69"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817" w:history="1">
            <w:r w:rsidRPr="007617E7">
              <w:rPr>
                <w:rStyle w:val="Hyperlink"/>
                <w:rFonts w:eastAsia="Aptos"/>
                <w:noProof/>
              </w:rPr>
              <w:t>3.6.6</w:t>
            </w:r>
            <w:r>
              <w:rPr>
                <w:rFonts w:asciiTheme="minorHAnsi" w:eastAsiaTheme="minorEastAsia" w:hAnsiTheme="minorHAnsi" w:cstheme="minorBidi"/>
                <w:noProof/>
                <w:color w:val="auto"/>
                <w:kern w:val="2"/>
                <w:szCs w:val="24"/>
                <w14:ligatures w14:val="standardContextual"/>
              </w:rPr>
              <w:tab/>
            </w:r>
            <w:r w:rsidRPr="007617E7">
              <w:rPr>
                <w:rStyle w:val="Hyperlink"/>
                <w:rFonts w:eastAsia="Aptos"/>
                <w:noProof/>
              </w:rPr>
              <w:t>Grid Overload Analysis</w:t>
            </w:r>
            <w:r>
              <w:rPr>
                <w:noProof/>
                <w:webHidden/>
              </w:rPr>
              <w:tab/>
            </w:r>
            <w:r>
              <w:rPr>
                <w:noProof/>
                <w:webHidden/>
              </w:rPr>
              <w:fldChar w:fldCharType="begin"/>
            </w:r>
            <w:r>
              <w:rPr>
                <w:noProof/>
                <w:webHidden/>
              </w:rPr>
              <w:instrText xml:space="preserve"> PAGEREF _Toc234310817 \h </w:instrText>
            </w:r>
            <w:r>
              <w:rPr>
                <w:noProof/>
                <w:webHidden/>
              </w:rPr>
            </w:r>
            <w:r>
              <w:rPr>
                <w:noProof/>
                <w:webHidden/>
              </w:rPr>
              <w:fldChar w:fldCharType="separate"/>
            </w:r>
            <w:r w:rsidR="00F8092D">
              <w:rPr>
                <w:noProof/>
                <w:webHidden/>
              </w:rPr>
              <w:t>59</w:t>
            </w:r>
            <w:r>
              <w:rPr>
                <w:noProof/>
                <w:webHidden/>
              </w:rPr>
              <w:fldChar w:fldCharType="end"/>
            </w:r>
          </w:hyperlink>
        </w:p>
        <w:p w14:paraId="13145681" w14:textId="2BB86B7D"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818" w:history="1">
            <w:r w:rsidRPr="007617E7">
              <w:rPr>
                <w:rStyle w:val="Hyperlink"/>
                <w:rFonts w:eastAsia="Aptos"/>
                <w:noProof/>
              </w:rPr>
              <w:t>3.6.7</w:t>
            </w:r>
            <w:r>
              <w:rPr>
                <w:rFonts w:asciiTheme="minorHAnsi" w:eastAsiaTheme="minorEastAsia" w:hAnsiTheme="minorHAnsi" w:cstheme="minorBidi"/>
                <w:noProof/>
                <w:color w:val="auto"/>
                <w:kern w:val="2"/>
                <w:szCs w:val="24"/>
                <w14:ligatures w14:val="standardContextual"/>
              </w:rPr>
              <w:tab/>
            </w:r>
            <w:r w:rsidRPr="007617E7">
              <w:rPr>
                <w:rStyle w:val="Hyperlink"/>
                <w:rFonts w:eastAsia="Aptos"/>
                <w:noProof/>
              </w:rPr>
              <w:t>Charging Station Concurrency</w:t>
            </w:r>
            <w:r>
              <w:rPr>
                <w:noProof/>
                <w:webHidden/>
              </w:rPr>
              <w:tab/>
            </w:r>
            <w:r>
              <w:rPr>
                <w:noProof/>
                <w:webHidden/>
              </w:rPr>
              <w:fldChar w:fldCharType="begin"/>
            </w:r>
            <w:r>
              <w:rPr>
                <w:noProof/>
                <w:webHidden/>
              </w:rPr>
              <w:instrText xml:space="preserve"> PAGEREF _Toc234310818 \h </w:instrText>
            </w:r>
            <w:r>
              <w:rPr>
                <w:noProof/>
                <w:webHidden/>
              </w:rPr>
            </w:r>
            <w:r>
              <w:rPr>
                <w:noProof/>
                <w:webHidden/>
              </w:rPr>
              <w:fldChar w:fldCharType="separate"/>
            </w:r>
            <w:r w:rsidR="00F8092D">
              <w:rPr>
                <w:noProof/>
                <w:webHidden/>
              </w:rPr>
              <w:t>61</w:t>
            </w:r>
            <w:r>
              <w:rPr>
                <w:noProof/>
                <w:webHidden/>
              </w:rPr>
              <w:fldChar w:fldCharType="end"/>
            </w:r>
          </w:hyperlink>
        </w:p>
        <w:p w14:paraId="0E47460B" w14:textId="72A42D82"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819" w:history="1">
            <w:r w:rsidRPr="007617E7">
              <w:rPr>
                <w:rStyle w:val="Hyperlink"/>
                <w:rFonts w:eastAsia="Aptos"/>
                <w:noProof/>
              </w:rPr>
              <w:t>3.6.8</w:t>
            </w:r>
            <w:r>
              <w:rPr>
                <w:rFonts w:asciiTheme="minorHAnsi" w:eastAsiaTheme="minorEastAsia" w:hAnsiTheme="minorHAnsi" w:cstheme="minorBidi"/>
                <w:noProof/>
                <w:color w:val="auto"/>
                <w:kern w:val="2"/>
                <w:szCs w:val="24"/>
                <w14:ligatures w14:val="standardContextual"/>
              </w:rPr>
              <w:tab/>
            </w:r>
            <w:r w:rsidRPr="007617E7">
              <w:rPr>
                <w:rStyle w:val="Hyperlink"/>
                <w:rFonts w:eastAsia="Aptos"/>
                <w:noProof/>
              </w:rPr>
              <w:t>Battery Thermal Management</w:t>
            </w:r>
            <w:r>
              <w:rPr>
                <w:noProof/>
                <w:webHidden/>
              </w:rPr>
              <w:tab/>
            </w:r>
            <w:r>
              <w:rPr>
                <w:noProof/>
                <w:webHidden/>
              </w:rPr>
              <w:fldChar w:fldCharType="begin"/>
            </w:r>
            <w:r>
              <w:rPr>
                <w:noProof/>
                <w:webHidden/>
              </w:rPr>
              <w:instrText xml:space="preserve"> PAGEREF _Toc234310819 \h </w:instrText>
            </w:r>
            <w:r>
              <w:rPr>
                <w:noProof/>
                <w:webHidden/>
              </w:rPr>
            </w:r>
            <w:r>
              <w:rPr>
                <w:noProof/>
                <w:webHidden/>
              </w:rPr>
              <w:fldChar w:fldCharType="separate"/>
            </w:r>
            <w:r w:rsidR="00F8092D">
              <w:rPr>
                <w:noProof/>
                <w:webHidden/>
              </w:rPr>
              <w:t>62</w:t>
            </w:r>
            <w:r>
              <w:rPr>
                <w:noProof/>
                <w:webHidden/>
              </w:rPr>
              <w:fldChar w:fldCharType="end"/>
            </w:r>
          </w:hyperlink>
        </w:p>
        <w:p w14:paraId="5F56C9CB" w14:textId="13A28DD5"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820" w:history="1">
            <w:r w:rsidRPr="007617E7">
              <w:rPr>
                <w:rStyle w:val="Hyperlink"/>
                <w:rFonts w:eastAsia="Aptos"/>
                <w:noProof/>
              </w:rPr>
              <w:t>3.6.9</w:t>
            </w:r>
            <w:r>
              <w:rPr>
                <w:rFonts w:asciiTheme="minorHAnsi" w:eastAsiaTheme="minorEastAsia" w:hAnsiTheme="minorHAnsi" w:cstheme="minorBidi"/>
                <w:noProof/>
                <w:color w:val="auto"/>
                <w:kern w:val="2"/>
                <w:szCs w:val="24"/>
                <w14:ligatures w14:val="standardContextual"/>
              </w:rPr>
              <w:tab/>
            </w:r>
            <w:r w:rsidRPr="007617E7">
              <w:rPr>
                <w:rStyle w:val="Hyperlink"/>
                <w:rFonts w:eastAsia="Aptos"/>
                <w:noProof/>
              </w:rPr>
              <w:t>Communication Network Analysis</w:t>
            </w:r>
            <w:r>
              <w:rPr>
                <w:noProof/>
                <w:webHidden/>
              </w:rPr>
              <w:tab/>
            </w:r>
            <w:r>
              <w:rPr>
                <w:noProof/>
                <w:webHidden/>
              </w:rPr>
              <w:fldChar w:fldCharType="begin"/>
            </w:r>
            <w:r>
              <w:rPr>
                <w:noProof/>
                <w:webHidden/>
              </w:rPr>
              <w:instrText xml:space="preserve"> PAGEREF _Toc234310820 \h </w:instrText>
            </w:r>
            <w:r>
              <w:rPr>
                <w:noProof/>
                <w:webHidden/>
              </w:rPr>
            </w:r>
            <w:r>
              <w:rPr>
                <w:noProof/>
                <w:webHidden/>
              </w:rPr>
              <w:fldChar w:fldCharType="separate"/>
            </w:r>
            <w:r w:rsidR="00F8092D">
              <w:rPr>
                <w:noProof/>
                <w:webHidden/>
              </w:rPr>
              <w:t>63</w:t>
            </w:r>
            <w:r>
              <w:rPr>
                <w:noProof/>
                <w:webHidden/>
              </w:rPr>
              <w:fldChar w:fldCharType="end"/>
            </w:r>
          </w:hyperlink>
        </w:p>
        <w:p w14:paraId="1F885A9F" w14:textId="394321B9"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821" w:history="1">
            <w:r w:rsidRPr="007617E7">
              <w:rPr>
                <w:rStyle w:val="Hyperlink"/>
                <w:rFonts w:eastAsia="Aptos"/>
                <w:noProof/>
              </w:rPr>
              <w:t>3.6.10</w:t>
            </w:r>
            <w:r>
              <w:rPr>
                <w:rFonts w:asciiTheme="minorHAnsi" w:eastAsiaTheme="minorEastAsia" w:hAnsiTheme="minorHAnsi" w:cstheme="minorBidi"/>
                <w:noProof/>
                <w:color w:val="auto"/>
                <w:kern w:val="2"/>
                <w:szCs w:val="24"/>
                <w14:ligatures w14:val="standardContextual"/>
              </w:rPr>
              <w:tab/>
            </w:r>
            <w:r w:rsidRPr="007617E7">
              <w:rPr>
                <w:rStyle w:val="Hyperlink"/>
                <w:rFonts w:eastAsia="Aptos"/>
                <w:noProof/>
              </w:rPr>
              <w:t>System Scalability Heatmap</w:t>
            </w:r>
            <w:r>
              <w:rPr>
                <w:noProof/>
                <w:webHidden/>
              </w:rPr>
              <w:tab/>
            </w:r>
            <w:r>
              <w:rPr>
                <w:noProof/>
                <w:webHidden/>
              </w:rPr>
              <w:fldChar w:fldCharType="begin"/>
            </w:r>
            <w:r>
              <w:rPr>
                <w:noProof/>
                <w:webHidden/>
              </w:rPr>
              <w:instrText xml:space="preserve"> PAGEREF _Toc234310821 \h </w:instrText>
            </w:r>
            <w:r>
              <w:rPr>
                <w:noProof/>
                <w:webHidden/>
              </w:rPr>
            </w:r>
            <w:r>
              <w:rPr>
                <w:noProof/>
                <w:webHidden/>
              </w:rPr>
              <w:fldChar w:fldCharType="separate"/>
            </w:r>
            <w:r w:rsidR="00F8092D">
              <w:rPr>
                <w:noProof/>
                <w:webHidden/>
              </w:rPr>
              <w:t>65</w:t>
            </w:r>
            <w:r>
              <w:rPr>
                <w:noProof/>
                <w:webHidden/>
              </w:rPr>
              <w:fldChar w:fldCharType="end"/>
            </w:r>
          </w:hyperlink>
        </w:p>
        <w:p w14:paraId="4D09527D" w14:textId="220C1568"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822" w:history="1">
            <w:r w:rsidRPr="007617E7">
              <w:rPr>
                <w:rStyle w:val="Hyperlink"/>
                <w:rFonts w:eastAsia="Aptos"/>
                <w:noProof/>
              </w:rPr>
              <w:t>3.6.11</w:t>
            </w:r>
            <w:r>
              <w:rPr>
                <w:rFonts w:asciiTheme="minorHAnsi" w:eastAsiaTheme="minorEastAsia" w:hAnsiTheme="minorHAnsi" w:cstheme="minorBidi"/>
                <w:noProof/>
                <w:color w:val="auto"/>
                <w:kern w:val="2"/>
                <w:szCs w:val="24"/>
                <w14:ligatures w14:val="standardContextual"/>
              </w:rPr>
              <w:tab/>
            </w:r>
            <w:r w:rsidRPr="007617E7">
              <w:rPr>
                <w:rStyle w:val="Hyperlink"/>
                <w:rFonts w:eastAsia="Aptos"/>
                <w:noProof/>
              </w:rPr>
              <w:t>Performance Metrics and Observations</w:t>
            </w:r>
            <w:r>
              <w:rPr>
                <w:noProof/>
                <w:webHidden/>
              </w:rPr>
              <w:tab/>
            </w:r>
            <w:r>
              <w:rPr>
                <w:noProof/>
                <w:webHidden/>
              </w:rPr>
              <w:fldChar w:fldCharType="begin"/>
            </w:r>
            <w:r>
              <w:rPr>
                <w:noProof/>
                <w:webHidden/>
              </w:rPr>
              <w:instrText xml:space="preserve"> PAGEREF _Toc234310822 \h </w:instrText>
            </w:r>
            <w:r>
              <w:rPr>
                <w:noProof/>
                <w:webHidden/>
              </w:rPr>
            </w:r>
            <w:r>
              <w:rPr>
                <w:noProof/>
                <w:webHidden/>
              </w:rPr>
              <w:fldChar w:fldCharType="separate"/>
            </w:r>
            <w:r w:rsidR="00F8092D">
              <w:rPr>
                <w:noProof/>
                <w:webHidden/>
              </w:rPr>
              <w:t>66</w:t>
            </w:r>
            <w:r>
              <w:rPr>
                <w:noProof/>
                <w:webHidden/>
              </w:rPr>
              <w:fldChar w:fldCharType="end"/>
            </w:r>
          </w:hyperlink>
        </w:p>
        <w:p w14:paraId="79AE5F3F" w14:textId="79D49046"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823" w:history="1">
            <w:r w:rsidRPr="007617E7">
              <w:rPr>
                <w:rStyle w:val="Hyperlink"/>
                <w:rFonts w:eastAsia="Aptos"/>
                <w:noProof/>
              </w:rPr>
              <w:t>3.6.12</w:t>
            </w:r>
            <w:r>
              <w:rPr>
                <w:rFonts w:asciiTheme="minorHAnsi" w:eastAsiaTheme="minorEastAsia" w:hAnsiTheme="minorHAnsi" w:cstheme="minorBidi"/>
                <w:noProof/>
                <w:color w:val="auto"/>
                <w:kern w:val="2"/>
                <w:szCs w:val="24"/>
                <w14:ligatures w14:val="standardContextual"/>
              </w:rPr>
              <w:tab/>
            </w:r>
            <w:r w:rsidRPr="007617E7">
              <w:rPr>
                <w:rStyle w:val="Hyperlink"/>
                <w:rFonts w:eastAsia="Aptos"/>
                <w:noProof/>
              </w:rPr>
              <w:t>Summary</w:t>
            </w:r>
            <w:r>
              <w:rPr>
                <w:noProof/>
                <w:webHidden/>
              </w:rPr>
              <w:tab/>
            </w:r>
            <w:r>
              <w:rPr>
                <w:noProof/>
                <w:webHidden/>
              </w:rPr>
              <w:fldChar w:fldCharType="begin"/>
            </w:r>
            <w:r>
              <w:rPr>
                <w:noProof/>
                <w:webHidden/>
              </w:rPr>
              <w:instrText xml:space="preserve"> PAGEREF _Toc234310823 \h </w:instrText>
            </w:r>
            <w:r>
              <w:rPr>
                <w:noProof/>
                <w:webHidden/>
              </w:rPr>
            </w:r>
            <w:r>
              <w:rPr>
                <w:noProof/>
                <w:webHidden/>
              </w:rPr>
              <w:fldChar w:fldCharType="separate"/>
            </w:r>
            <w:r w:rsidR="00F8092D">
              <w:rPr>
                <w:noProof/>
                <w:webHidden/>
              </w:rPr>
              <w:t>66</w:t>
            </w:r>
            <w:r>
              <w:rPr>
                <w:noProof/>
                <w:webHidden/>
              </w:rPr>
              <w:fldChar w:fldCharType="end"/>
            </w:r>
          </w:hyperlink>
        </w:p>
        <w:p w14:paraId="3188EBEC" w14:textId="74AA3A98"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824" w:history="1">
            <w:r w:rsidRPr="007617E7">
              <w:rPr>
                <w:rStyle w:val="Hyperlink"/>
                <w:b/>
              </w:rPr>
              <w:t>3.7</w:t>
            </w:r>
            <w:r>
              <w:rPr>
                <w:rFonts w:asciiTheme="minorHAnsi" w:eastAsiaTheme="minorEastAsia" w:hAnsiTheme="minorHAnsi" w:cstheme="minorBidi"/>
                <w:color w:val="auto"/>
                <w:kern w:val="2"/>
                <w:szCs w:val="24"/>
                <w14:ligatures w14:val="standardContextual"/>
              </w:rPr>
              <w:tab/>
            </w:r>
            <w:r w:rsidRPr="007617E7">
              <w:rPr>
                <w:rStyle w:val="Hyperlink"/>
                <w:b/>
              </w:rPr>
              <w:t>TSM Implementation and Experimentation Results</w:t>
            </w:r>
            <w:r>
              <w:rPr>
                <w:webHidden/>
              </w:rPr>
              <w:tab/>
            </w:r>
            <w:r>
              <w:rPr>
                <w:webHidden/>
              </w:rPr>
              <w:fldChar w:fldCharType="begin"/>
            </w:r>
            <w:r>
              <w:rPr>
                <w:webHidden/>
              </w:rPr>
              <w:instrText xml:space="preserve"> PAGEREF _Toc234310824 \h </w:instrText>
            </w:r>
            <w:r>
              <w:rPr>
                <w:webHidden/>
              </w:rPr>
            </w:r>
            <w:r>
              <w:rPr>
                <w:webHidden/>
              </w:rPr>
              <w:fldChar w:fldCharType="separate"/>
            </w:r>
            <w:r w:rsidR="00F8092D">
              <w:rPr>
                <w:webHidden/>
              </w:rPr>
              <w:t>66</w:t>
            </w:r>
            <w:r>
              <w:rPr>
                <w:webHidden/>
              </w:rPr>
              <w:fldChar w:fldCharType="end"/>
            </w:r>
          </w:hyperlink>
        </w:p>
        <w:p w14:paraId="6CCF9645" w14:textId="51C405B4"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825" w:history="1">
            <w:r w:rsidRPr="007617E7">
              <w:rPr>
                <w:rStyle w:val="Hyperlink"/>
                <w:noProof/>
                <w:lang w:val="en-GB"/>
              </w:rPr>
              <w:t>3.7.1</w:t>
            </w:r>
            <w:r>
              <w:rPr>
                <w:rFonts w:asciiTheme="minorHAnsi" w:eastAsiaTheme="minorEastAsia" w:hAnsiTheme="minorHAnsi" w:cstheme="minorBidi"/>
                <w:noProof/>
                <w:color w:val="auto"/>
                <w:kern w:val="2"/>
                <w:szCs w:val="24"/>
                <w14:ligatures w14:val="standardContextual"/>
              </w:rPr>
              <w:tab/>
            </w:r>
            <w:r w:rsidRPr="007617E7">
              <w:rPr>
                <w:rStyle w:val="Hyperlink"/>
                <w:noProof/>
                <w:lang w:val="en-GB"/>
              </w:rPr>
              <w:t>Deployment Architecture</w:t>
            </w:r>
            <w:r>
              <w:rPr>
                <w:noProof/>
                <w:webHidden/>
              </w:rPr>
              <w:tab/>
            </w:r>
            <w:r>
              <w:rPr>
                <w:noProof/>
                <w:webHidden/>
              </w:rPr>
              <w:fldChar w:fldCharType="begin"/>
            </w:r>
            <w:r>
              <w:rPr>
                <w:noProof/>
                <w:webHidden/>
              </w:rPr>
              <w:instrText xml:space="preserve"> PAGEREF _Toc234310825 \h </w:instrText>
            </w:r>
            <w:r>
              <w:rPr>
                <w:noProof/>
                <w:webHidden/>
              </w:rPr>
            </w:r>
            <w:r>
              <w:rPr>
                <w:noProof/>
                <w:webHidden/>
              </w:rPr>
              <w:fldChar w:fldCharType="separate"/>
            </w:r>
            <w:r w:rsidR="00F8092D">
              <w:rPr>
                <w:noProof/>
                <w:webHidden/>
              </w:rPr>
              <w:t>66</w:t>
            </w:r>
            <w:r>
              <w:rPr>
                <w:noProof/>
                <w:webHidden/>
              </w:rPr>
              <w:fldChar w:fldCharType="end"/>
            </w:r>
          </w:hyperlink>
        </w:p>
        <w:p w14:paraId="72C4D797" w14:textId="097AC5F6"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826" w:history="1">
            <w:r w:rsidRPr="007617E7">
              <w:rPr>
                <w:rStyle w:val="Hyperlink"/>
                <w:noProof/>
                <w:lang w:val="en-GB"/>
              </w:rPr>
              <w:t>3.7.2</w:t>
            </w:r>
            <w:r>
              <w:rPr>
                <w:rFonts w:asciiTheme="minorHAnsi" w:eastAsiaTheme="minorEastAsia" w:hAnsiTheme="minorHAnsi" w:cstheme="minorBidi"/>
                <w:noProof/>
                <w:color w:val="auto"/>
                <w:kern w:val="2"/>
                <w:szCs w:val="24"/>
                <w14:ligatures w14:val="standardContextual"/>
              </w:rPr>
              <w:tab/>
            </w:r>
            <w:r w:rsidRPr="007617E7">
              <w:rPr>
                <w:rStyle w:val="Hyperlink"/>
                <w:rFonts w:ascii="Aptos" w:eastAsia="Aptos" w:hAnsi="Aptos" w:cs="Aptos"/>
                <w:noProof/>
                <w:lang w:val="en-GB"/>
              </w:rPr>
              <w:t>TSM Integration Within the Runtime</w:t>
            </w:r>
            <w:r>
              <w:rPr>
                <w:noProof/>
                <w:webHidden/>
              </w:rPr>
              <w:tab/>
            </w:r>
            <w:r>
              <w:rPr>
                <w:noProof/>
                <w:webHidden/>
              </w:rPr>
              <w:fldChar w:fldCharType="begin"/>
            </w:r>
            <w:r>
              <w:rPr>
                <w:noProof/>
                <w:webHidden/>
              </w:rPr>
              <w:instrText xml:space="preserve"> PAGEREF _Toc234310826 \h </w:instrText>
            </w:r>
            <w:r>
              <w:rPr>
                <w:noProof/>
                <w:webHidden/>
              </w:rPr>
            </w:r>
            <w:r>
              <w:rPr>
                <w:noProof/>
                <w:webHidden/>
              </w:rPr>
              <w:fldChar w:fldCharType="separate"/>
            </w:r>
            <w:r w:rsidR="00F8092D">
              <w:rPr>
                <w:noProof/>
                <w:webHidden/>
              </w:rPr>
              <w:t>69</w:t>
            </w:r>
            <w:r>
              <w:rPr>
                <w:noProof/>
                <w:webHidden/>
              </w:rPr>
              <w:fldChar w:fldCharType="end"/>
            </w:r>
          </w:hyperlink>
        </w:p>
        <w:p w14:paraId="048FA5E2" w14:textId="66029D0C"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827" w:history="1">
            <w:r w:rsidRPr="007617E7">
              <w:rPr>
                <w:rStyle w:val="Hyperlink"/>
                <w:noProof/>
                <w:lang w:val="en-GB"/>
              </w:rPr>
              <w:t>3.7.3</w:t>
            </w:r>
            <w:r>
              <w:rPr>
                <w:rFonts w:asciiTheme="minorHAnsi" w:eastAsiaTheme="minorEastAsia" w:hAnsiTheme="minorHAnsi" w:cstheme="minorBidi"/>
                <w:noProof/>
                <w:color w:val="auto"/>
                <w:kern w:val="2"/>
                <w:szCs w:val="24"/>
                <w14:ligatures w14:val="standardContextual"/>
              </w:rPr>
              <w:tab/>
            </w:r>
            <w:r w:rsidRPr="007617E7">
              <w:rPr>
                <w:rStyle w:val="Hyperlink"/>
                <w:rFonts w:ascii="Aptos" w:eastAsia="Aptos" w:hAnsi="Aptos" w:cs="Aptos"/>
                <w:noProof/>
                <w:lang w:val="en-GB"/>
              </w:rPr>
              <w:t>Protocol Layer Integration</w:t>
            </w:r>
            <w:r>
              <w:rPr>
                <w:noProof/>
                <w:webHidden/>
              </w:rPr>
              <w:tab/>
            </w:r>
            <w:r>
              <w:rPr>
                <w:noProof/>
                <w:webHidden/>
              </w:rPr>
              <w:fldChar w:fldCharType="begin"/>
            </w:r>
            <w:r>
              <w:rPr>
                <w:noProof/>
                <w:webHidden/>
              </w:rPr>
              <w:instrText xml:space="preserve"> PAGEREF _Toc234310827 \h </w:instrText>
            </w:r>
            <w:r>
              <w:rPr>
                <w:noProof/>
                <w:webHidden/>
              </w:rPr>
            </w:r>
            <w:r>
              <w:rPr>
                <w:noProof/>
                <w:webHidden/>
              </w:rPr>
              <w:fldChar w:fldCharType="separate"/>
            </w:r>
            <w:r w:rsidR="00F8092D">
              <w:rPr>
                <w:noProof/>
                <w:webHidden/>
              </w:rPr>
              <w:t>71</w:t>
            </w:r>
            <w:r>
              <w:rPr>
                <w:noProof/>
                <w:webHidden/>
              </w:rPr>
              <w:fldChar w:fldCharType="end"/>
            </w:r>
          </w:hyperlink>
        </w:p>
        <w:p w14:paraId="15DB837B" w14:textId="46291BE1"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828" w:history="1">
            <w:r w:rsidRPr="007617E7">
              <w:rPr>
                <w:rStyle w:val="Hyperlink"/>
                <w:noProof/>
                <w:lang w:val="en-GB"/>
              </w:rPr>
              <w:t>3.7.4</w:t>
            </w:r>
            <w:r>
              <w:rPr>
                <w:rFonts w:asciiTheme="minorHAnsi" w:eastAsiaTheme="minorEastAsia" w:hAnsiTheme="minorHAnsi" w:cstheme="minorBidi"/>
                <w:noProof/>
                <w:color w:val="auto"/>
                <w:kern w:val="2"/>
                <w:szCs w:val="24"/>
                <w14:ligatures w14:val="standardContextual"/>
              </w:rPr>
              <w:tab/>
            </w:r>
            <w:r w:rsidRPr="007617E7">
              <w:rPr>
                <w:rStyle w:val="Hyperlink"/>
                <w:rFonts w:ascii="Aptos" w:eastAsia="Aptos" w:hAnsi="Aptos" w:cs="Aptos"/>
                <w:noProof/>
                <w:lang w:val="en-GB"/>
              </w:rPr>
              <w:t>Grid and Power System Model</w:t>
            </w:r>
            <w:r>
              <w:rPr>
                <w:noProof/>
                <w:webHidden/>
              </w:rPr>
              <w:tab/>
            </w:r>
            <w:r>
              <w:rPr>
                <w:noProof/>
                <w:webHidden/>
              </w:rPr>
              <w:fldChar w:fldCharType="begin"/>
            </w:r>
            <w:r>
              <w:rPr>
                <w:noProof/>
                <w:webHidden/>
              </w:rPr>
              <w:instrText xml:space="preserve"> PAGEREF _Toc234310828 \h </w:instrText>
            </w:r>
            <w:r>
              <w:rPr>
                <w:noProof/>
                <w:webHidden/>
              </w:rPr>
            </w:r>
            <w:r>
              <w:rPr>
                <w:noProof/>
                <w:webHidden/>
              </w:rPr>
              <w:fldChar w:fldCharType="separate"/>
            </w:r>
            <w:r w:rsidR="00F8092D">
              <w:rPr>
                <w:noProof/>
                <w:webHidden/>
              </w:rPr>
              <w:t>72</w:t>
            </w:r>
            <w:r>
              <w:rPr>
                <w:noProof/>
                <w:webHidden/>
              </w:rPr>
              <w:fldChar w:fldCharType="end"/>
            </w:r>
          </w:hyperlink>
        </w:p>
        <w:p w14:paraId="214FB7E3" w14:textId="7858C47A"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829" w:history="1">
            <w:r w:rsidRPr="007617E7">
              <w:rPr>
                <w:rStyle w:val="Hyperlink"/>
                <w:noProof/>
                <w:lang w:val="en-GB"/>
              </w:rPr>
              <w:t>3.7.5</w:t>
            </w:r>
            <w:r>
              <w:rPr>
                <w:rFonts w:asciiTheme="minorHAnsi" w:eastAsiaTheme="minorEastAsia" w:hAnsiTheme="minorHAnsi" w:cstheme="minorBidi"/>
                <w:noProof/>
                <w:color w:val="auto"/>
                <w:kern w:val="2"/>
                <w:szCs w:val="24"/>
                <w14:ligatures w14:val="standardContextual"/>
              </w:rPr>
              <w:tab/>
            </w:r>
            <w:r w:rsidRPr="007617E7">
              <w:rPr>
                <w:rStyle w:val="Hyperlink"/>
                <w:rFonts w:ascii="Aptos" w:eastAsia="Aptos" w:hAnsi="Aptos" w:cs="Aptos"/>
                <w:noProof/>
                <w:lang w:val="en-GB"/>
              </w:rPr>
              <w:t>Runtime Execution Flow</w:t>
            </w:r>
            <w:r>
              <w:rPr>
                <w:noProof/>
                <w:webHidden/>
              </w:rPr>
              <w:tab/>
            </w:r>
            <w:r>
              <w:rPr>
                <w:noProof/>
                <w:webHidden/>
              </w:rPr>
              <w:fldChar w:fldCharType="begin"/>
            </w:r>
            <w:r>
              <w:rPr>
                <w:noProof/>
                <w:webHidden/>
              </w:rPr>
              <w:instrText xml:space="preserve"> PAGEREF _Toc234310829 \h </w:instrText>
            </w:r>
            <w:r>
              <w:rPr>
                <w:noProof/>
                <w:webHidden/>
              </w:rPr>
            </w:r>
            <w:r>
              <w:rPr>
                <w:noProof/>
                <w:webHidden/>
              </w:rPr>
              <w:fldChar w:fldCharType="separate"/>
            </w:r>
            <w:r w:rsidR="00F8092D">
              <w:rPr>
                <w:noProof/>
                <w:webHidden/>
              </w:rPr>
              <w:t>73</w:t>
            </w:r>
            <w:r>
              <w:rPr>
                <w:noProof/>
                <w:webHidden/>
              </w:rPr>
              <w:fldChar w:fldCharType="end"/>
            </w:r>
          </w:hyperlink>
        </w:p>
        <w:p w14:paraId="0A4E4DC5" w14:textId="5D9986BB"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830" w:history="1">
            <w:r w:rsidRPr="007617E7">
              <w:rPr>
                <w:rStyle w:val="Hyperlink"/>
                <w:noProof/>
                <w:lang w:val="en-GB"/>
              </w:rPr>
              <w:t>3.7.6</w:t>
            </w:r>
            <w:r>
              <w:rPr>
                <w:rFonts w:asciiTheme="minorHAnsi" w:eastAsiaTheme="minorEastAsia" w:hAnsiTheme="minorHAnsi" w:cstheme="minorBidi"/>
                <w:noProof/>
                <w:color w:val="auto"/>
                <w:kern w:val="2"/>
                <w:szCs w:val="24"/>
                <w14:ligatures w14:val="standardContextual"/>
              </w:rPr>
              <w:tab/>
            </w:r>
            <w:r w:rsidRPr="007617E7">
              <w:rPr>
                <w:rStyle w:val="Hyperlink"/>
                <w:rFonts w:ascii="Aptos" w:eastAsia="Aptos" w:hAnsi="Aptos" w:cs="Aptos"/>
                <w:noProof/>
                <w:lang w:val="en-GB"/>
              </w:rPr>
              <w:t>Scenario Manager and Threat Injector</w:t>
            </w:r>
            <w:r>
              <w:rPr>
                <w:noProof/>
                <w:webHidden/>
              </w:rPr>
              <w:tab/>
            </w:r>
            <w:r>
              <w:rPr>
                <w:noProof/>
                <w:webHidden/>
              </w:rPr>
              <w:fldChar w:fldCharType="begin"/>
            </w:r>
            <w:r>
              <w:rPr>
                <w:noProof/>
                <w:webHidden/>
              </w:rPr>
              <w:instrText xml:space="preserve"> PAGEREF _Toc234310830 \h </w:instrText>
            </w:r>
            <w:r>
              <w:rPr>
                <w:noProof/>
                <w:webHidden/>
              </w:rPr>
            </w:r>
            <w:r>
              <w:rPr>
                <w:noProof/>
                <w:webHidden/>
              </w:rPr>
              <w:fldChar w:fldCharType="separate"/>
            </w:r>
            <w:r w:rsidR="00F8092D">
              <w:rPr>
                <w:noProof/>
                <w:webHidden/>
              </w:rPr>
              <w:t>74</w:t>
            </w:r>
            <w:r>
              <w:rPr>
                <w:noProof/>
                <w:webHidden/>
              </w:rPr>
              <w:fldChar w:fldCharType="end"/>
            </w:r>
          </w:hyperlink>
        </w:p>
        <w:p w14:paraId="790A2AEC" w14:textId="5CE5BBEA"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831" w:history="1">
            <w:r w:rsidRPr="007617E7">
              <w:rPr>
                <w:rStyle w:val="Hyperlink"/>
                <w:noProof/>
                <w:lang w:val="en-GB"/>
              </w:rPr>
              <w:t>3.7.7</w:t>
            </w:r>
            <w:r>
              <w:rPr>
                <w:rFonts w:asciiTheme="minorHAnsi" w:eastAsiaTheme="minorEastAsia" w:hAnsiTheme="minorHAnsi" w:cstheme="minorBidi"/>
                <w:noProof/>
                <w:color w:val="auto"/>
                <w:kern w:val="2"/>
                <w:szCs w:val="24"/>
                <w14:ligatures w14:val="standardContextual"/>
              </w:rPr>
              <w:tab/>
            </w:r>
            <w:r w:rsidRPr="007617E7">
              <w:rPr>
                <w:rStyle w:val="Hyperlink"/>
                <w:rFonts w:ascii="Aptos" w:eastAsia="Aptos" w:hAnsi="Aptos" w:cs="Aptos"/>
                <w:noProof/>
                <w:lang w:val="en-GB"/>
              </w:rPr>
              <w:t>End-to-End Demonstration Design</w:t>
            </w:r>
            <w:r>
              <w:rPr>
                <w:noProof/>
                <w:webHidden/>
              </w:rPr>
              <w:tab/>
            </w:r>
            <w:r>
              <w:rPr>
                <w:noProof/>
                <w:webHidden/>
              </w:rPr>
              <w:fldChar w:fldCharType="begin"/>
            </w:r>
            <w:r>
              <w:rPr>
                <w:noProof/>
                <w:webHidden/>
              </w:rPr>
              <w:instrText xml:space="preserve"> PAGEREF _Toc234310831 \h </w:instrText>
            </w:r>
            <w:r>
              <w:rPr>
                <w:noProof/>
                <w:webHidden/>
              </w:rPr>
            </w:r>
            <w:r>
              <w:rPr>
                <w:noProof/>
                <w:webHidden/>
              </w:rPr>
              <w:fldChar w:fldCharType="separate"/>
            </w:r>
            <w:r w:rsidR="00F8092D">
              <w:rPr>
                <w:noProof/>
                <w:webHidden/>
              </w:rPr>
              <w:t>75</w:t>
            </w:r>
            <w:r>
              <w:rPr>
                <w:noProof/>
                <w:webHidden/>
              </w:rPr>
              <w:fldChar w:fldCharType="end"/>
            </w:r>
          </w:hyperlink>
        </w:p>
        <w:p w14:paraId="161D8DF5" w14:textId="2944658E"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832" w:history="1">
            <w:r w:rsidRPr="007617E7">
              <w:rPr>
                <w:rStyle w:val="Hyperlink"/>
                <w:noProof/>
                <w:lang w:val="en-GB"/>
              </w:rPr>
              <w:t>3.7.8</w:t>
            </w:r>
            <w:r>
              <w:rPr>
                <w:rFonts w:asciiTheme="minorHAnsi" w:eastAsiaTheme="minorEastAsia" w:hAnsiTheme="minorHAnsi" w:cstheme="minorBidi"/>
                <w:noProof/>
                <w:color w:val="auto"/>
                <w:kern w:val="2"/>
                <w:szCs w:val="24"/>
                <w14:ligatures w14:val="standardContextual"/>
              </w:rPr>
              <w:tab/>
            </w:r>
            <w:r w:rsidRPr="007617E7">
              <w:rPr>
                <w:rStyle w:val="Hyperlink"/>
                <w:rFonts w:ascii="Aptos" w:eastAsia="Aptos" w:hAnsi="Aptos" w:cs="Aptos"/>
                <w:noProof/>
                <w:lang w:val="en-GB"/>
              </w:rPr>
              <w:t>Evaluation and Results</w:t>
            </w:r>
            <w:r>
              <w:rPr>
                <w:noProof/>
                <w:webHidden/>
              </w:rPr>
              <w:tab/>
            </w:r>
            <w:r>
              <w:rPr>
                <w:noProof/>
                <w:webHidden/>
              </w:rPr>
              <w:fldChar w:fldCharType="begin"/>
            </w:r>
            <w:r>
              <w:rPr>
                <w:noProof/>
                <w:webHidden/>
              </w:rPr>
              <w:instrText xml:space="preserve"> PAGEREF _Toc234310832 \h </w:instrText>
            </w:r>
            <w:r>
              <w:rPr>
                <w:noProof/>
                <w:webHidden/>
              </w:rPr>
            </w:r>
            <w:r>
              <w:rPr>
                <w:noProof/>
                <w:webHidden/>
              </w:rPr>
              <w:fldChar w:fldCharType="separate"/>
            </w:r>
            <w:r w:rsidR="00F8092D">
              <w:rPr>
                <w:noProof/>
                <w:webHidden/>
              </w:rPr>
              <w:t>78</w:t>
            </w:r>
            <w:r>
              <w:rPr>
                <w:noProof/>
                <w:webHidden/>
              </w:rPr>
              <w:fldChar w:fldCharType="end"/>
            </w:r>
          </w:hyperlink>
        </w:p>
        <w:p w14:paraId="06DBAAFA" w14:textId="47F26E2A"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833" w:history="1">
            <w:r w:rsidRPr="007617E7">
              <w:rPr>
                <w:rStyle w:val="Hyperlink"/>
                <w:b/>
              </w:rPr>
              <w:t>3.8</w:t>
            </w:r>
            <w:r>
              <w:rPr>
                <w:rFonts w:asciiTheme="minorHAnsi" w:eastAsiaTheme="minorEastAsia" w:hAnsiTheme="minorHAnsi" w:cstheme="minorBidi"/>
                <w:color w:val="auto"/>
                <w:kern w:val="2"/>
                <w:szCs w:val="24"/>
                <w14:ligatures w14:val="standardContextual"/>
              </w:rPr>
              <w:tab/>
            </w:r>
            <w:r w:rsidRPr="007617E7">
              <w:rPr>
                <w:rStyle w:val="Hyperlink"/>
                <w:b/>
              </w:rPr>
              <w:t>TSM Validation Results</w:t>
            </w:r>
            <w:r>
              <w:rPr>
                <w:webHidden/>
              </w:rPr>
              <w:tab/>
            </w:r>
            <w:r>
              <w:rPr>
                <w:webHidden/>
              </w:rPr>
              <w:fldChar w:fldCharType="begin"/>
            </w:r>
            <w:r>
              <w:rPr>
                <w:webHidden/>
              </w:rPr>
              <w:instrText xml:space="preserve"> PAGEREF _Toc234310833 \h </w:instrText>
            </w:r>
            <w:r>
              <w:rPr>
                <w:webHidden/>
              </w:rPr>
            </w:r>
            <w:r>
              <w:rPr>
                <w:webHidden/>
              </w:rPr>
              <w:fldChar w:fldCharType="separate"/>
            </w:r>
            <w:r w:rsidR="00F8092D">
              <w:rPr>
                <w:webHidden/>
              </w:rPr>
              <w:t>83</w:t>
            </w:r>
            <w:r>
              <w:rPr>
                <w:webHidden/>
              </w:rPr>
              <w:fldChar w:fldCharType="end"/>
            </w:r>
          </w:hyperlink>
        </w:p>
        <w:p w14:paraId="343AEA6D" w14:textId="556D0498"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834" w:history="1">
            <w:r w:rsidRPr="007617E7">
              <w:rPr>
                <w:rStyle w:val="Hyperlink"/>
                <w:noProof/>
                <w:lang w:val="en-GB"/>
              </w:rPr>
              <w:t>3.8.1</w:t>
            </w:r>
            <w:r>
              <w:rPr>
                <w:rFonts w:asciiTheme="minorHAnsi" w:eastAsiaTheme="minorEastAsia" w:hAnsiTheme="minorHAnsi" w:cstheme="minorBidi"/>
                <w:noProof/>
                <w:color w:val="auto"/>
                <w:kern w:val="2"/>
                <w:szCs w:val="24"/>
                <w14:ligatures w14:val="standardContextual"/>
              </w:rPr>
              <w:tab/>
            </w:r>
            <w:r w:rsidRPr="007617E7">
              <w:rPr>
                <w:rStyle w:val="Hyperlink"/>
                <w:rFonts w:ascii="Aptos" w:eastAsia="Aptos" w:hAnsi="Aptos" w:cs="Aptos"/>
                <w:noProof/>
                <w:lang w:val="en-GB"/>
              </w:rPr>
              <w:t>Fleet-level Impact and Risk Escalation</w:t>
            </w:r>
            <w:r>
              <w:rPr>
                <w:noProof/>
                <w:webHidden/>
              </w:rPr>
              <w:tab/>
            </w:r>
            <w:r>
              <w:rPr>
                <w:noProof/>
                <w:webHidden/>
              </w:rPr>
              <w:fldChar w:fldCharType="begin"/>
            </w:r>
            <w:r>
              <w:rPr>
                <w:noProof/>
                <w:webHidden/>
              </w:rPr>
              <w:instrText xml:space="preserve"> PAGEREF _Toc234310834 \h </w:instrText>
            </w:r>
            <w:r>
              <w:rPr>
                <w:noProof/>
                <w:webHidden/>
              </w:rPr>
            </w:r>
            <w:r>
              <w:rPr>
                <w:noProof/>
                <w:webHidden/>
              </w:rPr>
              <w:fldChar w:fldCharType="separate"/>
            </w:r>
            <w:r w:rsidR="00F8092D">
              <w:rPr>
                <w:noProof/>
                <w:webHidden/>
              </w:rPr>
              <w:t>89</w:t>
            </w:r>
            <w:r>
              <w:rPr>
                <w:noProof/>
                <w:webHidden/>
              </w:rPr>
              <w:fldChar w:fldCharType="end"/>
            </w:r>
          </w:hyperlink>
        </w:p>
        <w:p w14:paraId="53401483" w14:textId="4DEB15AB"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835" w:history="1">
            <w:r w:rsidRPr="007617E7">
              <w:rPr>
                <w:rStyle w:val="Hyperlink"/>
                <w:rFonts w:ascii="Aptos" w:eastAsia="Aptos" w:hAnsi="Aptos"/>
                <w:lang w:val="en-GB"/>
              </w:rPr>
              <w:t>3.9</w:t>
            </w:r>
            <w:r>
              <w:rPr>
                <w:rFonts w:asciiTheme="minorHAnsi" w:eastAsiaTheme="minorEastAsia" w:hAnsiTheme="minorHAnsi" w:cstheme="minorBidi"/>
                <w:color w:val="auto"/>
                <w:kern w:val="2"/>
                <w:szCs w:val="24"/>
                <w14:ligatures w14:val="standardContextual"/>
              </w:rPr>
              <w:tab/>
            </w:r>
            <w:r w:rsidRPr="007617E7">
              <w:rPr>
                <w:rStyle w:val="Hyperlink"/>
                <w:rFonts w:ascii="Aptos" w:eastAsia="Aptos" w:hAnsi="Aptos" w:cs="Aptos"/>
                <w:lang w:val="en-GB"/>
              </w:rPr>
              <w:t>TSM Future Implementation</w:t>
            </w:r>
            <w:r>
              <w:rPr>
                <w:webHidden/>
              </w:rPr>
              <w:tab/>
            </w:r>
            <w:r>
              <w:rPr>
                <w:webHidden/>
              </w:rPr>
              <w:fldChar w:fldCharType="begin"/>
            </w:r>
            <w:r>
              <w:rPr>
                <w:webHidden/>
              </w:rPr>
              <w:instrText xml:space="preserve"> PAGEREF _Toc234310835 \h </w:instrText>
            </w:r>
            <w:r>
              <w:rPr>
                <w:webHidden/>
              </w:rPr>
            </w:r>
            <w:r>
              <w:rPr>
                <w:webHidden/>
              </w:rPr>
              <w:fldChar w:fldCharType="separate"/>
            </w:r>
            <w:r w:rsidR="00F8092D">
              <w:rPr>
                <w:webHidden/>
              </w:rPr>
              <w:t>94</w:t>
            </w:r>
            <w:r>
              <w:rPr>
                <w:webHidden/>
              </w:rPr>
              <w:fldChar w:fldCharType="end"/>
            </w:r>
          </w:hyperlink>
        </w:p>
        <w:p w14:paraId="5C5FD947" w14:textId="17414981"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836" w:history="1">
            <w:r w:rsidRPr="007617E7">
              <w:rPr>
                <w:rStyle w:val="Hyperlink"/>
                <w:noProof/>
                <w:lang w:val="en-GB"/>
              </w:rPr>
              <w:t>3.9.1 Practical Limitation and Challenges</w:t>
            </w:r>
            <w:r>
              <w:rPr>
                <w:noProof/>
                <w:webHidden/>
              </w:rPr>
              <w:tab/>
            </w:r>
            <w:r>
              <w:rPr>
                <w:noProof/>
                <w:webHidden/>
              </w:rPr>
              <w:fldChar w:fldCharType="begin"/>
            </w:r>
            <w:r>
              <w:rPr>
                <w:noProof/>
                <w:webHidden/>
              </w:rPr>
              <w:instrText xml:space="preserve"> PAGEREF _Toc234310836 \h </w:instrText>
            </w:r>
            <w:r>
              <w:rPr>
                <w:noProof/>
                <w:webHidden/>
              </w:rPr>
            </w:r>
            <w:r>
              <w:rPr>
                <w:noProof/>
                <w:webHidden/>
              </w:rPr>
              <w:fldChar w:fldCharType="separate"/>
            </w:r>
            <w:r w:rsidR="00F8092D">
              <w:rPr>
                <w:noProof/>
                <w:webHidden/>
              </w:rPr>
              <w:t>95</w:t>
            </w:r>
            <w:r>
              <w:rPr>
                <w:noProof/>
                <w:webHidden/>
              </w:rPr>
              <w:fldChar w:fldCharType="end"/>
            </w:r>
          </w:hyperlink>
        </w:p>
        <w:p w14:paraId="641F6403" w14:textId="2597F74F" w:rsidR="00E13EFC" w:rsidRDefault="00E13EFC">
          <w:pPr>
            <w:pStyle w:val="TOC3"/>
            <w:rPr>
              <w:rFonts w:asciiTheme="minorHAnsi" w:eastAsiaTheme="minorEastAsia" w:hAnsiTheme="minorHAnsi" w:cstheme="minorBidi"/>
              <w:noProof/>
              <w:color w:val="auto"/>
              <w:kern w:val="2"/>
              <w:szCs w:val="24"/>
              <w14:ligatures w14:val="standardContextual"/>
            </w:rPr>
          </w:pPr>
          <w:hyperlink w:anchor="_Toc234310837" w:history="1">
            <w:r w:rsidRPr="007617E7">
              <w:rPr>
                <w:rStyle w:val="Hyperlink"/>
                <w:noProof/>
                <w:lang w:val="en-GB"/>
              </w:rPr>
              <w:t>3.9.2 TSM Supported Technologies</w:t>
            </w:r>
            <w:r>
              <w:rPr>
                <w:noProof/>
                <w:webHidden/>
              </w:rPr>
              <w:tab/>
            </w:r>
            <w:r>
              <w:rPr>
                <w:noProof/>
                <w:webHidden/>
              </w:rPr>
              <w:fldChar w:fldCharType="begin"/>
            </w:r>
            <w:r>
              <w:rPr>
                <w:noProof/>
                <w:webHidden/>
              </w:rPr>
              <w:instrText xml:space="preserve"> PAGEREF _Toc234310837 \h </w:instrText>
            </w:r>
            <w:r>
              <w:rPr>
                <w:noProof/>
                <w:webHidden/>
              </w:rPr>
            </w:r>
            <w:r>
              <w:rPr>
                <w:noProof/>
                <w:webHidden/>
              </w:rPr>
              <w:fldChar w:fldCharType="separate"/>
            </w:r>
            <w:r w:rsidR="00F8092D">
              <w:rPr>
                <w:noProof/>
                <w:webHidden/>
              </w:rPr>
              <w:t>95</w:t>
            </w:r>
            <w:r>
              <w:rPr>
                <w:noProof/>
                <w:webHidden/>
              </w:rPr>
              <w:fldChar w:fldCharType="end"/>
            </w:r>
          </w:hyperlink>
        </w:p>
        <w:p w14:paraId="234CC486" w14:textId="1B7823B9"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838" w:history="1">
            <w:r w:rsidRPr="007617E7">
              <w:rPr>
                <w:rStyle w:val="Hyperlink"/>
                <w:b/>
              </w:rPr>
              <w:t>3.10</w:t>
            </w:r>
            <w:r>
              <w:rPr>
                <w:rFonts w:asciiTheme="minorHAnsi" w:eastAsiaTheme="minorEastAsia" w:hAnsiTheme="minorHAnsi" w:cstheme="minorBidi"/>
                <w:color w:val="auto"/>
                <w:kern w:val="2"/>
                <w:szCs w:val="24"/>
                <w14:ligatures w14:val="standardContextual"/>
              </w:rPr>
              <w:tab/>
            </w:r>
            <w:r w:rsidRPr="007617E7">
              <w:rPr>
                <w:rStyle w:val="Hyperlink"/>
                <w:b/>
              </w:rPr>
              <w:t>Summary</w:t>
            </w:r>
            <w:r>
              <w:rPr>
                <w:webHidden/>
              </w:rPr>
              <w:tab/>
            </w:r>
            <w:r>
              <w:rPr>
                <w:webHidden/>
              </w:rPr>
              <w:fldChar w:fldCharType="begin"/>
            </w:r>
            <w:r>
              <w:rPr>
                <w:webHidden/>
              </w:rPr>
              <w:instrText xml:space="preserve"> PAGEREF _Toc234310838 \h </w:instrText>
            </w:r>
            <w:r>
              <w:rPr>
                <w:webHidden/>
              </w:rPr>
            </w:r>
            <w:r>
              <w:rPr>
                <w:webHidden/>
              </w:rPr>
              <w:fldChar w:fldCharType="separate"/>
            </w:r>
            <w:r w:rsidR="00F8092D">
              <w:rPr>
                <w:webHidden/>
              </w:rPr>
              <w:t>97</w:t>
            </w:r>
            <w:r>
              <w:rPr>
                <w:webHidden/>
              </w:rPr>
              <w:fldChar w:fldCharType="end"/>
            </w:r>
          </w:hyperlink>
        </w:p>
        <w:p w14:paraId="531BFEB4" w14:textId="59703D97" w:rsidR="00E13EFC" w:rsidRDefault="00E13EFC">
          <w:pPr>
            <w:pStyle w:val="TOC1"/>
            <w:rPr>
              <w:rFonts w:asciiTheme="minorHAnsi" w:eastAsiaTheme="minorEastAsia" w:hAnsiTheme="minorHAnsi" w:cstheme="minorBidi"/>
              <w:b w:val="0"/>
              <w:color w:val="auto"/>
              <w:kern w:val="2"/>
              <w:szCs w:val="24"/>
              <w14:ligatures w14:val="standardContextual"/>
            </w:rPr>
          </w:pPr>
          <w:hyperlink w:anchor="_Toc234310839" w:history="1">
            <w:r w:rsidRPr="007617E7">
              <w:rPr>
                <w:rStyle w:val="Hyperlink"/>
                <w:lang w:val="en-US"/>
              </w:rPr>
              <w:t>4</w:t>
            </w:r>
            <w:r>
              <w:rPr>
                <w:rFonts w:asciiTheme="minorHAnsi" w:eastAsiaTheme="minorEastAsia" w:hAnsiTheme="minorHAnsi" w:cstheme="minorBidi"/>
                <w:b w:val="0"/>
                <w:color w:val="auto"/>
                <w:kern w:val="2"/>
                <w:szCs w:val="24"/>
                <w14:ligatures w14:val="standardContextual"/>
              </w:rPr>
              <w:tab/>
            </w:r>
            <w:r w:rsidRPr="007617E7">
              <w:rPr>
                <w:rStyle w:val="Hyperlink"/>
              </w:rPr>
              <w:t>Insights</w:t>
            </w:r>
            <w:r>
              <w:rPr>
                <w:webHidden/>
              </w:rPr>
              <w:tab/>
            </w:r>
            <w:r>
              <w:rPr>
                <w:webHidden/>
              </w:rPr>
              <w:fldChar w:fldCharType="begin"/>
            </w:r>
            <w:r>
              <w:rPr>
                <w:webHidden/>
              </w:rPr>
              <w:instrText xml:space="preserve"> PAGEREF _Toc234310839 \h </w:instrText>
            </w:r>
            <w:r>
              <w:rPr>
                <w:webHidden/>
              </w:rPr>
            </w:r>
            <w:r>
              <w:rPr>
                <w:webHidden/>
              </w:rPr>
              <w:fldChar w:fldCharType="separate"/>
            </w:r>
            <w:r w:rsidR="00F8092D">
              <w:rPr>
                <w:webHidden/>
              </w:rPr>
              <w:t>98</w:t>
            </w:r>
            <w:r>
              <w:rPr>
                <w:webHidden/>
              </w:rPr>
              <w:fldChar w:fldCharType="end"/>
            </w:r>
          </w:hyperlink>
        </w:p>
        <w:p w14:paraId="740717CE" w14:textId="5507AD0F"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840" w:history="1">
            <w:r w:rsidRPr="007617E7">
              <w:rPr>
                <w:rStyle w:val="Hyperlink"/>
              </w:rPr>
              <w:t>4.1</w:t>
            </w:r>
            <w:r>
              <w:rPr>
                <w:rFonts w:asciiTheme="minorHAnsi" w:eastAsiaTheme="minorEastAsia" w:hAnsiTheme="minorHAnsi" w:cstheme="minorBidi"/>
                <w:color w:val="auto"/>
                <w:kern w:val="2"/>
                <w:szCs w:val="24"/>
                <w14:ligatures w14:val="standardContextual"/>
              </w:rPr>
              <w:tab/>
            </w:r>
            <w:r w:rsidRPr="007617E7">
              <w:rPr>
                <w:rStyle w:val="Hyperlink"/>
              </w:rPr>
              <w:t>Security Threats to EVSE Infrastructure</w:t>
            </w:r>
            <w:r>
              <w:rPr>
                <w:webHidden/>
              </w:rPr>
              <w:tab/>
            </w:r>
            <w:r>
              <w:rPr>
                <w:webHidden/>
              </w:rPr>
              <w:fldChar w:fldCharType="begin"/>
            </w:r>
            <w:r>
              <w:rPr>
                <w:webHidden/>
              </w:rPr>
              <w:instrText xml:space="preserve"> PAGEREF _Toc234310840 \h </w:instrText>
            </w:r>
            <w:r>
              <w:rPr>
                <w:webHidden/>
              </w:rPr>
            </w:r>
            <w:r>
              <w:rPr>
                <w:webHidden/>
              </w:rPr>
              <w:fldChar w:fldCharType="separate"/>
            </w:r>
            <w:r w:rsidR="00F8092D">
              <w:rPr>
                <w:webHidden/>
              </w:rPr>
              <w:t>98</w:t>
            </w:r>
            <w:r>
              <w:rPr>
                <w:webHidden/>
              </w:rPr>
              <w:fldChar w:fldCharType="end"/>
            </w:r>
          </w:hyperlink>
        </w:p>
        <w:p w14:paraId="4F292090" w14:textId="2EB08B0E"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841" w:history="1">
            <w:r w:rsidRPr="007617E7">
              <w:rPr>
                <w:rStyle w:val="Hyperlink"/>
              </w:rPr>
              <w:t>Firmware Integrity as a Systemic Risk</w:t>
            </w:r>
            <w:r>
              <w:rPr>
                <w:webHidden/>
              </w:rPr>
              <w:tab/>
            </w:r>
            <w:r>
              <w:rPr>
                <w:webHidden/>
              </w:rPr>
              <w:fldChar w:fldCharType="begin"/>
            </w:r>
            <w:r>
              <w:rPr>
                <w:webHidden/>
              </w:rPr>
              <w:instrText xml:space="preserve"> PAGEREF _Toc234310841 \h </w:instrText>
            </w:r>
            <w:r>
              <w:rPr>
                <w:webHidden/>
              </w:rPr>
            </w:r>
            <w:r>
              <w:rPr>
                <w:webHidden/>
              </w:rPr>
              <w:fldChar w:fldCharType="separate"/>
            </w:r>
            <w:r w:rsidR="00F8092D">
              <w:rPr>
                <w:webHidden/>
              </w:rPr>
              <w:t>98</w:t>
            </w:r>
            <w:r>
              <w:rPr>
                <w:webHidden/>
              </w:rPr>
              <w:fldChar w:fldCharType="end"/>
            </w:r>
          </w:hyperlink>
        </w:p>
        <w:p w14:paraId="77D30F59" w14:textId="5A61F2CE"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842" w:history="1">
            <w:r w:rsidRPr="007617E7">
              <w:rPr>
                <w:rStyle w:val="Hyperlink"/>
              </w:rPr>
              <w:t>Architectural Flatness</w:t>
            </w:r>
            <w:r>
              <w:rPr>
                <w:webHidden/>
              </w:rPr>
              <w:tab/>
            </w:r>
            <w:r>
              <w:rPr>
                <w:webHidden/>
              </w:rPr>
              <w:fldChar w:fldCharType="begin"/>
            </w:r>
            <w:r>
              <w:rPr>
                <w:webHidden/>
              </w:rPr>
              <w:instrText xml:space="preserve"> PAGEREF _Toc234310842 \h </w:instrText>
            </w:r>
            <w:r>
              <w:rPr>
                <w:webHidden/>
              </w:rPr>
            </w:r>
            <w:r>
              <w:rPr>
                <w:webHidden/>
              </w:rPr>
              <w:fldChar w:fldCharType="separate"/>
            </w:r>
            <w:r w:rsidR="00F8092D">
              <w:rPr>
                <w:webHidden/>
              </w:rPr>
              <w:t>98</w:t>
            </w:r>
            <w:r>
              <w:rPr>
                <w:webHidden/>
              </w:rPr>
              <w:fldChar w:fldCharType="end"/>
            </w:r>
          </w:hyperlink>
        </w:p>
        <w:p w14:paraId="7700BDC4" w14:textId="4DAFC416"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843" w:history="1">
            <w:r w:rsidRPr="007617E7">
              <w:rPr>
                <w:rStyle w:val="Hyperlink"/>
              </w:rPr>
              <w:t>Backend Trust and Command Validation Weaknesses</w:t>
            </w:r>
            <w:r>
              <w:rPr>
                <w:webHidden/>
              </w:rPr>
              <w:tab/>
            </w:r>
            <w:r>
              <w:rPr>
                <w:webHidden/>
              </w:rPr>
              <w:fldChar w:fldCharType="begin"/>
            </w:r>
            <w:r>
              <w:rPr>
                <w:webHidden/>
              </w:rPr>
              <w:instrText xml:space="preserve"> PAGEREF _Toc234310843 \h </w:instrText>
            </w:r>
            <w:r>
              <w:rPr>
                <w:webHidden/>
              </w:rPr>
            </w:r>
            <w:r>
              <w:rPr>
                <w:webHidden/>
              </w:rPr>
              <w:fldChar w:fldCharType="separate"/>
            </w:r>
            <w:r w:rsidR="00F8092D">
              <w:rPr>
                <w:webHidden/>
              </w:rPr>
              <w:t>99</w:t>
            </w:r>
            <w:r>
              <w:rPr>
                <w:webHidden/>
              </w:rPr>
              <w:fldChar w:fldCharType="end"/>
            </w:r>
          </w:hyperlink>
        </w:p>
        <w:p w14:paraId="727D12E5" w14:textId="54541104"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844" w:history="1">
            <w:r w:rsidRPr="007617E7">
              <w:rPr>
                <w:rStyle w:val="Hyperlink"/>
              </w:rPr>
              <w:t>Supply Chain Challenges in the EVSE ecosystem</w:t>
            </w:r>
            <w:r>
              <w:rPr>
                <w:webHidden/>
              </w:rPr>
              <w:tab/>
            </w:r>
            <w:r>
              <w:rPr>
                <w:webHidden/>
              </w:rPr>
              <w:fldChar w:fldCharType="begin"/>
            </w:r>
            <w:r>
              <w:rPr>
                <w:webHidden/>
              </w:rPr>
              <w:instrText xml:space="preserve"> PAGEREF _Toc234310844 \h </w:instrText>
            </w:r>
            <w:r>
              <w:rPr>
                <w:webHidden/>
              </w:rPr>
            </w:r>
            <w:r>
              <w:rPr>
                <w:webHidden/>
              </w:rPr>
              <w:fldChar w:fldCharType="separate"/>
            </w:r>
            <w:r w:rsidR="00F8092D">
              <w:rPr>
                <w:webHidden/>
              </w:rPr>
              <w:t>99</w:t>
            </w:r>
            <w:r>
              <w:rPr>
                <w:webHidden/>
              </w:rPr>
              <w:fldChar w:fldCharType="end"/>
            </w:r>
          </w:hyperlink>
        </w:p>
        <w:p w14:paraId="434ABD6C" w14:textId="645EA61F"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845" w:history="1">
            <w:r w:rsidRPr="007617E7">
              <w:rPr>
                <w:rStyle w:val="Hyperlink"/>
              </w:rPr>
              <w:t>4.2</w:t>
            </w:r>
            <w:r>
              <w:rPr>
                <w:rFonts w:asciiTheme="minorHAnsi" w:eastAsiaTheme="minorEastAsia" w:hAnsiTheme="minorHAnsi" w:cstheme="minorBidi"/>
                <w:color w:val="auto"/>
                <w:kern w:val="2"/>
                <w:szCs w:val="24"/>
                <w14:ligatures w14:val="standardContextual"/>
              </w:rPr>
              <w:tab/>
            </w:r>
            <w:r w:rsidRPr="007617E7">
              <w:rPr>
                <w:rStyle w:val="Hyperlink"/>
              </w:rPr>
              <w:t>Aggregation Effect: From Device Risk to Grid Risk</w:t>
            </w:r>
            <w:r>
              <w:rPr>
                <w:webHidden/>
              </w:rPr>
              <w:tab/>
            </w:r>
            <w:r>
              <w:rPr>
                <w:webHidden/>
              </w:rPr>
              <w:fldChar w:fldCharType="begin"/>
            </w:r>
            <w:r>
              <w:rPr>
                <w:webHidden/>
              </w:rPr>
              <w:instrText xml:space="preserve"> PAGEREF _Toc234310845 \h </w:instrText>
            </w:r>
            <w:r>
              <w:rPr>
                <w:webHidden/>
              </w:rPr>
            </w:r>
            <w:r>
              <w:rPr>
                <w:webHidden/>
              </w:rPr>
              <w:fldChar w:fldCharType="separate"/>
            </w:r>
            <w:r w:rsidR="00F8092D">
              <w:rPr>
                <w:webHidden/>
              </w:rPr>
              <w:t>99</w:t>
            </w:r>
            <w:r>
              <w:rPr>
                <w:webHidden/>
              </w:rPr>
              <w:fldChar w:fldCharType="end"/>
            </w:r>
          </w:hyperlink>
        </w:p>
        <w:p w14:paraId="2551B72C" w14:textId="161242DB"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846" w:history="1">
            <w:r w:rsidRPr="007617E7">
              <w:rPr>
                <w:rStyle w:val="Hyperlink"/>
              </w:rPr>
              <w:t>4.3</w:t>
            </w:r>
            <w:r>
              <w:rPr>
                <w:rFonts w:asciiTheme="minorHAnsi" w:eastAsiaTheme="minorEastAsia" w:hAnsiTheme="minorHAnsi" w:cstheme="minorBidi"/>
                <w:color w:val="auto"/>
                <w:kern w:val="2"/>
                <w:szCs w:val="24"/>
                <w14:ligatures w14:val="standardContextual"/>
              </w:rPr>
              <w:tab/>
            </w:r>
            <w:r w:rsidRPr="007617E7">
              <w:rPr>
                <w:rStyle w:val="Hyperlink"/>
              </w:rPr>
              <w:t>Sovereign Assurance Requirements</w:t>
            </w:r>
            <w:r>
              <w:rPr>
                <w:webHidden/>
              </w:rPr>
              <w:tab/>
            </w:r>
            <w:r>
              <w:rPr>
                <w:webHidden/>
              </w:rPr>
              <w:fldChar w:fldCharType="begin"/>
            </w:r>
            <w:r>
              <w:rPr>
                <w:webHidden/>
              </w:rPr>
              <w:instrText xml:space="preserve"> PAGEREF _Toc234310846 \h </w:instrText>
            </w:r>
            <w:r>
              <w:rPr>
                <w:webHidden/>
              </w:rPr>
            </w:r>
            <w:r>
              <w:rPr>
                <w:webHidden/>
              </w:rPr>
              <w:fldChar w:fldCharType="separate"/>
            </w:r>
            <w:r w:rsidR="00F8092D">
              <w:rPr>
                <w:webHidden/>
              </w:rPr>
              <w:t>100</w:t>
            </w:r>
            <w:r>
              <w:rPr>
                <w:webHidden/>
              </w:rPr>
              <w:fldChar w:fldCharType="end"/>
            </w:r>
          </w:hyperlink>
        </w:p>
        <w:p w14:paraId="4AECCBC8" w14:textId="4BA43413" w:rsidR="00E13EFC" w:rsidRDefault="00E13EFC">
          <w:pPr>
            <w:pStyle w:val="TOC1"/>
            <w:rPr>
              <w:rFonts w:asciiTheme="minorHAnsi" w:eastAsiaTheme="minorEastAsia" w:hAnsiTheme="minorHAnsi" w:cstheme="minorBidi"/>
              <w:b w:val="0"/>
              <w:color w:val="auto"/>
              <w:kern w:val="2"/>
              <w:szCs w:val="24"/>
              <w14:ligatures w14:val="standardContextual"/>
            </w:rPr>
          </w:pPr>
          <w:hyperlink w:anchor="_Toc234310847" w:history="1">
            <w:r w:rsidRPr="007617E7">
              <w:rPr>
                <w:rStyle w:val="Hyperlink"/>
              </w:rPr>
              <w:t>5</w:t>
            </w:r>
            <w:r>
              <w:rPr>
                <w:rFonts w:asciiTheme="minorHAnsi" w:eastAsiaTheme="minorEastAsia" w:hAnsiTheme="minorHAnsi" w:cstheme="minorBidi"/>
                <w:b w:val="0"/>
                <w:color w:val="auto"/>
                <w:kern w:val="2"/>
                <w:szCs w:val="24"/>
                <w14:ligatures w14:val="standardContextual"/>
              </w:rPr>
              <w:tab/>
            </w:r>
            <w:r w:rsidRPr="007617E7">
              <w:rPr>
                <w:rStyle w:val="Hyperlink"/>
              </w:rPr>
              <w:t>Future work</w:t>
            </w:r>
            <w:r>
              <w:rPr>
                <w:webHidden/>
              </w:rPr>
              <w:tab/>
            </w:r>
            <w:r>
              <w:rPr>
                <w:webHidden/>
              </w:rPr>
              <w:fldChar w:fldCharType="begin"/>
            </w:r>
            <w:r>
              <w:rPr>
                <w:webHidden/>
              </w:rPr>
              <w:instrText xml:space="preserve"> PAGEREF _Toc234310847 \h </w:instrText>
            </w:r>
            <w:r>
              <w:rPr>
                <w:webHidden/>
              </w:rPr>
            </w:r>
            <w:r>
              <w:rPr>
                <w:webHidden/>
              </w:rPr>
              <w:fldChar w:fldCharType="separate"/>
            </w:r>
            <w:r w:rsidR="00F8092D">
              <w:rPr>
                <w:webHidden/>
              </w:rPr>
              <w:t>101</w:t>
            </w:r>
            <w:r>
              <w:rPr>
                <w:webHidden/>
              </w:rPr>
              <w:fldChar w:fldCharType="end"/>
            </w:r>
          </w:hyperlink>
        </w:p>
        <w:p w14:paraId="7952855B" w14:textId="317F6755"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848" w:history="1">
            <w:r w:rsidRPr="007617E7">
              <w:rPr>
                <w:rStyle w:val="Hyperlink"/>
              </w:rPr>
              <w:t>5.1</w:t>
            </w:r>
            <w:r>
              <w:rPr>
                <w:rFonts w:asciiTheme="minorHAnsi" w:eastAsiaTheme="minorEastAsia" w:hAnsiTheme="minorHAnsi" w:cstheme="minorBidi"/>
                <w:color w:val="auto"/>
                <w:kern w:val="2"/>
                <w:szCs w:val="24"/>
                <w14:ligatures w14:val="standardContextual"/>
              </w:rPr>
              <w:tab/>
            </w:r>
            <w:r w:rsidRPr="007617E7">
              <w:rPr>
                <w:rStyle w:val="Hyperlink"/>
              </w:rPr>
              <w:t>AR-PST Topic 9 (DER and Stability)</w:t>
            </w:r>
            <w:r>
              <w:rPr>
                <w:webHidden/>
              </w:rPr>
              <w:tab/>
            </w:r>
            <w:r>
              <w:rPr>
                <w:webHidden/>
              </w:rPr>
              <w:fldChar w:fldCharType="begin"/>
            </w:r>
            <w:r>
              <w:rPr>
                <w:webHidden/>
              </w:rPr>
              <w:instrText xml:space="preserve"> PAGEREF _Toc234310848 \h </w:instrText>
            </w:r>
            <w:r>
              <w:rPr>
                <w:webHidden/>
              </w:rPr>
            </w:r>
            <w:r>
              <w:rPr>
                <w:webHidden/>
              </w:rPr>
              <w:fldChar w:fldCharType="separate"/>
            </w:r>
            <w:r w:rsidR="00F8092D">
              <w:rPr>
                <w:webHidden/>
              </w:rPr>
              <w:t>101</w:t>
            </w:r>
            <w:r>
              <w:rPr>
                <w:webHidden/>
              </w:rPr>
              <w:fldChar w:fldCharType="end"/>
            </w:r>
          </w:hyperlink>
        </w:p>
        <w:p w14:paraId="6DD2DBC2" w14:textId="009D71A1" w:rsidR="00E13EFC" w:rsidRDefault="00E13EFC">
          <w:pPr>
            <w:pStyle w:val="TOC2"/>
            <w:rPr>
              <w:rFonts w:asciiTheme="minorHAnsi" w:eastAsiaTheme="minorEastAsia" w:hAnsiTheme="minorHAnsi" w:cstheme="minorBidi"/>
              <w:color w:val="auto"/>
              <w:kern w:val="2"/>
              <w:szCs w:val="24"/>
              <w14:ligatures w14:val="standardContextual"/>
            </w:rPr>
          </w:pPr>
          <w:hyperlink w:anchor="_Toc234310849" w:history="1">
            <w:r w:rsidRPr="007617E7">
              <w:rPr>
                <w:rStyle w:val="Hyperlink"/>
              </w:rPr>
              <w:t>5.2</w:t>
            </w:r>
            <w:r>
              <w:rPr>
                <w:rFonts w:asciiTheme="minorHAnsi" w:eastAsiaTheme="minorEastAsia" w:hAnsiTheme="minorHAnsi" w:cstheme="minorBidi"/>
                <w:color w:val="auto"/>
                <w:kern w:val="2"/>
                <w:szCs w:val="24"/>
                <w14:ligatures w14:val="standardContextual"/>
              </w:rPr>
              <w:tab/>
            </w:r>
            <w:r w:rsidRPr="007617E7">
              <w:rPr>
                <w:rStyle w:val="Hyperlink"/>
              </w:rPr>
              <w:t>Future Research Work Opportunities</w:t>
            </w:r>
            <w:r>
              <w:rPr>
                <w:webHidden/>
              </w:rPr>
              <w:tab/>
            </w:r>
            <w:r>
              <w:rPr>
                <w:webHidden/>
              </w:rPr>
              <w:fldChar w:fldCharType="begin"/>
            </w:r>
            <w:r>
              <w:rPr>
                <w:webHidden/>
              </w:rPr>
              <w:instrText xml:space="preserve"> PAGEREF _Toc234310849 \h </w:instrText>
            </w:r>
            <w:r>
              <w:rPr>
                <w:webHidden/>
              </w:rPr>
            </w:r>
            <w:r>
              <w:rPr>
                <w:webHidden/>
              </w:rPr>
              <w:fldChar w:fldCharType="separate"/>
            </w:r>
            <w:r w:rsidR="00F8092D">
              <w:rPr>
                <w:webHidden/>
              </w:rPr>
              <w:t>102</w:t>
            </w:r>
            <w:r>
              <w:rPr>
                <w:webHidden/>
              </w:rPr>
              <w:fldChar w:fldCharType="end"/>
            </w:r>
          </w:hyperlink>
        </w:p>
        <w:p w14:paraId="4D458A4D" w14:textId="75AA3881" w:rsidR="00E13EFC" w:rsidRDefault="00E13EFC">
          <w:pPr>
            <w:pStyle w:val="TOC1"/>
            <w:rPr>
              <w:rFonts w:asciiTheme="minorHAnsi" w:eastAsiaTheme="minorEastAsia" w:hAnsiTheme="minorHAnsi" w:cstheme="minorBidi"/>
              <w:b w:val="0"/>
              <w:color w:val="auto"/>
              <w:kern w:val="2"/>
              <w:szCs w:val="24"/>
              <w14:ligatures w14:val="standardContextual"/>
            </w:rPr>
          </w:pPr>
          <w:hyperlink w:anchor="_Toc234310850" w:history="1">
            <w:r w:rsidRPr="007617E7">
              <w:rPr>
                <w:rStyle w:val="Hyperlink"/>
              </w:rPr>
              <w:t>References</w:t>
            </w:r>
            <w:r>
              <w:rPr>
                <w:webHidden/>
              </w:rPr>
              <w:tab/>
            </w:r>
            <w:r>
              <w:rPr>
                <w:webHidden/>
              </w:rPr>
              <w:fldChar w:fldCharType="begin"/>
            </w:r>
            <w:r>
              <w:rPr>
                <w:webHidden/>
              </w:rPr>
              <w:instrText xml:space="preserve"> PAGEREF _Toc234310850 \h </w:instrText>
            </w:r>
            <w:r>
              <w:rPr>
                <w:webHidden/>
              </w:rPr>
            </w:r>
            <w:r>
              <w:rPr>
                <w:webHidden/>
              </w:rPr>
              <w:fldChar w:fldCharType="separate"/>
            </w:r>
            <w:r w:rsidR="00F8092D">
              <w:rPr>
                <w:webHidden/>
              </w:rPr>
              <w:t>112</w:t>
            </w:r>
            <w:r>
              <w:rPr>
                <w:webHidden/>
              </w:rPr>
              <w:fldChar w:fldCharType="end"/>
            </w:r>
          </w:hyperlink>
        </w:p>
        <w:p w14:paraId="262D5653" w14:textId="7FD78A4E" w:rsidR="4097E735" w:rsidRDefault="4097E735" w:rsidP="4097E735">
          <w:pPr>
            <w:pStyle w:val="TOC1"/>
            <w:tabs>
              <w:tab w:val="clear" w:pos="9639"/>
              <w:tab w:val="right" w:pos="9630"/>
            </w:tabs>
            <w:rPr>
              <w:rStyle w:val="Hyperlink"/>
              <w:rFonts w:asciiTheme="minorHAnsi" w:eastAsiaTheme="minorEastAsia" w:hAnsiTheme="minorHAnsi" w:cstheme="minorBidi"/>
            </w:rPr>
          </w:pPr>
          <w:r>
            <w:fldChar w:fldCharType="end"/>
          </w:r>
        </w:p>
      </w:sdtContent>
    </w:sdt>
    <w:p w14:paraId="48B203C5" w14:textId="13B62996" w:rsidR="00763BBD" w:rsidRDefault="00763BBD">
      <w:pPr>
        <w:rPr>
          <w:rFonts w:asciiTheme="minorHAnsi" w:eastAsiaTheme="minorEastAsia" w:hAnsiTheme="minorHAnsi" w:cstheme="minorBidi"/>
        </w:rPr>
      </w:pPr>
    </w:p>
    <w:p w14:paraId="741F593D" w14:textId="77777777" w:rsidR="002B35CB" w:rsidRDefault="002B35CB" w:rsidP="00DC2413">
      <w:pPr>
        <w:pStyle w:val="BodyText"/>
        <w:rPr>
          <w:rFonts w:asciiTheme="minorHAnsi" w:eastAsiaTheme="minorEastAsia" w:hAnsiTheme="minorHAnsi" w:cstheme="minorBidi"/>
        </w:rPr>
      </w:pPr>
    </w:p>
    <w:p w14:paraId="67D30557" w14:textId="77777777" w:rsidR="008E361C" w:rsidRDefault="008E361C" w:rsidP="000B78E7">
      <w:pPr>
        <w:pStyle w:val="TableofFigures"/>
        <w:rPr>
          <w:b/>
          <w:bCs/>
          <w:sz w:val="34"/>
          <w:szCs w:val="32"/>
        </w:rPr>
      </w:pPr>
    </w:p>
    <w:p w14:paraId="4C667335" w14:textId="77777777" w:rsidR="008E361C" w:rsidRDefault="008E361C" w:rsidP="000B78E7">
      <w:pPr>
        <w:pStyle w:val="TableofFigures"/>
        <w:rPr>
          <w:b/>
          <w:bCs/>
          <w:sz w:val="34"/>
          <w:szCs w:val="32"/>
        </w:rPr>
      </w:pPr>
    </w:p>
    <w:p w14:paraId="5E0831AA" w14:textId="77777777" w:rsidR="008E361C" w:rsidRDefault="008E361C" w:rsidP="000B78E7">
      <w:pPr>
        <w:pStyle w:val="TableofFigures"/>
        <w:rPr>
          <w:b/>
          <w:bCs/>
          <w:sz w:val="34"/>
          <w:szCs w:val="32"/>
        </w:rPr>
      </w:pPr>
    </w:p>
    <w:p w14:paraId="5B386F1C" w14:textId="77777777" w:rsidR="008E361C" w:rsidRDefault="008E361C" w:rsidP="000B78E7">
      <w:pPr>
        <w:pStyle w:val="TableofFigures"/>
        <w:rPr>
          <w:b/>
          <w:bCs/>
          <w:sz w:val="34"/>
          <w:szCs w:val="32"/>
        </w:rPr>
      </w:pPr>
    </w:p>
    <w:p w14:paraId="431FD006" w14:textId="77777777" w:rsidR="008E361C" w:rsidRDefault="008E361C" w:rsidP="000B78E7">
      <w:pPr>
        <w:pStyle w:val="TableofFigures"/>
        <w:rPr>
          <w:b/>
          <w:bCs/>
          <w:sz w:val="34"/>
          <w:szCs w:val="32"/>
        </w:rPr>
      </w:pPr>
    </w:p>
    <w:p w14:paraId="0AE1218C" w14:textId="77777777" w:rsidR="00E13EFC" w:rsidRDefault="00E13EFC" w:rsidP="00E13EFC">
      <w:pPr>
        <w:pStyle w:val="BodyText"/>
      </w:pPr>
    </w:p>
    <w:p w14:paraId="4125CA87" w14:textId="77777777" w:rsidR="00E13EFC" w:rsidRDefault="00E13EFC" w:rsidP="00E13EFC">
      <w:pPr>
        <w:pStyle w:val="BodyText"/>
      </w:pPr>
    </w:p>
    <w:p w14:paraId="295E4913" w14:textId="77777777" w:rsidR="00E13EFC" w:rsidRPr="00E13EFC" w:rsidRDefault="00E13EFC" w:rsidP="00E13EFC">
      <w:pPr>
        <w:pStyle w:val="BodyText"/>
      </w:pPr>
    </w:p>
    <w:p w14:paraId="7206FFD3" w14:textId="77777777" w:rsidR="008E361C" w:rsidRDefault="008E361C" w:rsidP="000B78E7">
      <w:pPr>
        <w:pStyle w:val="TableofFigures"/>
        <w:rPr>
          <w:b/>
          <w:bCs/>
          <w:sz w:val="34"/>
          <w:szCs w:val="32"/>
        </w:rPr>
      </w:pPr>
    </w:p>
    <w:p w14:paraId="373320A6" w14:textId="77777777" w:rsidR="008E361C" w:rsidRDefault="008E361C" w:rsidP="000B78E7">
      <w:pPr>
        <w:pStyle w:val="TableofFigures"/>
        <w:rPr>
          <w:b/>
          <w:bCs/>
          <w:sz w:val="34"/>
          <w:szCs w:val="32"/>
        </w:rPr>
      </w:pPr>
    </w:p>
    <w:p w14:paraId="23539411" w14:textId="40D810CB" w:rsidR="001B7274" w:rsidRPr="00E13EFC" w:rsidRDefault="00A721BC" w:rsidP="008E361C">
      <w:pPr>
        <w:pStyle w:val="TableofFigures"/>
        <w:shd w:val="clear" w:color="auto" w:fill="001D34" w:themeFill="accent2"/>
        <w:rPr>
          <w:b/>
          <w:color w:val="FFFFFF" w:themeColor="background1"/>
          <w:szCs w:val="24"/>
        </w:rPr>
      </w:pPr>
      <w:r w:rsidRPr="00E13EFC">
        <w:rPr>
          <w:b/>
          <w:bCs/>
          <w:color w:val="FFFFFF" w:themeColor="background1"/>
          <w:szCs w:val="24"/>
        </w:rPr>
        <w:t>Table of Figures</w:t>
      </w:r>
    </w:p>
    <w:p w14:paraId="5D40FF18" w14:textId="0028FA5B" w:rsidR="0041216A" w:rsidRDefault="002B4EFB">
      <w:pPr>
        <w:pStyle w:val="TableofFigures"/>
        <w:rPr>
          <w:rFonts w:asciiTheme="minorHAnsi" w:eastAsiaTheme="minorEastAsia" w:hAnsiTheme="minorHAnsi" w:cstheme="minorBidi"/>
          <w:noProof/>
          <w:color w:val="auto"/>
          <w:kern w:val="2"/>
          <w:szCs w:val="24"/>
          <w14:ligatures w14:val="standardContextual"/>
        </w:rPr>
      </w:pPr>
      <w:r>
        <w:fldChar w:fldCharType="begin"/>
      </w:r>
      <w:r>
        <w:instrText xml:space="preserve"> TOC \h \z \c "Figure" </w:instrText>
      </w:r>
      <w:r>
        <w:fldChar w:fldCharType="separate"/>
      </w:r>
      <w:hyperlink w:anchor="_Toc233112207" w:history="1">
        <w:r w:rsidR="0041216A" w:rsidRPr="002449F3">
          <w:rPr>
            <w:rStyle w:val="Hyperlink"/>
            <w:noProof/>
          </w:rPr>
          <w:t xml:space="preserve">Figure 1 : </w:t>
        </w:r>
        <w:r w:rsidR="0041216A" w:rsidRPr="002449F3">
          <w:rPr>
            <w:rStyle w:val="Hyperlink"/>
            <w:rFonts w:ascii="Aptos" w:eastAsia="Aptos" w:hAnsi="Aptos" w:cs="Aptos"/>
            <w:i/>
            <w:noProof/>
            <w:lang w:val="en-GB"/>
          </w:rPr>
          <w:t>EV Sales and Charging Infrastructure Growth Trends in Australia</w:t>
        </w:r>
        <w:r w:rsidR="0041216A">
          <w:rPr>
            <w:noProof/>
            <w:webHidden/>
          </w:rPr>
          <w:tab/>
        </w:r>
        <w:r w:rsidR="0041216A">
          <w:rPr>
            <w:noProof/>
            <w:webHidden/>
          </w:rPr>
          <w:fldChar w:fldCharType="begin"/>
        </w:r>
        <w:r w:rsidR="0041216A">
          <w:rPr>
            <w:noProof/>
            <w:webHidden/>
          </w:rPr>
          <w:instrText xml:space="preserve"> PAGEREF _Toc233112207 \h </w:instrText>
        </w:r>
        <w:r w:rsidR="0041216A">
          <w:rPr>
            <w:noProof/>
            <w:webHidden/>
          </w:rPr>
        </w:r>
        <w:r w:rsidR="0041216A">
          <w:rPr>
            <w:noProof/>
            <w:webHidden/>
          </w:rPr>
          <w:fldChar w:fldCharType="separate"/>
        </w:r>
        <w:r w:rsidR="00F8092D">
          <w:rPr>
            <w:noProof/>
            <w:webHidden/>
          </w:rPr>
          <w:t>14</w:t>
        </w:r>
        <w:r w:rsidR="0041216A">
          <w:rPr>
            <w:noProof/>
            <w:webHidden/>
          </w:rPr>
          <w:fldChar w:fldCharType="end"/>
        </w:r>
      </w:hyperlink>
    </w:p>
    <w:p w14:paraId="21873089" w14:textId="414397D1"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08" w:history="1">
        <w:r w:rsidRPr="002449F3">
          <w:rPr>
            <w:rStyle w:val="Hyperlink"/>
            <w:noProof/>
          </w:rPr>
          <w:t xml:space="preserve">Figure 2 :  </w:t>
        </w:r>
        <w:r w:rsidRPr="002449F3">
          <w:rPr>
            <w:rStyle w:val="Hyperlink"/>
            <w:rFonts w:ascii="Aptos" w:eastAsia="Aptos" w:hAnsi="Aptos" w:cs="Aptos"/>
            <w:i/>
            <w:noProof/>
            <w:lang w:val="en-GB"/>
          </w:rPr>
          <w:t>EVSE supply-chain trust concentration and absence of security architecture</w:t>
        </w:r>
        <w:r>
          <w:rPr>
            <w:noProof/>
            <w:webHidden/>
          </w:rPr>
          <w:tab/>
        </w:r>
        <w:r>
          <w:rPr>
            <w:noProof/>
            <w:webHidden/>
          </w:rPr>
          <w:fldChar w:fldCharType="begin"/>
        </w:r>
        <w:r>
          <w:rPr>
            <w:noProof/>
            <w:webHidden/>
          </w:rPr>
          <w:instrText xml:space="preserve"> PAGEREF _Toc233112208 \h </w:instrText>
        </w:r>
        <w:r>
          <w:rPr>
            <w:noProof/>
            <w:webHidden/>
          </w:rPr>
        </w:r>
        <w:r>
          <w:rPr>
            <w:noProof/>
            <w:webHidden/>
          </w:rPr>
          <w:fldChar w:fldCharType="separate"/>
        </w:r>
        <w:r w:rsidR="00F8092D">
          <w:rPr>
            <w:noProof/>
            <w:webHidden/>
          </w:rPr>
          <w:t>17</w:t>
        </w:r>
        <w:r>
          <w:rPr>
            <w:noProof/>
            <w:webHidden/>
          </w:rPr>
          <w:fldChar w:fldCharType="end"/>
        </w:r>
      </w:hyperlink>
    </w:p>
    <w:p w14:paraId="5A5DB210" w14:textId="55D6C25E"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09" w:history="1">
        <w:r w:rsidRPr="002449F3">
          <w:rPr>
            <w:rStyle w:val="Hyperlink"/>
            <w:noProof/>
          </w:rPr>
          <w:t xml:space="preserve">Figure 3 </w:t>
        </w:r>
        <w:r w:rsidRPr="002449F3">
          <w:rPr>
            <w:rStyle w:val="Hyperlink"/>
            <w:rFonts w:ascii="Aptos" w:eastAsia="Aptos" w:hAnsi="Aptos" w:cs="Aptos"/>
            <w:i/>
            <w:noProof/>
            <w:lang w:val="en-GB"/>
          </w:rPr>
          <w:t>: Scientific Exploratory Methodology.</w:t>
        </w:r>
        <w:r>
          <w:rPr>
            <w:noProof/>
            <w:webHidden/>
          </w:rPr>
          <w:tab/>
        </w:r>
        <w:r>
          <w:rPr>
            <w:noProof/>
            <w:webHidden/>
          </w:rPr>
          <w:fldChar w:fldCharType="begin"/>
        </w:r>
        <w:r>
          <w:rPr>
            <w:noProof/>
            <w:webHidden/>
          </w:rPr>
          <w:instrText xml:space="preserve"> PAGEREF _Toc233112209 \h </w:instrText>
        </w:r>
        <w:r>
          <w:rPr>
            <w:noProof/>
            <w:webHidden/>
          </w:rPr>
        </w:r>
        <w:r>
          <w:rPr>
            <w:noProof/>
            <w:webHidden/>
          </w:rPr>
          <w:fldChar w:fldCharType="separate"/>
        </w:r>
        <w:r w:rsidR="00F8092D">
          <w:rPr>
            <w:noProof/>
            <w:webHidden/>
          </w:rPr>
          <w:t>21</w:t>
        </w:r>
        <w:r>
          <w:rPr>
            <w:noProof/>
            <w:webHidden/>
          </w:rPr>
          <w:fldChar w:fldCharType="end"/>
        </w:r>
      </w:hyperlink>
    </w:p>
    <w:p w14:paraId="5784F5CA" w14:textId="23AA07F5"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10" w:history="1">
        <w:r w:rsidRPr="002449F3">
          <w:rPr>
            <w:rStyle w:val="Hyperlink"/>
            <w:b/>
            <w:bCs/>
            <w:noProof/>
          </w:rPr>
          <w:t>Figure 4</w:t>
        </w:r>
        <w:r w:rsidRPr="002449F3">
          <w:rPr>
            <w:rStyle w:val="Hyperlink"/>
            <w:rFonts w:ascii="Aptos" w:eastAsia="Aptos" w:hAnsi="Aptos" w:cs="Aptos"/>
            <w:i/>
            <w:noProof/>
            <w:lang w:val="en-GB"/>
          </w:rPr>
          <w:t xml:space="preserve">: </w:t>
        </w:r>
        <w:r w:rsidRPr="002449F3">
          <w:rPr>
            <w:rStyle w:val="Hyperlink"/>
            <w:rFonts w:ascii="Aptos" w:eastAsia="Aptos" w:hAnsi="Aptos" w:cs="Aptos"/>
            <w:b/>
            <w:bCs/>
            <w:i/>
            <w:noProof/>
            <w:lang w:val="en-GB"/>
          </w:rPr>
          <w:t>Threat Modelling Approach</w:t>
        </w:r>
        <w:r>
          <w:rPr>
            <w:noProof/>
            <w:webHidden/>
          </w:rPr>
          <w:tab/>
        </w:r>
        <w:r>
          <w:rPr>
            <w:noProof/>
            <w:webHidden/>
          </w:rPr>
          <w:fldChar w:fldCharType="begin"/>
        </w:r>
        <w:r>
          <w:rPr>
            <w:noProof/>
            <w:webHidden/>
          </w:rPr>
          <w:instrText xml:space="preserve"> PAGEREF _Toc233112210 \h </w:instrText>
        </w:r>
        <w:r>
          <w:rPr>
            <w:noProof/>
            <w:webHidden/>
          </w:rPr>
        </w:r>
        <w:r>
          <w:rPr>
            <w:noProof/>
            <w:webHidden/>
          </w:rPr>
          <w:fldChar w:fldCharType="separate"/>
        </w:r>
        <w:r w:rsidR="00F8092D">
          <w:rPr>
            <w:noProof/>
            <w:webHidden/>
          </w:rPr>
          <w:t>24</w:t>
        </w:r>
        <w:r>
          <w:rPr>
            <w:noProof/>
            <w:webHidden/>
          </w:rPr>
          <w:fldChar w:fldCharType="end"/>
        </w:r>
      </w:hyperlink>
    </w:p>
    <w:p w14:paraId="22D62864" w14:textId="131D19FD"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11" w:history="1">
        <w:r w:rsidRPr="002449F3">
          <w:rPr>
            <w:rStyle w:val="Hyperlink"/>
            <w:noProof/>
          </w:rPr>
          <w:t>Figure 5</w:t>
        </w:r>
        <w:r w:rsidRPr="002449F3">
          <w:rPr>
            <w:rStyle w:val="Hyperlink"/>
            <w:rFonts w:ascii="Aptos" w:eastAsia="Aptos" w:hAnsi="Aptos" w:cs="Aptos"/>
            <w:i/>
            <w:noProof/>
            <w:lang w:val="en-GB"/>
          </w:rPr>
          <w:t>: EVSE Eco-System Architectural view</w:t>
        </w:r>
        <w:r>
          <w:rPr>
            <w:noProof/>
            <w:webHidden/>
          </w:rPr>
          <w:tab/>
        </w:r>
        <w:r>
          <w:rPr>
            <w:noProof/>
            <w:webHidden/>
          </w:rPr>
          <w:fldChar w:fldCharType="begin"/>
        </w:r>
        <w:r>
          <w:rPr>
            <w:noProof/>
            <w:webHidden/>
          </w:rPr>
          <w:instrText xml:space="preserve"> PAGEREF _Toc233112211 \h </w:instrText>
        </w:r>
        <w:r>
          <w:rPr>
            <w:noProof/>
            <w:webHidden/>
          </w:rPr>
        </w:r>
        <w:r>
          <w:rPr>
            <w:noProof/>
            <w:webHidden/>
          </w:rPr>
          <w:fldChar w:fldCharType="separate"/>
        </w:r>
        <w:r w:rsidR="00F8092D">
          <w:rPr>
            <w:noProof/>
            <w:webHidden/>
          </w:rPr>
          <w:t>25</w:t>
        </w:r>
        <w:r>
          <w:rPr>
            <w:noProof/>
            <w:webHidden/>
          </w:rPr>
          <w:fldChar w:fldCharType="end"/>
        </w:r>
      </w:hyperlink>
    </w:p>
    <w:p w14:paraId="0CD84E49" w14:textId="2353FA90"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12" w:history="1">
        <w:r w:rsidRPr="002449F3">
          <w:rPr>
            <w:rStyle w:val="Hyperlink"/>
            <w:noProof/>
          </w:rPr>
          <w:t>Figure 6: Interplay of threat, vulnerability, and consequence in defining security risk</w:t>
        </w:r>
        <w:r>
          <w:rPr>
            <w:noProof/>
            <w:webHidden/>
          </w:rPr>
          <w:tab/>
        </w:r>
        <w:r>
          <w:rPr>
            <w:noProof/>
            <w:webHidden/>
          </w:rPr>
          <w:fldChar w:fldCharType="begin"/>
        </w:r>
        <w:r>
          <w:rPr>
            <w:noProof/>
            <w:webHidden/>
          </w:rPr>
          <w:instrText xml:space="preserve"> PAGEREF _Toc233112212 \h </w:instrText>
        </w:r>
        <w:r>
          <w:rPr>
            <w:noProof/>
            <w:webHidden/>
          </w:rPr>
        </w:r>
        <w:r>
          <w:rPr>
            <w:noProof/>
            <w:webHidden/>
          </w:rPr>
          <w:fldChar w:fldCharType="separate"/>
        </w:r>
        <w:r w:rsidR="00F8092D">
          <w:rPr>
            <w:noProof/>
            <w:webHidden/>
          </w:rPr>
          <w:t>26</w:t>
        </w:r>
        <w:r>
          <w:rPr>
            <w:noProof/>
            <w:webHidden/>
          </w:rPr>
          <w:fldChar w:fldCharType="end"/>
        </w:r>
      </w:hyperlink>
    </w:p>
    <w:p w14:paraId="614004B5" w14:textId="51F7718B"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13" w:history="1">
        <w:r w:rsidRPr="002449F3">
          <w:rPr>
            <w:rStyle w:val="Hyperlink"/>
            <w:noProof/>
          </w:rPr>
          <w:t>Figure 7: Two-pronged EVSE vulnerability exploration: literature survey and NVD mining converge in a centralized repository for evidence-based threat modelling</w:t>
        </w:r>
        <w:r>
          <w:rPr>
            <w:noProof/>
            <w:webHidden/>
          </w:rPr>
          <w:tab/>
        </w:r>
        <w:r>
          <w:rPr>
            <w:noProof/>
            <w:webHidden/>
          </w:rPr>
          <w:fldChar w:fldCharType="begin"/>
        </w:r>
        <w:r>
          <w:rPr>
            <w:noProof/>
            <w:webHidden/>
          </w:rPr>
          <w:instrText xml:space="preserve"> PAGEREF _Toc233112213 \h </w:instrText>
        </w:r>
        <w:r>
          <w:rPr>
            <w:noProof/>
            <w:webHidden/>
          </w:rPr>
        </w:r>
        <w:r>
          <w:rPr>
            <w:noProof/>
            <w:webHidden/>
          </w:rPr>
          <w:fldChar w:fldCharType="separate"/>
        </w:r>
        <w:r w:rsidR="00F8092D">
          <w:rPr>
            <w:noProof/>
            <w:webHidden/>
          </w:rPr>
          <w:t>28</w:t>
        </w:r>
        <w:r>
          <w:rPr>
            <w:noProof/>
            <w:webHidden/>
          </w:rPr>
          <w:fldChar w:fldCharType="end"/>
        </w:r>
      </w:hyperlink>
    </w:p>
    <w:p w14:paraId="70018AD0" w14:textId="4EADC61D"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14" w:history="1">
        <w:r w:rsidRPr="002449F3">
          <w:rPr>
            <w:rStyle w:val="Hyperlink"/>
            <w:noProof/>
          </w:rPr>
          <w:t>Figure 8</w:t>
        </w:r>
        <w:r w:rsidRPr="002449F3">
          <w:rPr>
            <w:rStyle w:val="Hyperlink"/>
            <w:i/>
            <w:noProof/>
            <w:lang w:val="en-GB"/>
          </w:rPr>
          <w:t>: TSM with Dual Domain Architecture</w:t>
        </w:r>
        <w:r>
          <w:rPr>
            <w:noProof/>
            <w:webHidden/>
          </w:rPr>
          <w:tab/>
        </w:r>
        <w:r>
          <w:rPr>
            <w:noProof/>
            <w:webHidden/>
          </w:rPr>
          <w:fldChar w:fldCharType="begin"/>
        </w:r>
        <w:r>
          <w:rPr>
            <w:noProof/>
            <w:webHidden/>
          </w:rPr>
          <w:instrText xml:space="preserve"> PAGEREF _Toc233112214 \h </w:instrText>
        </w:r>
        <w:r>
          <w:rPr>
            <w:noProof/>
            <w:webHidden/>
          </w:rPr>
        </w:r>
        <w:r>
          <w:rPr>
            <w:noProof/>
            <w:webHidden/>
          </w:rPr>
          <w:fldChar w:fldCharType="separate"/>
        </w:r>
        <w:r w:rsidR="00F8092D">
          <w:rPr>
            <w:noProof/>
            <w:webHidden/>
          </w:rPr>
          <w:t>34</w:t>
        </w:r>
        <w:r>
          <w:rPr>
            <w:noProof/>
            <w:webHidden/>
          </w:rPr>
          <w:fldChar w:fldCharType="end"/>
        </w:r>
      </w:hyperlink>
    </w:p>
    <w:p w14:paraId="06373F75" w14:textId="4853C0D5"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15" w:history="1">
        <w:r w:rsidRPr="002449F3">
          <w:rPr>
            <w:rStyle w:val="Hyperlink"/>
            <w:noProof/>
          </w:rPr>
          <w:t>Figure 9</w:t>
        </w:r>
        <w:r w:rsidRPr="002449F3">
          <w:rPr>
            <w:rStyle w:val="Hyperlink"/>
            <w:i/>
            <w:iCs/>
            <w:noProof/>
            <w:lang w:val="en-GB"/>
          </w:rPr>
          <w:t>: TSM Abstract Operational States</w:t>
        </w:r>
        <w:r>
          <w:rPr>
            <w:noProof/>
            <w:webHidden/>
          </w:rPr>
          <w:tab/>
        </w:r>
        <w:r>
          <w:rPr>
            <w:noProof/>
            <w:webHidden/>
          </w:rPr>
          <w:fldChar w:fldCharType="begin"/>
        </w:r>
        <w:r>
          <w:rPr>
            <w:noProof/>
            <w:webHidden/>
          </w:rPr>
          <w:instrText xml:space="preserve"> PAGEREF _Toc233112215 \h </w:instrText>
        </w:r>
        <w:r>
          <w:rPr>
            <w:noProof/>
            <w:webHidden/>
          </w:rPr>
        </w:r>
        <w:r>
          <w:rPr>
            <w:noProof/>
            <w:webHidden/>
          </w:rPr>
          <w:fldChar w:fldCharType="separate"/>
        </w:r>
        <w:r w:rsidR="00F8092D">
          <w:rPr>
            <w:noProof/>
            <w:webHidden/>
          </w:rPr>
          <w:t>38</w:t>
        </w:r>
        <w:r>
          <w:rPr>
            <w:noProof/>
            <w:webHidden/>
          </w:rPr>
          <w:fldChar w:fldCharType="end"/>
        </w:r>
      </w:hyperlink>
    </w:p>
    <w:p w14:paraId="108A2294" w14:textId="7F37FA14"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16" w:history="1">
        <w:r w:rsidRPr="002449F3">
          <w:rPr>
            <w:rStyle w:val="Hyperlink"/>
            <w:noProof/>
          </w:rPr>
          <w:t>Figure 10</w:t>
        </w:r>
        <w:r w:rsidRPr="002449F3">
          <w:rPr>
            <w:rStyle w:val="Hyperlink"/>
            <w:rFonts w:ascii="Aptos" w:eastAsia="Aptos" w:hAnsi="Aptos" w:cs="Aptos"/>
            <w:i/>
            <w:iCs/>
            <w:noProof/>
            <w:lang w:val="en-GB"/>
          </w:rPr>
          <w:t>: Integration of the TSM within the Co-Simulation Platform employing supervisory mediation and trust boundary separation</w:t>
        </w:r>
        <w:r>
          <w:rPr>
            <w:noProof/>
            <w:webHidden/>
          </w:rPr>
          <w:tab/>
        </w:r>
        <w:r>
          <w:rPr>
            <w:noProof/>
            <w:webHidden/>
          </w:rPr>
          <w:fldChar w:fldCharType="begin"/>
        </w:r>
        <w:r>
          <w:rPr>
            <w:noProof/>
            <w:webHidden/>
          </w:rPr>
          <w:instrText xml:space="preserve"> PAGEREF _Toc233112216 \h </w:instrText>
        </w:r>
        <w:r>
          <w:rPr>
            <w:noProof/>
            <w:webHidden/>
          </w:rPr>
        </w:r>
        <w:r>
          <w:rPr>
            <w:noProof/>
            <w:webHidden/>
          </w:rPr>
          <w:fldChar w:fldCharType="separate"/>
        </w:r>
        <w:r w:rsidR="00F8092D">
          <w:rPr>
            <w:noProof/>
            <w:webHidden/>
          </w:rPr>
          <w:t>40</w:t>
        </w:r>
        <w:r>
          <w:rPr>
            <w:noProof/>
            <w:webHidden/>
          </w:rPr>
          <w:fldChar w:fldCharType="end"/>
        </w:r>
      </w:hyperlink>
    </w:p>
    <w:p w14:paraId="1E5D4EA6" w14:textId="0DB7EA0D"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17" w:history="1">
        <w:r w:rsidRPr="002449F3">
          <w:rPr>
            <w:rStyle w:val="Hyperlink"/>
            <w:noProof/>
          </w:rPr>
          <w:t>Figure 11</w:t>
        </w:r>
        <w:r w:rsidRPr="002449F3">
          <w:rPr>
            <w:rStyle w:val="Hyperlink"/>
            <w:rFonts w:ascii="Aptos" w:eastAsia="Aptos" w:hAnsi="Aptos" w:cs="Aptos"/>
            <w:i/>
            <w:iCs/>
            <w:noProof/>
            <w:lang w:val="en-GB"/>
          </w:rPr>
          <w:t>:</w:t>
        </w:r>
        <w:r w:rsidRPr="002449F3">
          <w:rPr>
            <w:rStyle w:val="Hyperlink"/>
            <w:rFonts w:ascii="Aptos" w:eastAsia="Aptos" w:hAnsi="Aptos" w:cs="Aptos"/>
            <w:i/>
            <w:noProof/>
            <w:lang w:val="en-GB"/>
          </w:rPr>
          <w:t xml:space="preserve"> Key Interfaces and Components that Contribute to the EVSE Attack Surface</w:t>
        </w:r>
        <w:r>
          <w:rPr>
            <w:noProof/>
            <w:webHidden/>
          </w:rPr>
          <w:tab/>
        </w:r>
        <w:r>
          <w:rPr>
            <w:noProof/>
            <w:webHidden/>
          </w:rPr>
          <w:fldChar w:fldCharType="begin"/>
        </w:r>
        <w:r>
          <w:rPr>
            <w:noProof/>
            <w:webHidden/>
          </w:rPr>
          <w:instrText xml:space="preserve"> PAGEREF _Toc233112217 \h </w:instrText>
        </w:r>
        <w:r>
          <w:rPr>
            <w:noProof/>
            <w:webHidden/>
          </w:rPr>
        </w:r>
        <w:r>
          <w:rPr>
            <w:noProof/>
            <w:webHidden/>
          </w:rPr>
          <w:fldChar w:fldCharType="separate"/>
        </w:r>
        <w:r w:rsidR="00F8092D">
          <w:rPr>
            <w:noProof/>
            <w:webHidden/>
          </w:rPr>
          <w:t>41</w:t>
        </w:r>
        <w:r>
          <w:rPr>
            <w:noProof/>
            <w:webHidden/>
          </w:rPr>
          <w:fldChar w:fldCharType="end"/>
        </w:r>
      </w:hyperlink>
    </w:p>
    <w:p w14:paraId="7C9F09B2" w14:textId="3D19F662"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18" w:history="1">
        <w:r w:rsidRPr="002449F3">
          <w:rPr>
            <w:rStyle w:val="Hyperlink"/>
            <w:noProof/>
          </w:rPr>
          <w:t>Figure 12</w:t>
        </w:r>
        <w:r w:rsidRPr="002449F3">
          <w:rPr>
            <w:rStyle w:val="Hyperlink"/>
            <w:rFonts w:ascii="Aptos" w:eastAsia="Aptos" w:hAnsi="Aptos" w:cs="Aptos"/>
            <w:i/>
            <w:iCs/>
            <w:noProof/>
            <w:lang w:val="en-GB"/>
          </w:rPr>
          <w:t>: Vulnerabilities distribution with cyber impact types for EVSEs</w:t>
        </w:r>
        <w:r>
          <w:rPr>
            <w:noProof/>
            <w:webHidden/>
          </w:rPr>
          <w:tab/>
        </w:r>
        <w:r>
          <w:rPr>
            <w:noProof/>
            <w:webHidden/>
          </w:rPr>
          <w:fldChar w:fldCharType="begin"/>
        </w:r>
        <w:r>
          <w:rPr>
            <w:noProof/>
            <w:webHidden/>
          </w:rPr>
          <w:instrText xml:space="preserve"> PAGEREF _Toc233112218 \h </w:instrText>
        </w:r>
        <w:r>
          <w:rPr>
            <w:noProof/>
            <w:webHidden/>
          </w:rPr>
        </w:r>
        <w:r>
          <w:rPr>
            <w:noProof/>
            <w:webHidden/>
          </w:rPr>
          <w:fldChar w:fldCharType="separate"/>
        </w:r>
        <w:r w:rsidR="00F8092D">
          <w:rPr>
            <w:noProof/>
            <w:webHidden/>
          </w:rPr>
          <w:t>44</w:t>
        </w:r>
        <w:r>
          <w:rPr>
            <w:noProof/>
            <w:webHidden/>
          </w:rPr>
          <w:fldChar w:fldCharType="end"/>
        </w:r>
      </w:hyperlink>
    </w:p>
    <w:p w14:paraId="7C43F83B" w14:textId="38E4C6AE"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19" w:history="1">
        <w:r w:rsidRPr="002449F3">
          <w:rPr>
            <w:rStyle w:val="Hyperlink"/>
            <w:b/>
            <w:bCs/>
            <w:noProof/>
          </w:rPr>
          <w:t>Figure 13:</w:t>
        </w:r>
        <w:r w:rsidRPr="002449F3">
          <w:rPr>
            <w:rStyle w:val="Hyperlink"/>
            <w:noProof/>
            <w:lang w:val="en-GB"/>
          </w:rPr>
          <w:t xml:space="preserve"> </w:t>
        </w:r>
        <w:r w:rsidRPr="002449F3">
          <w:rPr>
            <w:rStyle w:val="Hyperlink"/>
            <w:rFonts w:ascii="Aptos" w:eastAsia="Aptos" w:hAnsi="Aptos" w:cs="Aptos"/>
            <w:b/>
            <w:bCs/>
            <w:i/>
            <w:iCs/>
            <w:noProof/>
            <w:lang w:val="en-GB"/>
          </w:rPr>
          <w:t>EVSE Vulnerabilities by Architecture Domain</w:t>
        </w:r>
        <w:r>
          <w:rPr>
            <w:noProof/>
            <w:webHidden/>
          </w:rPr>
          <w:tab/>
        </w:r>
        <w:r>
          <w:rPr>
            <w:noProof/>
            <w:webHidden/>
          </w:rPr>
          <w:fldChar w:fldCharType="begin"/>
        </w:r>
        <w:r>
          <w:rPr>
            <w:noProof/>
            <w:webHidden/>
          </w:rPr>
          <w:instrText xml:space="preserve"> PAGEREF _Toc233112219 \h </w:instrText>
        </w:r>
        <w:r>
          <w:rPr>
            <w:noProof/>
            <w:webHidden/>
          </w:rPr>
        </w:r>
        <w:r>
          <w:rPr>
            <w:noProof/>
            <w:webHidden/>
          </w:rPr>
          <w:fldChar w:fldCharType="separate"/>
        </w:r>
        <w:r w:rsidR="00F8092D">
          <w:rPr>
            <w:noProof/>
            <w:webHidden/>
          </w:rPr>
          <w:t>44</w:t>
        </w:r>
        <w:r>
          <w:rPr>
            <w:noProof/>
            <w:webHidden/>
          </w:rPr>
          <w:fldChar w:fldCharType="end"/>
        </w:r>
      </w:hyperlink>
    </w:p>
    <w:p w14:paraId="5696F854" w14:textId="0A0640B8"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20" w:history="1">
        <w:r w:rsidRPr="002449F3">
          <w:rPr>
            <w:rStyle w:val="Hyperlink"/>
            <w:noProof/>
          </w:rPr>
          <w:t>Figure 14</w:t>
        </w:r>
        <w:r w:rsidRPr="002449F3">
          <w:rPr>
            <w:rStyle w:val="Hyperlink"/>
            <w:rFonts w:ascii="Aptos" w:eastAsia="Aptos" w:hAnsi="Aptos" w:cs="Aptos"/>
            <w:i/>
            <w:iCs/>
            <w:noProof/>
            <w:lang w:val="en-GB"/>
          </w:rPr>
          <w:t>: Firmware Compromise Attack Graph with multiple attack paths</w:t>
        </w:r>
        <w:r>
          <w:rPr>
            <w:noProof/>
            <w:webHidden/>
          </w:rPr>
          <w:tab/>
        </w:r>
        <w:r>
          <w:rPr>
            <w:noProof/>
            <w:webHidden/>
          </w:rPr>
          <w:fldChar w:fldCharType="begin"/>
        </w:r>
        <w:r>
          <w:rPr>
            <w:noProof/>
            <w:webHidden/>
          </w:rPr>
          <w:instrText xml:space="preserve"> PAGEREF _Toc233112220 \h </w:instrText>
        </w:r>
        <w:r>
          <w:rPr>
            <w:noProof/>
            <w:webHidden/>
          </w:rPr>
        </w:r>
        <w:r>
          <w:rPr>
            <w:noProof/>
            <w:webHidden/>
          </w:rPr>
          <w:fldChar w:fldCharType="separate"/>
        </w:r>
        <w:r w:rsidR="00F8092D">
          <w:rPr>
            <w:noProof/>
            <w:webHidden/>
          </w:rPr>
          <w:t>46</w:t>
        </w:r>
        <w:r>
          <w:rPr>
            <w:noProof/>
            <w:webHidden/>
          </w:rPr>
          <w:fldChar w:fldCharType="end"/>
        </w:r>
      </w:hyperlink>
    </w:p>
    <w:p w14:paraId="78C182F5" w14:textId="2F9465F8"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21" w:history="1">
        <w:r w:rsidRPr="002449F3">
          <w:rPr>
            <w:rStyle w:val="Hyperlink"/>
            <w:b/>
            <w:bCs/>
            <w:noProof/>
          </w:rPr>
          <w:t>Figure 15</w:t>
        </w:r>
        <w:r w:rsidRPr="002449F3">
          <w:rPr>
            <w:rStyle w:val="Hyperlink"/>
            <w:rFonts w:ascii="Aptos" w:eastAsia="Aptos" w:hAnsi="Aptos" w:cs="Aptos"/>
            <w:i/>
            <w:noProof/>
            <w:lang w:val="en-GB"/>
          </w:rPr>
          <w:t xml:space="preserve">: </w:t>
        </w:r>
        <w:r w:rsidRPr="002449F3">
          <w:rPr>
            <w:rStyle w:val="Hyperlink"/>
            <w:rFonts w:ascii="Aptos" w:eastAsia="Aptos" w:hAnsi="Aptos" w:cs="Aptos"/>
            <w:b/>
            <w:bCs/>
            <w:i/>
            <w:iCs/>
            <w:noProof/>
            <w:lang w:val="en-GB"/>
          </w:rPr>
          <w:t>EVSE attack-chain model demonstrating cross-domain propagation from backend compromise to fleet-wide control and grid-level disruption.</w:t>
        </w:r>
        <w:r>
          <w:rPr>
            <w:noProof/>
            <w:webHidden/>
          </w:rPr>
          <w:tab/>
        </w:r>
        <w:r>
          <w:rPr>
            <w:noProof/>
            <w:webHidden/>
          </w:rPr>
          <w:fldChar w:fldCharType="begin"/>
        </w:r>
        <w:r>
          <w:rPr>
            <w:noProof/>
            <w:webHidden/>
          </w:rPr>
          <w:instrText xml:space="preserve"> PAGEREF _Toc233112221 \h </w:instrText>
        </w:r>
        <w:r>
          <w:rPr>
            <w:noProof/>
            <w:webHidden/>
          </w:rPr>
        </w:r>
        <w:r>
          <w:rPr>
            <w:noProof/>
            <w:webHidden/>
          </w:rPr>
          <w:fldChar w:fldCharType="separate"/>
        </w:r>
        <w:r w:rsidR="00F8092D">
          <w:rPr>
            <w:noProof/>
            <w:webHidden/>
          </w:rPr>
          <w:t>47</w:t>
        </w:r>
        <w:r>
          <w:rPr>
            <w:noProof/>
            <w:webHidden/>
          </w:rPr>
          <w:fldChar w:fldCharType="end"/>
        </w:r>
      </w:hyperlink>
    </w:p>
    <w:p w14:paraId="32C9E60B" w14:textId="2E6360AE"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22" w:history="1">
        <w:r w:rsidRPr="002449F3">
          <w:rPr>
            <w:rStyle w:val="Hyperlink"/>
            <w:noProof/>
          </w:rPr>
          <w:t xml:space="preserve">Figure 16: </w:t>
        </w:r>
        <w:r w:rsidRPr="002449F3">
          <w:rPr>
            <w:rStyle w:val="Hyperlink"/>
            <w:rFonts w:ascii="Aptos" w:eastAsia="Aptos" w:hAnsi="Aptos" w:cs="Aptos"/>
            <w:i/>
            <w:iCs/>
            <w:noProof/>
            <w:lang w:val="en-GB"/>
          </w:rPr>
          <w:t>EVSE-Threat Distribution with STRIDE Model</w:t>
        </w:r>
        <w:r>
          <w:rPr>
            <w:noProof/>
            <w:webHidden/>
          </w:rPr>
          <w:tab/>
        </w:r>
        <w:r>
          <w:rPr>
            <w:noProof/>
            <w:webHidden/>
          </w:rPr>
          <w:fldChar w:fldCharType="begin"/>
        </w:r>
        <w:r>
          <w:rPr>
            <w:noProof/>
            <w:webHidden/>
          </w:rPr>
          <w:instrText xml:space="preserve"> PAGEREF _Toc233112222 \h </w:instrText>
        </w:r>
        <w:r>
          <w:rPr>
            <w:noProof/>
            <w:webHidden/>
          </w:rPr>
        </w:r>
        <w:r>
          <w:rPr>
            <w:noProof/>
            <w:webHidden/>
          </w:rPr>
          <w:fldChar w:fldCharType="separate"/>
        </w:r>
        <w:r w:rsidR="00F8092D">
          <w:rPr>
            <w:noProof/>
            <w:webHidden/>
          </w:rPr>
          <w:t>48</w:t>
        </w:r>
        <w:r>
          <w:rPr>
            <w:noProof/>
            <w:webHidden/>
          </w:rPr>
          <w:fldChar w:fldCharType="end"/>
        </w:r>
      </w:hyperlink>
    </w:p>
    <w:p w14:paraId="068B0359" w14:textId="246D7544"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23" w:history="1">
        <w:r w:rsidRPr="002449F3">
          <w:rPr>
            <w:rStyle w:val="Hyperlink"/>
            <w:noProof/>
          </w:rPr>
          <w:t>Figure 17</w:t>
        </w:r>
        <w:r w:rsidRPr="002449F3">
          <w:rPr>
            <w:rStyle w:val="Hyperlink"/>
            <w:rFonts w:ascii="Aptos" w:eastAsia="Aptos" w:hAnsi="Aptos" w:cs="Aptos"/>
            <w:i/>
            <w:noProof/>
            <w:lang w:val="en-GB"/>
          </w:rPr>
          <w:t xml:space="preserve">: </w:t>
        </w:r>
        <w:r w:rsidRPr="002449F3">
          <w:rPr>
            <w:rStyle w:val="Hyperlink"/>
            <w:rFonts w:ascii="Aptos" w:eastAsia="Aptos" w:hAnsi="Aptos" w:cs="Aptos"/>
            <w:i/>
            <w:iCs/>
            <w:noProof/>
            <w:lang w:val="en-GB"/>
          </w:rPr>
          <w:t>Risk Count by Severity: overall distribution of identified risks by severity level.</w:t>
        </w:r>
        <w:r>
          <w:rPr>
            <w:noProof/>
            <w:webHidden/>
          </w:rPr>
          <w:tab/>
        </w:r>
        <w:r>
          <w:rPr>
            <w:noProof/>
            <w:webHidden/>
          </w:rPr>
          <w:fldChar w:fldCharType="begin"/>
        </w:r>
        <w:r>
          <w:rPr>
            <w:noProof/>
            <w:webHidden/>
          </w:rPr>
          <w:instrText xml:space="preserve"> PAGEREF _Toc233112223 \h </w:instrText>
        </w:r>
        <w:r>
          <w:rPr>
            <w:noProof/>
            <w:webHidden/>
          </w:rPr>
        </w:r>
        <w:r>
          <w:rPr>
            <w:noProof/>
            <w:webHidden/>
          </w:rPr>
          <w:fldChar w:fldCharType="separate"/>
        </w:r>
        <w:r w:rsidR="00F8092D">
          <w:rPr>
            <w:noProof/>
            <w:webHidden/>
          </w:rPr>
          <w:t>48</w:t>
        </w:r>
        <w:r>
          <w:rPr>
            <w:noProof/>
            <w:webHidden/>
          </w:rPr>
          <w:fldChar w:fldCharType="end"/>
        </w:r>
      </w:hyperlink>
    </w:p>
    <w:p w14:paraId="1E0C2E86" w14:textId="0ED30D43"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24" w:history="1">
        <w:r w:rsidRPr="002449F3">
          <w:rPr>
            <w:rStyle w:val="Hyperlink"/>
            <w:noProof/>
          </w:rPr>
          <w:t xml:space="preserve">Figure 18 </w:t>
        </w:r>
        <w:r w:rsidRPr="002449F3">
          <w:rPr>
            <w:rStyle w:val="Hyperlink"/>
            <w:rFonts w:ascii="Aptos" w:eastAsia="Aptos" w:hAnsi="Aptos" w:cs="Aptos"/>
            <w:i/>
            <w:noProof/>
            <w:lang w:val="en-GB"/>
          </w:rPr>
          <w:t>: Top 10 Threats</w:t>
        </w:r>
        <w:r>
          <w:rPr>
            <w:noProof/>
            <w:webHidden/>
          </w:rPr>
          <w:tab/>
        </w:r>
        <w:r>
          <w:rPr>
            <w:noProof/>
            <w:webHidden/>
          </w:rPr>
          <w:fldChar w:fldCharType="begin"/>
        </w:r>
        <w:r>
          <w:rPr>
            <w:noProof/>
            <w:webHidden/>
          </w:rPr>
          <w:instrText xml:space="preserve"> PAGEREF _Toc233112224 \h </w:instrText>
        </w:r>
        <w:r>
          <w:rPr>
            <w:noProof/>
            <w:webHidden/>
          </w:rPr>
        </w:r>
        <w:r>
          <w:rPr>
            <w:noProof/>
            <w:webHidden/>
          </w:rPr>
          <w:fldChar w:fldCharType="separate"/>
        </w:r>
        <w:r w:rsidR="00F8092D">
          <w:rPr>
            <w:noProof/>
            <w:webHidden/>
          </w:rPr>
          <w:t>49</w:t>
        </w:r>
        <w:r>
          <w:rPr>
            <w:noProof/>
            <w:webHidden/>
          </w:rPr>
          <w:fldChar w:fldCharType="end"/>
        </w:r>
      </w:hyperlink>
    </w:p>
    <w:p w14:paraId="54617F34" w14:textId="7B746E74"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25" w:history="1">
        <w:r w:rsidRPr="002449F3">
          <w:rPr>
            <w:rStyle w:val="Hyperlink"/>
            <w:noProof/>
          </w:rPr>
          <w:t>Figure 19</w:t>
        </w:r>
        <w:r w:rsidRPr="002449F3">
          <w:rPr>
            <w:rStyle w:val="Hyperlink"/>
            <w:rFonts w:ascii="Aptos" w:eastAsia="Aptos" w:hAnsi="Aptos" w:cs="Aptos"/>
            <w:i/>
            <w:noProof/>
            <w:lang w:val="en-GB"/>
          </w:rPr>
          <w:t>: Comparison of Inherent vs Residual Risks</w:t>
        </w:r>
        <w:r>
          <w:rPr>
            <w:noProof/>
            <w:webHidden/>
          </w:rPr>
          <w:tab/>
        </w:r>
        <w:r>
          <w:rPr>
            <w:noProof/>
            <w:webHidden/>
          </w:rPr>
          <w:fldChar w:fldCharType="begin"/>
        </w:r>
        <w:r>
          <w:rPr>
            <w:noProof/>
            <w:webHidden/>
          </w:rPr>
          <w:instrText xml:space="preserve"> PAGEREF _Toc233112225 \h </w:instrText>
        </w:r>
        <w:r>
          <w:rPr>
            <w:noProof/>
            <w:webHidden/>
          </w:rPr>
        </w:r>
        <w:r>
          <w:rPr>
            <w:noProof/>
            <w:webHidden/>
          </w:rPr>
          <w:fldChar w:fldCharType="separate"/>
        </w:r>
        <w:r w:rsidR="00F8092D">
          <w:rPr>
            <w:noProof/>
            <w:webHidden/>
          </w:rPr>
          <w:t>49</w:t>
        </w:r>
        <w:r>
          <w:rPr>
            <w:noProof/>
            <w:webHidden/>
          </w:rPr>
          <w:fldChar w:fldCharType="end"/>
        </w:r>
      </w:hyperlink>
    </w:p>
    <w:p w14:paraId="3B59D465" w14:textId="6DD433C4"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26" w:history="1">
        <w:r w:rsidRPr="002449F3">
          <w:rPr>
            <w:rStyle w:val="Hyperlink"/>
            <w:noProof/>
          </w:rPr>
          <w:t>Figure 20</w:t>
        </w:r>
        <w:r w:rsidRPr="002449F3">
          <w:rPr>
            <w:rStyle w:val="Hyperlink"/>
            <w:rFonts w:ascii="Aptos" w:eastAsia="Aptos" w:hAnsi="Aptos" w:cs="Aptos"/>
            <w:i/>
            <w:noProof/>
            <w:lang w:val="en-GB"/>
          </w:rPr>
          <w:t>: EVSE Risk Drivers</w:t>
        </w:r>
        <w:r>
          <w:rPr>
            <w:noProof/>
            <w:webHidden/>
          </w:rPr>
          <w:tab/>
        </w:r>
        <w:r>
          <w:rPr>
            <w:noProof/>
            <w:webHidden/>
          </w:rPr>
          <w:fldChar w:fldCharType="begin"/>
        </w:r>
        <w:r>
          <w:rPr>
            <w:noProof/>
            <w:webHidden/>
          </w:rPr>
          <w:instrText xml:space="preserve"> PAGEREF _Toc233112226 \h </w:instrText>
        </w:r>
        <w:r>
          <w:rPr>
            <w:noProof/>
            <w:webHidden/>
          </w:rPr>
        </w:r>
        <w:r>
          <w:rPr>
            <w:noProof/>
            <w:webHidden/>
          </w:rPr>
          <w:fldChar w:fldCharType="separate"/>
        </w:r>
        <w:r w:rsidR="00F8092D">
          <w:rPr>
            <w:noProof/>
            <w:webHidden/>
          </w:rPr>
          <w:t>50</w:t>
        </w:r>
        <w:r>
          <w:rPr>
            <w:noProof/>
            <w:webHidden/>
          </w:rPr>
          <w:fldChar w:fldCharType="end"/>
        </w:r>
      </w:hyperlink>
    </w:p>
    <w:p w14:paraId="0035ECC1" w14:textId="316E888A"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27" w:history="1">
        <w:r w:rsidRPr="002449F3">
          <w:rPr>
            <w:rStyle w:val="Hyperlink"/>
            <w:noProof/>
          </w:rPr>
          <w:t>Figure 21</w:t>
        </w:r>
        <w:r w:rsidRPr="002449F3">
          <w:rPr>
            <w:rStyle w:val="Hyperlink"/>
            <w:rFonts w:eastAsia="Aptos"/>
            <w:i/>
            <w:noProof/>
            <w:lang w:val="en-GB"/>
          </w:rPr>
          <w:t>: Grid integration architecture for single EVSE showing HELICS federation, OpenDSS power flow interface, and bidirectional communication pathways.</w:t>
        </w:r>
        <w:r>
          <w:rPr>
            <w:noProof/>
            <w:webHidden/>
          </w:rPr>
          <w:tab/>
        </w:r>
        <w:r>
          <w:rPr>
            <w:noProof/>
            <w:webHidden/>
          </w:rPr>
          <w:fldChar w:fldCharType="begin"/>
        </w:r>
        <w:r>
          <w:rPr>
            <w:noProof/>
            <w:webHidden/>
          </w:rPr>
          <w:instrText xml:space="preserve"> PAGEREF _Toc233112227 \h </w:instrText>
        </w:r>
        <w:r>
          <w:rPr>
            <w:noProof/>
            <w:webHidden/>
          </w:rPr>
        </w:r>
        <w:r>
          <w:rPr>
            <w:noProof/>
            <w:webHidden/>
          </w:rPr>
          <w:fldChar w:fldCharType="separate"/>
        </w:r>
        <w:r w:rsidR="00F8092D">
          <w:rPr>
            <w:noProof/>
            <w:webHidden/>
          </w:rPr>
          <w:t>53</w:t>
        </w:r>
        <w:r>
          <w:rPr>
            <w:noProof/>
            <w:webHidden/>
          </w:rPr>
          <w:fldChar w:fldCharType="end"/>
        </w:r>
      </w:hyperlink>
    </w:p>
    <w:p w14:paraId="2FC85539" w14:textId="4F45470A"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28" w:history="1">
        <w:r w:rsidRPr="002449F3">
          <w:rPr>
            <w:rStyle w:val="Hyperlink"/>
            <w:noProof/>
          </w:rPr>
          <w:t>Figure 22</w:t>
        </w:r>
        <w:r w:rsidRPr="002449F3">
          <w:rPr>
            <w:rStyle w:val="Hyperlink"/>
            <w:rFonts w:eastAsia="Aptos"/>
            <w:i/>
            <w:noProof/>
            <w:lang w:val="en-GB"/>
          </w:rPr>
          <w:t>: Top panel shows total system power demand over time. Bottom panel displays grid utilization factor (percentage of feeder capacity) demonstrating stable operation below 80% threshold, with shaded regions indicating charging phases and reserve margins.</w:t>
        </w:r>
        <w:r>
          <w:rPr>
            <w:noProof/>
            <w:webHidden/>
          </w:rPr>
          <w:tab/>
        </w:r>
        <w:r>
          <w:rPr>
            <w:noProof/>
            <w:webHidden/>
          </w:rPr>
          <w:fldChar w:fldCharType="begin"/>
        </w:r>
        <w:r>
          <w:rPr>
            <w:noProof/>
            <w:webHidden/>
          </w:rPr>
          <w:instrText xml:space="preserve"> PAGEREF _Toc233112228 \h </w:instrText>
        </w:r>
        <w:r>
          <w:rPr>
            <w:noProof/>
            <w:webHidden/>
          </w:rPr>
        </w:r>
        <w:r>
          <w:rPr>
            <w:noProof/>
            <w:webHidden/>
          </w:rPr>
          <w:fldChar w:fldCharType="separate"/>
        </w:r>
        <w:r w:rsidR="00F8092D">
          <w:rPr>
            <w:noProof/>
            <w:webHidden/>
          </w:rPr>
          <w:t>54</w:t>
        </w:r>
        <w:r>
          <w:rPr>
            <w:noProof/>
            <w:webHidden/>
          </w:rPr>
          <w:fldChar w:fldCharType="end"/>
        </w:r>
      </w:hyperlink>
    </w:p>
    <w:p w14:paraId="337A2C86" w14:textId="6DF33543"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29" w:history="1">
        <w:r w:rsidRPr="002449F3">
          <w:rPr>
            <w:rStyle w:val="Hyperlink"/>
            <w:noProof/>
          </w:rPr>
          <w:t>Figure 23</w:t>
        </w:r>
        <w:r w:rsidRPr="002449F3">
          <w:rPr>
            <w:rStyle w:val="Hyperlink"/>
            <w:rFonts w:eastAsia="Aptos"/>
            <w:i/>
            <w:noProof/>
            <w:lang w:val="en-GB"/>
          </w:rPr>
          <w:t>: The charging dynamics of two EVs and their control trajectories in a single EVSE scenario</w:t>
        </w:r>
        <w:r>
          <w:rPr>
            <w:noProof/>
            <w:webHidden/>
          </w:rPr>
          <w:tab/>
        </w:r>
        <w:r>
          <w:rPr>
            <w:noProof/>
            <w:webHidden/>
          </w:rPr>
          <w:fldChar w:fldCharType="begin"/>
        </w:r>
        <w:r>
          <w:rPr>
            <w:noProof/>
            <w:webHidden/>
          </w:rPr>
          <w:instrText xml:space="preserve"> PAGEREF _Toc233112229 \h </w:instrText>
        </w:r>
        <w:r>
          <w:rPr>
            <w:noProof/>
            <w:webHidden/>
          </w:rPr>
        </w:r>
        <w:r>
          <w:rPr>
            <w:noProof/>
            <w:webHidden/>
          </w:rPr>
          <w:fldChar w:fldCharType="separate"/>
        </w:r>
        <w:r w:rsidR="00F8092D">
          <w:rPr>
            <w:noProof/>
            <w:webHidden/>
          </w:rPr>
          <w:t>55</w:t>
        </w:r>
        <w:r>
          <w:rPr>
            <w:noProof/>
            <w:webHidden/>
          </w:rPr>
          <w:fldChar w:fldCharType="end"/>
        </w:r>
      </w:hyperlink>
    </w:p>
    <w:p w14:paraId="710AD71C" w14:textId="498AF6D5"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30" w:history="1">
        <w:r w:rsidRPr="002449F3">
          <w:rPr>
            <w:rStyle w:val="Hyperlink"/>
            <w:noProof/>
          </w:rPr>
          <w:t>Figure 24</w:t>
        </w:r>
        <w:r w:rsidRPr="002449F3">
          <w:rPr>
            <w:rStyle w:val="Hyperlink"/>
            <w:rFonts w:eastAsia="Aptos"/>
            <w:i/>
            <w:noProof/>
            <w:lang w:val="en-GB"/>
          </w:rPr>
          <w:t>: The total energy consumption of the system and individual EVs in a single EVSE scenario.</w:t>
        </w:r>
        <w:r>
          <w:rPr>
            <w:noProof/>
            <w:webHidden/>
          </w:rPr>
          <w:tab/>
        </w:r>
        <w:r>
          <w:rPr>
            <w:noProof/>
            <w:webHidden/>
          </w:rPr>
          <w:fldChar w:fldCharType="begin"/>
        </w:r>
        <w:r>
          <w:rPr>
            <w:noProof/>
            <w:webHidden/>
          </w:rPr>
          <w:instrText xml:space="preserve"> PAGEREF _Toc233112230 \h </w:instrText>
        </w:r>
        <w:r>
          <w:rPr>
            <w:noProof/>
            <w:webHidden/>
          </w:rPr>
        </w:r>
        <w:r>
          <w:rPr>
            <w:noProof/>
            <w:webHidden/>
          </w:rPr>
          <w:fldChar w:fldCharType="separate"/>
        </w:r>
        <w:r w:rsidR="00F8092D">
          <w:rPr>
            <w:noProof/>
            <w:webHidden/>
          </w:rPr>
          <w:t>56</w:t>
        </w:r>
        <w:r>
          <w:rPr>
            <w:noProof/>
            <w:webHidden/>
          </w:rPr>
          <w:fldChar w:fldCharType="end"/>
        </w:r>
      </w:hyperlink>
    </w:p>
    <w:p w14:paraId="47EB437C" w14:textId="7E0B1BA0"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31" w:history="1">
        <w:r w:rsidRPr="002449F3">
          <w:rPr>
            <w:rStyle w:val="Hyperlink"/>
            <w:noProof/>
          </w:rPr>
          <w:t>Figure 25</w:t>
        </w:r>
        <w:r w:rsidRPr="002449F3">
          <w:rPr>
            <w:rStyle w:val="Hyperlink"/>
            <w:rFonts w:eastAsia="Aptos"/>
            <w:i/>
            <w:noProof/>
            <w:lang w:val="en-GB"/>
          </w:rPr>
          <w:t>: The communication protocols, statistics, and message exchange in the single EVSE scenario.</w:t>
        </w:r>
        <w:r>
          <w:rPr>
            <w:noProof/>
            <w:webHidden/>
          </w:rPr>
          <w:tab/>
        </w:r>
        <w:r>
          <w:rPr>
            <w:noProof/>
            <w:webHidden/>
          </w:rPr>
          <w:fldChar w:fldCharType="begin"/>
        </w:r>
        <w:r>
          <w:rPr>
            <w:noProof/>
            <w:webHidden/>
          </w:rPr>
          <w:instrText xml:space="preserve"> PAGEREF _Toc233112231 \h </w:instrText>
        </w:r>
        <w:r>
          <w:rPr>
            <w:noProof/>
            <w:webHidden/>
          </w:rPr>
        </w:r>
        <w:r>
          <w:rPr>
            <w:noProof/>
            <w:webHidden/>
          </w:rPr>
          <w:fldChar w:fldCharType="separate"/>
        </w:r>
        <w:r w:rsidR="00F8092D">
          <w:rPr>
            <w:noProof/>
            <w:webHidden/>
          </w:rPr>
          <w:t>57</w:t>
        </w:r>
        <w:r>
          <w:rPr>
            <w:noProof/>
            <w:webHidden/>
          </w:rPr>
          <w:fldChar w:fldCharType="end"/>
        </w:r>
      </w:hyperlink>
    </w:p>
    <w:p w14:paraId="2788BEB2" w14:textId="440924BA"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32" w:history="1">
        <w:r w:rsidRPr="002449F3">
          <w:rPr>
            <w:rStyle w:val="Hyperlink"/>
            <w:noProof/>
          </w:rPr>
          <w:t>Figure 26</w:t>
        </w:r>
        <w:r w:rsidRPr="002449F3">
          <w:rPr>
            <w:rStyle w:val="Hyperlink"/>
            <w:rFonts w:eastAsia="Aptos"/>
            <w:i/>
            <w:noProof/>
            <w:lang w:val="en-GB"/>
          </w:rPr>
          <w:t>: EVSE fleet grid integration architecture showing distributed deployment across IEEE 13-bus system, HELICS federation coordination, and aggregate load management.</w:t>
        </w:r>
        <w:r>
          <w:rPr>
            <w:noProof/>
            <w:webHidden/>
          </w:rPr>
          <w:tab/>
        </w:r>
        <w:r>
          <w:rPr>
            <w:noProof/>
            <w:webHidden/>
          </w:rPr>
          <w:fldChar w:fldCharType="begin"/>
        </w:r>
        <w:r>
          <w:rPr>
            <w:noProof/>
            <w:webHidden/>
          </w:rPr>
          <w:instrText xml:space="preserve"> PAGEREF _Toc233112232 \h </w:instrText>
        </w:r>
        <w:r>
          <w:rPr>
            <w:noProof/>
            <w:webHidden/>
          </w:rPr>
        </w:r>
        <w:r>
          <w:rPr>
            <w:noProof/>
            <w:webHidden/>
          </w:rPr>
          <w:fldChar w:fldCharType="separate"/>
        </w:r>
        <w:r w:rsidR="00F8092D">
          <w:rPr>
            <w:noProof/>
            <w:webHidden/>
          </w:rPr>
          <w:t>59</w:t>
        </w:r>
        <w:r>
          <w:rPr>
            <w:noProof/>
            <w:webHidden/>
          </w:rPr>
          <w:fldChar w:fldCharType="end"/>
        </w:r>
      </w:hyperlink>
    </w:p>
    <w:p w14:paraId="4408738D" w14:textId="0B94E184"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33" w:history="1">
        <w:r w:rsidRPr="002449F3">
          <w:rPr>
            <w:rStyle w:val="Hyperlink"/>
            <w:noProof/>
          </w:rPr>
          <w:t>Figure 27</w:t>
        </w:r>
        <w:r w:rsidRPr="002449F3">
          <w:rPr>
            <w:rStyle w:val="Hyperlink"/>
            <w:rFonts w:eastAsia="Aptos"/>
            <w:i/>
            <w:noProof/>
            <w:lang w:val="en-GB"/>
          </w:rPr>
          <w:t>: Estimating power grid capacity, grid utilization, and grid overload detection in the EVSE fleet scenario.</w:t>
        </w:r>
        <w:r>
          <w:rPr>
            <w:noProof/>
            <w:webHidden/>
          </w:rPr>
          <w:tab/>
        </w:r>
        <w:r>
          <w:rPr>
            <w:noProof/>
            <w:webHidden/>
          </w:rPr>
          <w:fldChar w:fldCharType="begin"/>
        </w:r>
        <w:r>
          <w:rPr>
            <w:noProof/>
            <w:webHidden/>
          </w:rPr>
          <w:instrText xml:space="preserve"> PAGEREF _Toc233112233 \h </w:instrText>
        </w:r>
        <w:r>
          <w:rPr>
            <w:noProof/>
            <w:webHidden/>
          </w:rPr>
        </w:r>
        <w:r>
          <w:rPr>
            <w:noProof/>
            <w:webHidden/>
          </w:rPr>
          <w:fldChar w:fldCharType="separate"/>
        </w:r>
        <w:r w:rsidR="00F8092D">
          <w:rPr>
            <w:noProof/>
            <w:webHidden/>
          </w:rPr>
          <w:t>60</w:t>
        </w:r>
        <w:r>
          <w:rPr>
            <w:noProof/>
            <w:webHidden/>
          </w:rPr>
          <w:fldChar w:fldCharType="end"/>
        </w:r>
      </w:hyperlink>
    </w:p>
    <w:p w14:paraId="1345CD9B" w14:textId="2C891EF7"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34" w:history="1">
        <w:r w:rsidRPr="002449F3">
          <w:rPr>
            <w:rStyle w:val="Hyperlink"/>
            <w:noProof/>
          </w:rPr>
          <w:t>Figure 28</w:t>
        </w:r>
        <w:r w:rsidRPr="002449F3">
          <w:rPr>
            <w:rStyle w:val="Hyperlink"/>
            <w:rFonts w:eastAsia="Aptos"/>
            <w:i/>
            <w:noProof/>
            <w:lang w:val="en-GB"/>
          </w:rPr>
          <w:t>: Charging station concurrency estimation for charging loads, station capacity, EV distribution in the charging stations, and active sessions of EVs in the EVSE fleet scenario.</w:t>
        </w:r>
        <w:r>
          <w:rPr>
            <w:noProof/>
            <w:webHidden/>
          </w:rPr>
          <w:tab/>
        </w:r>
        <w:r>
          <w:rPr>
            <w:noProof/>
            <w:webHidden/>
          </w:rPr>
          <w:fldChar w:fldCharType="begin"/>
        </w:r>
        <w:r>
          <w:rPr>
            <w:noProof/>
            <w:webHidden/>
          </w:rPr>
          <w:instrText xml:space="preserve"> PAGEREF _Toc233112234 \h </w:instrText>
        </w:r>
        <w:r>
          <w:rPr>
            <w:noProof/>
            <w:webHidden/>
          </w:rPr>
        </w:r>
        <w:r>
          <w:rPr>
            <w:noProof/>
            <w:webHidden/>
          </w:rPr>
          <w:fldChar w:fldCharType="separate"/>
        </w:r>
        <w:r w:rsidR="00F8092D">
          <w:rPr>
            <w:noProof/>
            <w:webHidden/>
          </w:rPr>
          <w:t>62</w:t>
        </w:r>
        <w:r>
          <w:rPr>
            <w:noProof/>
            <w:webHidden/>
          </w:rPr>
          <w:fldChar w:fldCharType="end"/>
        </w:r>
      </w:hyperlink>
    </w:p>
    <w:p w14:paraId="77ED5D91" w14:textId="771BF25F"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35" w:history="1">
        <w:r w:rsidRPr="002449F3">
          <w:rPr>
            <w:rStyle w:val="Hyperlink"/>
            <w:noProof/>
          </w:rPr>
          <w:t>Figure 29</w:t>
        </w:r>
        <w:r w:rsidRPr="002449F3">
          <w:rPr>
            <w:rStyle w:val="Hyperlink"/>
            <w:rFonts w:eastAsia="Aptos"/>
            <w:i/>
            <w:noProof/>
            <w:lang w:val="en-GB"/>
          </w:rPr>
          <w:t>: Battery thermal management for estimating individual EV battery temperature, the frequency of temperature limit, peak temperature of EVs during charging, and temperature distribution in the span of EV charging in the EVSE fleet scenario.</w:t>
        </w:r>
        <w:r>
          <w:rPr>
            <w:noProof/>
            <w:webHidden/>
          </w:rPr>
          <w:tab/>
        </w:r>
        <w:r>
          <w:rPr>
            <w:noProof/>
            <w:webHidden/>
          </w:rPr>
          <w:fldChar w:fldCharType="begin"/>
        </w:r>
        <w:r>
          <w:rPr>
            <w:noProof/>
            <w:webHidden/>
          </w:rPr>
          <w:instrText xml:space="preserve"> PAGEREF _Toc233112235 \h </w:instrText>
        </w:r>
        <w:r>
          <w:rPr>
            <w:noProof/>
            <w:webHidden/>
          </w:rPr>
        </w:r>
        <w:r>
          <w:rPr>
            <w:noProof/>
            <w:webHidden/>
          </w:rPr>
          <w:fldChar w:fldCharType="separate"/>
        </w:r>
        <w:r w:rsidR="00F8092D">
          <w:rPr>
            <w:noProof/>
            <w:webHidden/>
          </w:rPr>
          <w:t>63</w:t>
        </w:r>
        <w:r>
          <w:rPr>
            <w:noProof/>
            <w:webHidden/>
          </w:rPr>
          <w:fldChar w:fldCharType="end"/>
        </w:r>
      </w:hyperlink>
    </w:p>
    <w:p w14:paraId="682B6E99" w14:textId="34A12004"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36" w:history="1">
        <w:r w:rsidRPr="002449F3">
          <w:rPr>
            <w:rStyle w:val="Hyperlink"/>
            <w:noProof/>
          </w:rPr>
          <w:t>Figure 30</w:t>
        </w:r>
        <w:r w:rsidRPr="002449F3">
          <w:rPr>
            <w:rStyle w:val="Hyperlink"/>
            <w:rFonts w:eastAsia="Aptos"/>
            <w:i/>
            <w:noProof/>
            <w:lang w:val="en-GB"/>
          </w:rPr>
          <w:t>: Communication protocol analysis for estimating rate of communication messages, utilization of protocols, latency of communication messages, and frequency of popular control interactions in the EVSE fleet charging scenario.</w:t>
        </w:r>
        <w:r>
          <w:rPr>
            <w:noProof/>
            <w:webHidden/>
          </w:rPr>
          <w:tab/>
        </w:r>
        <w:r>
          <w:rPr>
            <w:noProof/>
            <w:webHidden/>
          </w:rPr>
          <w:fldChar w:fldCharType="begin"/>
        </w:r>
        <w:r>
          <w:rPr>
            <w:noProof/>
            <w:webHidden/>
          </w:rPr>
          <w:instrText xml:space="preserve"> PAGEREF _Toc233112236 \h </w:instrText>
        </w:r>
        <w:r>
          <w:rPr>
            <w:noProof/>
            <w:webHidden/>
          </w:rPr>
        </w:r>
        <w:r>
          <w:rPr>
            <w:noProof/>
            <w:webHidden/>
          </w:rPr>
          <w:fldChar w:fldCharType="separate"/>
        </w:r>
        <w:r w:rsidR="00F8092D">
          <w:rPr>
            <w:noProof/>
            <w:webHidden/>
          </w:rPr>
          <w:t>64</w:t>
        </w:r>
        <w:r>
          <w:rPr>
            <w:noProof/>
            <w:webHidden/>
          </w:rPr>
          <w:fldChar w:fldCharType="end"/>
        </w:r>
      </w:hyperlink>
    </w:p>
    <w:p w14:paraId="653EC536" w14:textId="16068C39"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37" w:history="1">
        <w:r w:rsidRPr="002449F3">
          <w:rPr>
            <w:rStyle w:val="Hyperlink"/>
            <w:noProof/>
          </w:rPr>
          <w:t>Figure 31</w:t>
        </w:r>
        <w:r w:rsidRPr="002449F3">
          <w:rPr>
            <w:rStyle w:val="Hyperlink"/>
            <w:rFonts w:eastAsia="Aptos"/>
            <w:i/>
            <w:noProof/>
            <w:lang w:val="en-GB"/>
          </w:rPr>
          <w:t>: System scalability heatmap for power and SoC of EV charging in the EVSE fleet charging scenario.</w:t>
        </w:r>
        <w:r>
          <w:rPr>
            <w:noProof/>
            <w:webHidden/>
          </w:rPr>
          <w:tab/>
        </w:r>
        <w:r>
          <w:rPr>
            <w:noProof/>
            <w:webHidden/>
          </w:rPr>
          <w:fldChar w:fldCharType="begin"/>
        </w:r>
        <w:r>
          <w:rPr>
            <w:noProof/>
            <w:webHidden/>
          </w:rPr>
          <w:instrText xml:space="preserve"> PAGEREF _Toc233112237 \h </w:instrText>
        </w:r>
        <w:r>
          <w:rPr>
            <w:noProof/>
            <w:webHidden/>
          </w:rPr>
        </w:r>
        <w:r>
          <w:rPr>
            <w:noProof/>
            <w:webHidden/>
          </w:rPr>
          <w:fldChar w:fldCharType="separate"/>
        </w:r>
        <w:r w:rsidR="00F8092D">
          <w:rPr>
            <w:noProof/>
            <w:webHidden/>
          </w:rPr>
          <w:t>65</w:t>
        </w:r>
        <w:r>
          <w:rPr>
            <w:noProof/>
            <w:webHidden/>
          </w:rPr>
          <w:fldChar w:fldCharType="end"/>
        </w:r>
      </w:hyperlink>
    </w:p>
    <w:p w14:paraId="34209C75" w14:textId="2D1AB346"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38" w:history="1">
        <w:r w:rsidRPr="002449F3">
          <w:rPr>
            <w:rStyle w:val="Hyperlink"/>
            <w:noProof/>
          </w:rPr>
          <w:t>Figure 32</w:t>
        </w:r>
        <w:r w:rsidRPr="002449F3">
          <w:rPr>
            <w:rStyle w:val="Hyperlink"/>
            <w:rFonts w:ascii="Aptos" w:eastAsia="Aptos" w:hAnsi="Aptos" w:cs="Aptos"/>
            <w:i/>
            <w:noProof/>
            <w:lang w:val="en-GB"/>
          </w:rPr>
          <w:t>: The formulation of sequential steps for the firmware update verification in the TSM-enabled pipeline</w:t>
        </w:r>
        <w:r>
          <w:rPr>
            <w:noProof/>
            <w:webHidden/>
          </w:rPr>
          <w:tab/>
        </w:r>
        <w:r>
          <w:rPr>
            <w:noProof/>
            <w:webHidden/>
          </w:rPr>
          <w:fldChar w:fldCharType="begin"/>
        </w:r>
        <w:r>
          <w:rPr>
            <w:noProof/>
            <w:webHidden/>
          </w:rPr>
          <w:instrText xml:space="preserve"> PAGEREF _Toc233112238 \h </w:instrText>
        </w:r>
        <w:r>
          <w:rPr>
            <w:noProof/>
            <w:webHidden/>
          </w:rPr>
        </w:r>
        <w:r>
          <w:rPr>
            <w:noProof/>
            <w:webHidden/>
          </w:rPr>
          <w:fldChar w:fldCharType="separate"/>
        </w:r>
        <w:r w:rsidR="00F8092D">
          <w:rPr>
            <w:noProof/>
            <w:webHidden/>
          </w:rPr>
          <w:t>70</w:t>
        </w:r>
        <w:r>
          <w:rPr>
            <w:noProof/>
            <w:webHidden/>
          </w:rPr>
          <w:fldChar w:fldCharType="end"/>
        </w:r>
      </w:hyperlink>
    </w:p>
    <w:p w14:paraId="621F074C" w14:textId="15267F6D"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39" w:history="1">
        <w:r w:rsidRPr="002449F3">
          <w:rPr>
            <w:rStyle w:val="Hyperlink"/>
            <w:noProof/>
          </w:rPr>
          <w:t>Figure 33</w:t>
        </w:r>
        <w:r w:rsidRPr="002449F3">
          <w:rPr>
            <w:rStyle w:val="Hyperlink"/>
            <w:rFonts w:ascii="Aptos" w:eastAsia="Aptos" w:hAnsi="Aptos" w:cs="Aptos"/>
            <w:i/>
            <w:noProof/>
            <w:lang w:val="en-GB"/>
          </w:rPr>
          <w:t>: The scenario categorization and execution framework within the co-simulation platform.</w:t>
        </w:r>
        <w:r>
          <w:rPr>
            <w:noProof/>
            <w:webHidden/>
          </w:rPr>
          <w:tab/>
        </w:r>
        <w:r>
          <w:rPr>
            <w:noProof/>
            <w:webHidden/>
          </w:rPr>
          <w:fldChar w:fldCharType="begin"/>
        </w:r>
        <w:r>
          <w:rPr>
            <w:noProof/>
            <w:webHidden/>
          </w:rPr>
          <w:instrText xml:space="preserve"> PAGEREF _Toc233112239 \h </w:instrText>
        </w:r>
        <w:r>
          <w:rPr>
            <w:noProof/>
            <w:webHidden/>
          </w:rPr>
        </w:r>
        <w:r>
          <w:rPr>
            <w:noProof/>
            <w:webHidden/>
          </w:rPr>
          <w:fldChar w:fldCharType="separate"/>
        </w:r>
        <w:r w:rsidR="00F8092D">
          <w:rPr>
            <w:noProof/>
            <w:webHidden/>
          </w:rPr>
          <w:t>74</w:t>
        </w:r>
        <w:r>
          <w:rPr>
            <w:noProof/>
            <w:webHidden/>
          </w:rPr>
          <w:fldChar w:fldCharType="end"/>
        </w:r>
      </w:hyperlink>
    </w:p>
    <w:p w14:paraId="5B67E3CC" w14:textId="0B0E70AA"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40" w:history="1">
        <w:r w:rsidRPr="002449F3">
          <w:rPr>
            <w:rStyle w:val="Hyperlink"/>
            <w:noProof/>
          </w:rPr>
          <w:t>Figure 34</w:t>
        </w:r>
        <w:r w:rsidRPr="002449F3">
          <w:rPr>
            <w:rStyle w:val="Hyperlink"/>
            <w:rFonts w:ascii="Aptos" w:eastAsia="Aptos" w:hAnsi="Aptos" w:cs="Aptos"/>
            <w:i/>
            <w:noProof/>
            <w:lang w:val="en-GB"/>
          </w:rPr>
          <w:t>: The comparative analysis of scenario running without TSM and with TSM enforcement.</w:t>
        </w:r>
        <w:r>
          <w:rPr>
            <w:noProof/>
            <w:webHidden/>
          </w:rPr>
          <w:tab/>
        </w:r>
        <w:r>
          <w:rPr>
            <w:noProof/>
            <w:webHidden/>
          </w:rPr>
          <w:fldChar w:fldCharType="begin"/>
        </w:r>
        <w:r>
          <w:rPr>
            <w:noProof/>
            <w:webHidden/>
          </w:rPr>
          <w:instrText xml:space="preserve"> PAGEREF _Toc233112240 \h </w:instrText>
        </w:r>
        <w:r>
          <w:rPr>
            <w:noProof/>
            <w:webHidden/>
          </w:rPr>
        </w:r>
        <w:r>
          <w:rPr>
            <w:noProof/>
            <w:webHidden/>
          </w:rPr>
          <w:fldChar w:fldCharType="separate"/>
        </w:r>
        <w:r w:rsidR="00F8092D">
          <w:rPr>
            <w:noProof/>
            <w:webHidden/>
          </w:rPr>
          <w:t>76</w:t>
        </w:r>
        <w:r>
          <w:rPr>
            <w:noProof/>
            <w:webHidden/>
          </w:rPr>
          <w:fldChar w:fldCharType="end"/>
        </w:r>
      </w:hyperlink>
    </w:p>
    <w:p w14:paraId="3B9AE63F" w14:textId="0BC48BA9"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41" w:history="1">
        <w:r w:rsidRPr="002449F3">
          <w:rPr>
            <w:rStyle w:val="Hyperlink"/>
            <w:noProof/>
          </w:rPr>
          <w:t>Figure 35</w:t>
        </w:r>
        <w:r w:rsidRPr="002449F3">
          <w:rPr>
            <w:rStyle w:val="Hyperlink"/>
            <w:rFonts w:ascii="Aptos" w:eastAsia="Aptos" w:hAnsi="Aptos" w:cs="Aptos"/>
            <w:i/>
            <w:noProof/>
            <w:lang w:val="en-GB"/>
          </w:rPr>
          <w:t>:The sequence of six steps demonstration flow for running simulation scenarios.</w:t>
        </w:r>
        <w:r>
          <w:rPr>
            <w:noProof/>
            <w:webHidden/>
          </w:rPr>
          <w:tab/>
        </w:r>
        <w:r>
          <w:rPr>
            <w:noProof/>
            <w:webHidden/>
          </w:rPr>
          <w:fldChar w:fldCharType="begin"/>
        </w:r>
        <w:r>
          <w:rPr>
            <w:noProof/>
            <w:webHidden/>
          </w:rPr>
          <w:instrText xml:space="preserve"> PAGEREF _Toc233112241 \h </w:instrText>
        </w:r>
        <w:r>
          <w:rPr>
            <w:noProof/>
            <w:webHidden/>
          </w:rPr>
        </w:r>
        <w:r>
          <w:rPr>
            <w:noProof/>
            <w:webHidden/>
          </w:rPr>
          <w:fldChar w:fldCharType="separate"/>
        </w:r>
        <w:r w:rsidR="00F8092D">
          <w:rPr>
            <w:noProof/>
            <w:webHidden/>
          </w:rPr>
          <w:t>77</w:t>
        </w:r>
        <w:r>
          <w:rPr>
            <w:noProof/>
            <w:webHidden/>
          </w:rPr>
          <w:fldChar w:fldCharType="end"/>
        </w:r>
      </w:hyperlink>
    </w:p>
    <w:p w14:paraId="407FD042" w14:textId="2AD2622D"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42" w:history="1">
        <w:r w:rsidRPr="002449F3">
          <w:rPr>
            <w:rStyle w:val="Hyperlink"/>
            <w:noProof/>
          </w:rPr>
          <w:t>Figure 36</w:t>
        </w:r>
        <w:r w:rsidRPr="002449F3">
          <w:rPr>
            <w:rStyle w:val="Hyperlink"/>
            <w:rFonts w:ascii="Aptos" w:eastAsia="Aptos" w:hAnsi="Aptos" w:cs="Aptos"/>
            <w:i/>
            <w:noProof/>
            <w:lang w:val="en-GB"/>
          </w:rPr>
          <w:t>: The results of Layer 1: key performance metrics, decision latencies for each scenario, and firmware update verification scenarios.</w:t>
        </w:r>
        <w:r>
          <w:rPr>
            <w:noProof/>
            <w:webHidden/>
          </w:rPr>
          <w:tab/>
        </w:r>
        <w:r>
          <w:rPr>
            <w:noProof/>
            <w:webHidden/>
          </w:rPr>
          <w:fldChar w:fldCharType="begin"/>
        </w:r>
        <w:r>
          <w:rPr>
            <w:noProof/>
            <w:webHidden/>
          </w:rPr>
          <w:instrText xml:space="preserve"> PAGEREF _Toc233112242 \h </w:instrText>
        </w:r>
        <w:r>
          <w:rPr>
            <w:noProof/>
            <w:webHidden/>
          </w:rPr>
        </w:r>
        <w:r>
          <w:rPr>
            <w:noProof/>
            <w:webHidden/>
          </w:rPr>
          <w:fldChar w:fldCharType="separate"/>
        </w:r>
        <w:r w:rsidR="00F8092D">
          <w:rPr>
            <w:noProof/>
            <w:webHidden/>
          </w:rPr>
          <w:t>79</w:t>
        </w:r>
        <w:r>
          <w:rPr>
            <w:noProof/>
            <w:webHidden/>
          </w:rPr>
          <w:fldChar w:fldCharType="end"/>
        </w:r>
      </w:hyperlink>
    </w:p>
    <w:p w14:paraId="026557DC" w14:textId="6600F300"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43" w:history="1">
        <w:r w:rsidRPr="002449F3">
          <w:rPr>
            <w:rStyle w:val="Hyperlink"/>
            <w:noProof/>
          </w:rPr>
          <w:t>Figure 37</w:t>
        </w:r>
        <w:r w:rsidRPr="002449F3">
          <w:rPr>
            <w:rStyle w:val="Hyperlink"/>
            <w:rFonts w:ascii="Aptos" w:eastAsia="Aptos" w:hAnsi="Aptos" w:cs="Aptos"/>
            <w:i/>
            <w:noProof/>
            <w:lang w:val="en-GB"/>
          </w:rPr>
          <w:t>: TSM policies enforcement and trust chain for decision latencies, cascade failure analysis of TSM policy enforcement, and decision metrics analysis for different attack scenarios.</w:t>
        </w:r>
        <w:r>
          <w:rPr>
            <w:noProof/>
            <w:webHidden/>
          </w:rPr>
          <w:tab/>
        </w:r>
        <w:r>
          <w:rPr>
            <w:noProof/>
            <w:webHidden/>
          </w:rPr>
          <w:fldChar w:fldCharType="begin"/>
        </w:r>
        <w:r>
          <w:rPr>
            <w:noProof/>
            <w:webHidden/>
          </w:rPr>
          <w:instrText xml:space="preserve"> PAGEREF _Toc233112243 \h </w:instrText>
        </w:r>
        <w:r>
          <w:rPr>
            <w:noProof/>
            <w:webHidden/>
          </w:rPr>
        </w:r>
        <w:r>
          <w:rPr>
            <w:noProof/>
            <w:webHidden/>
          </w:rPr>
          <w:fldChar w:fldCharType="separate"/>
        </w:r>
        <w:r w:rsidR="00F8092D">
          <w:rPr>
            <w:noProof/>
            <w:webHidden/>
          </w:rPr>
          <w:t>80</w:t>
        </w:r>
        <w:r>
          <w:rPr>
            <w:noProof/>
            <w:webHidden/>
          </w:rPr>
          <w:fldChar w:fldCharType="end"/>
        </w:r>
      </w:hyperlink>
    </w:p>
    <w:p w14:paraId="04E84B46" w14:textId="70DCEB20"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44" w:history="1">
        <w:r w:rsidRPr="002449F3">
          <w:rPr>
            <w:rStyle w:val="Hyperlink"/>
            <w:noProof/>
          </w:rPr>
          <w:t>Figure 38</w:t>
        </w:r>
        <w:r w:rsidRPr="002449F3">
          <w:rPr>
            <w:rStyle w:val="Hyperlink"/>
            <w:rFonts w:ascii="Aptos" w:eastAsia="Aptos" w:hAnsi="Aptos" w:cs="Aptos"/>
            <w:i/>
            <w:iCs/>
            <w:noProof/>
            <w:lang w:val="en-GB"/>
          </w:rPr>
          <w:t>:</w:t>
        </w:r>
        <w:r w:rsidRPr="002449F3">
          <w:rPr>
            <w:rStyle w:val="Hyperlink"/>
            <w:rFonts w:ascii="Aptos" w:eastAsia="Aptos" w:hAnsi="Aptos" w:cs="Aptos"/>
            <w:i/>
            <w:noProof/>
            <w:lang w:val="en-GB"/>
          </w:rPr>
          <w:t xml:space="preserve"> Layer 2 results: EV fleet charging profiles and statistics of communication protocols interactions</w:t>
        </w:r>
        <w:r>
          <w:rPr>
            <w:noProof/>
            <w:webHidden/>
          </w:rPr>
          <w:tab/>
        </w:r>
        <w:r>
          <w:rPr>
            <w:noProof/>
            <w:webHidden/>
          </w:rPr>
          <w:fldChar w:fldCharType="begin"/>
        </w:r>
        <w:r>
          <w:rPr>
            <w:noProof/>
            <w:webHidden/>
          </w:rPr>
          <w:instrText xml:space="preserve"> PAGEREF _Toc233112244 \h </w:instrText>
        </w:r>
        <w:r>
          <w:rPr>
            <w:noProof/>
            <w:webHidden/>
          </w:rPr>
        </w:r>
        <w:r>
          <w:rPr>
            <w:noProof/>
            <w:webHidden/>
          </w:rPr>
          <w:fldChar w:fldCharType="separate"/>
        </w:r>
        <w:r w:rsidR="00F8092D">
          <w:rPr>
            <w:noProof/>
            <w:webHidden/>
          </w:rPr>
          <w:t>81</w:t>
        </w:r>
        <w:r>
          <w:rPr>
            <w:noProof/>
            <w:webHidden/>
          </w:rPr>
          <w:fldChar w:fldCharType="end"/>
        </w:r>
      </w:hyperlink>
    </w:p>
    <w:p w14:paraId="5E9C6052" w14:textId="1E041802"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45" w:history="1">
        <w:r w:rsidRPr="002449F3">
          <w:rPr>
            <w:rStyle w:val="Hyperlink"/>
            <w:noProof/>
          </w:rPr>
          <w:t>Figure 39</w:t>
        </w:r>
        <w:r w:rsidRPr="002449F3">
          <w:rPr>
            <w:rStyle w:val="Hyperlink"/>
            <w:rFonts w:ascii="Aptos" w:eastAsia="Aptos" w:hAnsi="Aptos" w:cs="Aptos"/>
            <w:i/>
            <w:iCs/>
            <w:noProof/>
            <w:lang w:val="en-GB"/>
          </w:rPr>
          <w:t>:</w:t>
        </w:r>
        <w:r w:rsidRPr="002449F3">
          <w:rPr>
            <w:rStyle w:val="Hyperlink"/>
            <w:rFonts w:ascii="Aptos" w:eastAsia="Aptos" w:hAnsi="Aptos" w:cs="Aptos"/>
            <w:i/>
            <w:noProof/>
            <w:lang w:val="en-GB"/>
          </w:rPr>
          <w:t xml:space="preserve"> Real-time charging profile of EV fleet: the SoC charging profile over sixty minutes, total power delivery to EV fleets, and temperature distribution for individual EV across the EVSE fleet.</w:t>
        </w:r>
        <w:r>
          <w:rPr>
            <w:noProof/>
            <w:webHidden/>
          </w:rPr>
          <w:tab/>
        </w:r>
        <w:r>
          <w:rPr>
            <w:noProof/>
            <w:webHidden/>
          </w:rPr>
          <w:fldChar w:fldCharType="begin"/>
        </w:r>
        <w:r>
          <w:rPr>
            <w:noProof/>
            <w:webHidden/>
          </w:rPr>
          <w:instrText xml:space="preserve"> PAGEREF _Toc233112245 \h </w:instrText>
        </w:r>
        <w:r>
          <w:rPr>
            <w:noProof/>
            <w:webHidden/>
          </w:rPr>
        </w:r>
        <w:r>
          <w:rPr>
            <w:noProof/>
            <w:webHidden/>
          </w:rPr>
          <w:fldChar w:fldCharType="separate"/>
        </w:r>
        <w:r w:rsidR="00F8092D">
          <w:rPr>
            <w:noProof/>
            <w:webHidden/>
          </w:rPr>
          <w:t>82</w:t>
        </w:r>
        <w:r>
          <w:rPr>
            <w:noProof/>
            <w:webHidden/>
          </w:rPr>
          <w:fldChar w:fldCharType="end"/>
        </w:r>
      </w:hyperlink>
    </w:p>
    <w:p w14:paraId="30281AD9" w14:textId="5D1E04A7"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46" w:history="1">
        <w:r w:rsidRPr="002449F3">
          <w:rPr>
            <w:rStyle w:val="Hyperlink"/>
            <w:noProof/>
          </w:rPr>
          <w:t>Figure 40</w:t>
        </w:r>
        <w:r w:rsidRPr="002449F3">
          <w:rPr>
            <w:rStyle w:val="Hyperlink"/>
            <w:rFonts w:ascii="Aptos" w:eastAsia="Aptos" w:hAnsi="Aptos" w:cs="Aptos"/>
            <w:i/>
            <w:noProof/>
            <w:lang w:val="en-GB"/>
          </w:rPr>
          <w:t>: Layer 3 results: TSM enforced frequency and voltage stability of power grid.</w:t>
        </w:r>
        <w:r>
          <w:rPr>
            <w:noProof/>
            <w:webHidden/>
          </w:rPr>
          <w:tab/>
        </w:r>
        <w:r>
          <w:rPr>
            <w:noProof/>
            <w:webHidden/>
          </w:rPr>
          <w:fldChar w:fldCharType="begin"/>
        </w:r>
        <w:r>
          <w:rPr>
            <w:noProof/>
            <w:webHidden/>
          </w:rPr>
          <w:instrText xml:space="preserve"> PAGEREF _Toc233112246 \h </w:instrText>
        </w:r>
        <w:r>
          <w:rPr>
            <w:noProof/>
            <w:webHidden/>
          </w:rPr>
        </w:r>
        <w:r>
          <w:rPr>
            <w:noProof/>
            <w:webHidden/>
          </w:rPr>
          <w:fldChar w:fldCharType="separate"/>
        </w:r>
        <w:r w:rsidR="00F8092D">
          <w:rPr>
            <w:noProof/>
            <w:webHidden/>
          </w:rPr>
          <w:t>83</w:t>
        </w:r>
        <w:r>
          <w:rPr>
            <w:noProof/>
            <w:webHidden/>
          </w:rPr>
          <w:fldChar w:fldCharType="end"/>
        </w:r>
      </w:hyperlink>
    </w:p>
    <w:p w14:paraId="0D9AC510" w14:textId="5D1CFD8E"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47" w:history="1">
        <w:r w:rsidRPr="002449F3">
          <w:rPr>
            <w:rStyle w:val="Hyperlink"/>
            <w:noProof/>
          </w:rPr>
          <w:t>Figure 41</w:t>
        </w:r>
        <w:r w:rsidRPr="002449F3">
          <w:rPr>
            <w:rStyle w:val="Hyperlink"/>
            <w:rFonts w:ascii="Aptos" w:eastAsia="Aptos" w:hAnsi="Aptos" w:cs="Aptos"/>
            <w:i/>
            <w:noProof/>
            <w:lang w:val="en-GB"/>
          </w:rPr>
          <w:t>: TC1: Injection of invalid firmware image. The TSM enforcement uses a crypto engine to reject all firmware images with invalid keys using ECDSA signatures verification and validating the certificate chain in the trust chain.</w:t>
        </w:r>
        <w:r>
          <w:rPr>
            <w:noProof/>
            <w:webHidden/>
          </w:rPr>
          <w:tab/>
        </w:r>
        <w:r>
          <w:rPr>
            <w:noProof/>
            <w:webHidden/>
          </w:rPr>
          <w:fldChar w:fldCharType="begin"/>
        </w:r>
        <w:r>
          <w:rPr>
            <w:noProof/>
            <w:webHidden/>
          </w:rPr>
          <w:instrText xml:space="preserve"> PAGEREF _Toc233112247 \h </w:instrText>
        </w:r>
        <w:r>
          <w:rPr>
            <w:noProof/>
            <w:webHidden/>
          </w:rPr>
        </w:r>
        <w:r>
          <w:rPr>
            <w:noProof/>
            <w:webHidden/>
          </w:rPr>
          <w:fldChar w:fldCharType="separate"/>
        </w:r>
        <w:r w:rsidR="00F8092D">
          <w:rPr>
            <w:noProof/>
            <w:webHidden/>
          </w:rPr>
          <w:t>85</w:t>
        </w:r>
        <w:r>
          <w:rPr>
            <w:noProof/>
            <w:webHidden/>
          </w:rPr>
          <w:fldChar w:fldCharType="end"/>
        </w:r>
      </w:hyperlink>
    </w:p>
    <w:p w14:paraId="05869C35" w14:textId="4EEBD2A3"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48" w:history="1">
        <w:r w:rsidRPr="002449F3">
          <w:rPr>
            <w:rStyle w:val="Hyperlink"/>
            <w:noProof/>
          </w:rPr>
          <w:t>Figure 42</w:t>
        </w:r>
        <w:r w:rsidRPr="002449F3">
          <w:rPr>
            <w:rStyle w:val="Hyperlink"/>
            <w:rFonts w:ascii="Aptos" w:eastAsia="Aptos" w:hAnsi="Aptos" w:cs="Aptos"/>
            <w:i/>
            <w:noProof/>
            <w:lang w:val="en-GB"/>
          </w:rPr>
          <w:t>: TC2: Malicious but validly signed firmware. The TSM security pipeline is enforcing a runtime behavioural model for the EVSE charger behaviour within 50 ms, while the unsafe duration is 0.05 sec.</w:t>
        </w:r>
        <w:r>
          <w:rPr>
            <w:noProof/>
            <w:webHidden/>
          </w:rPr>
          <w:tab/>
        </w:r>
        <w:r>
          <w:rPr>
            <w:noProof/>
            <w:webHidden/>
          </w:rPr>
          <w:fldChar w:fldCharType="begin"/>
        </w:r>
        <w:r>
          <w:rPr>
            <w:noProof/>
            <w:webHidden/>
          </w:rPr>
          <w:instrText xml:space="preserve"> PAGEREF _Toc233112248 \h </w:instrText>
        </w:r>
        <w:r>
          <w:rPr>
            <w:noProof/>
            <w:webHidden/>
          </w:rPr>
        </w:r>
        <w:r>
          <w:rPr>
            <w:noProof/>
            <w:webHidden/>
          </w:rPr>
          <w:fldChar w:fldCharType="separate"/>
        </w:r>
        <w:r w:rsidR="00F8092D">
          <w:rPr>
            <w:noProof/>
            <w:webHidden/>
          </w:rPr>
          <w:t>86</w:t>
        </w:r>
        <w:r>
          <w:rPr>
            <w:noProof/>
            <w:webHidden/>
          </w:rPr>
          <w:fldChar w:fldCharType="end"/>
        </w:r>
      </w:hyperlink>
    </w:p>
    <w:p w14:paraId="182342DF" w14:textId="406C6B37"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49" w:history="1">
        <w:r w:rsidRPr="002449F3">
          <w:rPr>
            <w:rStyle w:val="Hyperlink"/>
            <w:noProof/>
          </w:rPr>
          <w:t>Figure 43</w:t>
        </w:r>
        <w:r w:rsidRPr="002449F3">
          <w:rPr>
            <w:rStyle w:val="Hyperlink"/>
            <w:rFonts w:ascii="Aptos" w:eastAsia="Aptos" w:hAnsi="Aptos" w:cs="Aptos"/>
            <w:i/>
            <w:noProof/>
            <w:lang w:val="en-GB"/>
          </w:rPr>
          <w:t>: TC3: Firmware rollback attack. TSM-enabled enforcement triggered HRoT monotonic counter to block the older version and maintained full security features with RPR=100%.</w:t>
        </w:r>
        <w:r>
          <w:rPr>
            <w:noProof/>
            <w:webHidden/>
          </w:rPr>
          <w:tab/>
        </w:r>
        <w:r>
          <w:rPr>
            <w:noProof/>
            <w:webHidden/>
          </w:rPr>
          <w:fldChar w:fldCharType="begin"/>
        </w:r>
        <w:r>
          <w:rPr>
            <w:noProof/>
            <w:webHidden/>
          </w:rPr>
          <w:instrText xml:space="preserve"> PAGEREF _Toc233112249 \h </w:instrText>
        </w:r>
        <w:r>
          <w:rPr>
            <w:noProof/>
            <w:webHidden/>
          </w:rPr>
        </w:r>
        <w:r>
          <w:rPr>
            <w:noProof/>
            <w:webHidden/>
          </w:rPr>
          <w:fldChar w:fldCharType="separate"/>
        </w:r>
        <w:r w:rsidR="00F8092D">
          <w:rPr>
            <w:noProof/>
            <w:webHidden/>
          </w:rPr>
          <w:t>87</w:t>
        </w:r>
        <w:r>
          <w:rPr>
            <w:noProof/>
            <w:webHidden/>
          </w:rPr>
          <w:fldChar w:fldCharType="end"/>
        </w:r>
      </w:hyperlink>
    </w:p>
    <w:p w14:paraId="1BC91F89" w14:textId="05E3648C"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50" w:history="1">
        <w:r w:rsidRPr="002449F3">
          <w:rPr>
            <w:rStyle w:val="Hyperlink"/>
            <w:noProof/>
          </w:rPr>
          <w:t>Figure 44</w:t>
        </w:r>
        <w:r w:rsidRPr="002449F3">
          <w:rPr>
            <w:rStyle w:val="Hyperlink"/>
            <w:rFonts w:ascii="Aptos" w:eastAsia="Aptos" w:hAnsi="Aptos" w:cs="Aptos"/>
            <w:i/>
            <w:noProof/>
            <w:lang w:val="en-GB"/>
          </w:rPr>
          <w:t>: TC4: Trust anchor compromise. The TSM-enabled enforcement provides remote attestation capabilities to detect HRoT manipulation using attestation cycle and detection latency to isolate the promised EVSE chargers from the fleets and restore EVSE fleet.</w:t>
        </w:r>
        <w:r>
          <w:rPr>
            <w:noProof/>
            <w:webHidden/>
          </w:rPr>
          <w:tab/>
        </w:r>
        <w:r>
          <w:rPr>
            <w:noProof/>
            <w:webHidden/>
          </w:rPr>
          <w:fldChar w:fldCharType="begin"/>
        </w:r>
        <w:r>
          <w:rPr>
            <w:noProof/>
            <w:webHidden/>
          </w:rPr>
          <w:instrText xml:space="preserve"> PAGEREF _Toc233112250 \h </w:instrText>
        </w:r>
        <w:r>
          <w:rPr>
            <w:noProof/>
            <w:webHidden/>
          </w:rPr>
        </w:r>
        <w:r>
          <w:rPr>
            <w:noProof/>
            <w:webHidden/>
          </w:rPr>
          <w:fldChar w:fldCharType="separate"/>
        </w:r>
        <w:r w:rsidR="00F8092D">
          <w:rPr>
            <w:noProof/>
            <w:webHidden/>
          </w:rPr>
          <w:t>89</w:t>
        </w:r>
        <w:r>
          <w:rPr>
            <w:noProof/>
            <w:webHidden/>
          </w:rPr>
          <w:fldChar w:fldCharType="end"/>
        </w:r>
      </w:hyperlink>
    </w:p>
    <w:p w14:paraId="0DCB78EE" w14:textId="10F7E0E5"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51" w:history="1">
        <w:r w:rsidRPr="002449F3">
          <w:rPr>
            <w:rStyle w:val="Hyperlink"/>
            <w:noProof/>
          </w:rPr>
          <w:t>Figure 45</w:t>
        </w:r>
        <w:r w:rsidRPr="002449F3">
          <w:rPr>
            <w:rStyle w:val="Hyperlink"/>
            <w:rFonts w:ascii="Aptos" w:eastAsia="Aptos" w:hAnsi="Aptos" w:cs="Aptos"/>
            <w:i/>
            <w:noProof/>
            <w:lang w:val="en-GB"/>
          </w:rPr>
          <w:t>: A fleet-level coordinated load attack occurs under TC2 when a malicious firmware update is initiated simultaneously on 20 EVSE chargers. This causes the total load to surge to 3.0</w:t>
        </w:r>
        <w:r w:rsidRPr="002449F3">
          <w:rPr>
            <w:rStyle w:val="Hyperlink"/>
            <w:rFonts w:ascii="Arial" w:eastAsia="Arial" w:hAnsi="Arial" w:cs="Arial"/>
            <w:i/>
            <w:noProof/>
            <w:lang w:val="en-GB"/>
          </w:rPr>
          <w:t> </w:t>
        </w:r>
        <w:r w:rsidRPr="002449F3">
          <w:rPr>
            <w:rStyle w:val="Hyperlink"/>
            <w:rFonts w:ascii="Aptos" w:eastAsia="Aptos" w:hAnsi="Aptos" w:cs="Aptos"/>
            <w:i/>
            <w:noProof/>
            <w:lang w:val="en-GB"/>
          </w:rPr>
          <w:t>MW, exceeding the distribution feeder’s rated capacity by 150%. With TSM</w:t>
        </w:r>
        <w:r>
          <w:rPr>
            <w:noProof/>
            <w:webHidden/>
          </w:rPr>
          <w:tab/>
        </w:r>
        <w:r>
          <w:rPr>
            <w:noProof/>
            <w:webHidden/>
          </w:rPr>
          <w:fldChar w:fldCharType="begin"/>
        </w:r>
        <w:r>
          <w:rPr>
            <w:noProof/>
            <w:webHidden/>
          </w:rPr>
          <w:instrText xml:space="preserve"> PAGEREF _Toc233112251 \h </w:instrText>
        </w:r>
        <w:r>
          <w:rPr>
            <w:noProof/>
            <w:webHidden/>
          </w:rPr>
        </w:r>
        <w:r>
          <w:rPr>
            <w:noProof/>
            <w:webHidden/>
          </w:rPr>
          <w:fldChar w:fldCharType="separate"/>
        </w:r>
        <w:r w:rsidR="00F8092D">
          <w:rPr>
            <w:noProof/>
            <w:webHidden/>
          </w:rPr>
          <w:t>90</w:t>
        </w:r>
        <w:r>
          <w:rPr>
            <w:noProof/>
            <w:webHidden/>
          </w:rPr>
          <w:fldChar w:fldCharType="end"/>
        </w:r>
      </w:hyperlink>
    </w:p>
    <w:p w14:paraId="51EAF1BD" w14:textId="685ECAF7"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52" w:history="1">
        <w:r w:rsidRPr="002449F3">
          <w:rPr>
            <w:rStyle w:val="Hyperlink"/>
            <w:noProof/>
          </w:rPr>
          <w:t>Figure 46</w:t>
        </w:r>
        <w:r w:rsidRPr="002449F3">
          <w:rPr>
            <w:rStyle w:val="Hyperlink"/>
            <w:rFonts w:ascii="Aptos" w:eastAsia="Aptos" w:hAnsi="Aptos" w:cs="Aptos"/>
            <w:i/>
            <w:noProof/>
            <w:lang w:val="en-GB"/>
          </w:rPr>
          <w:t>: The risk escalation model follows a cascade from Devices → Sites → Fleets → Grids. In the absence of TSM, a single compromised EVSE can propagate the attack through all levels, reaching the grid within approximately 4</w:t>
        </w:r>
        <w:r w:rsidRPr="002449F3">
          <w:rPr>
            <w:rStyle w:val="Hyperlink"/>
            <w:rFonts w:ascii="Arial" w:eastAsia="Arial" w:hAnsi="Arial" w:cs="Arial"/>
            <w:i/>
            <w:noProof/>
            <w:lang w:val="en-GB"/>
          </w:rPr>
          <w:t> </w:t>
        </w:r>
        <w:r w:rsidRPr="002449F3">
          <w:rPr>
            <w:rStyle w:val="Hyperlink"/>
            <w:rFonts w:ascii="Aptos" w:eastAsia="Aptos" w:hAnsi="Aptos" w:cs="Aptos"/>
            <w:i/>
            <w:noProof/>
            <w:lang w:val="en-GB"/>
          </w:rPr>
          <w:t>minutes. With TSM-enforcement.</w:t>
        </w:r>
        <w:r>
          <w:rPr>
            <w:noProof/>
            <w:webHidden/>
          </w:rPr>
          <w:tab/>
        </w:r>
        <w:r>
          <w:rPr>
            <w:noProof/>
            <w:webHidden/>
          </w:rPr>
          <w:fldChar w:fldCharType="begin"/>
        </w:r>
        <w:r>
          <w:rPr>
            <w:noProof/>
            <w:webHidden/>
          </w:rPr>
          <w:instrText xml:space="preserve"> PAGEREF _Toc233112252 \h </w:instrText>
        </w:r>
        <w:r>
          <w:rPr>
            <w:noProof/>
            <w:webHidden/>
          </w:rPr>
        </w:r>
        <w:r>
          <w:rPr>
            <w:noProof/>
            <w:webHidden/>
          </w:rPr>
          <w:fldChar w:fldCharType="separate"/>
        </w:r>
        <w:r w:rsidR="00F8092D">
          <w:rPr>
            <w:noProof/>
            <w:webHidden/>
          </w:rPr>
          <w:t>92</w:t>
        </w:r>
        <w:r>
          <w:rPr>
            <w:noProof/>
            <w:webHidden/>
          </w:rPr>
          <w:fldChar w:fldCharType="end"/>
        </w:r>
      </w:hyperlink>
    </w:p>
    <w:p w14:paraId="3D48D11A" w14:textId="084042D5"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53" w:history="1">
        <w:r w:rsidRPr="002449F3">
          <w:rPr>
            <w:rStyle w:val="Hyperlink"/>
            <w:noProof/>
          </w:rPr>
          <w:t>Figure 47</w:t>
        </w:r>
        <w:r w:rsidRPr="002449F3">
          <w:rPr>
            <w:rStyle w:val="Hyperlink"/>
            <w:rFonts w:ascii="Aptos" w:eastAsia="Aptos" w:hAnsi="Aptos" w:cs="Aptos"/>
            <w:i/>
            <w:noProof/>
            <w:lang w:val="en-GB"/>
          </w:rPr>
          <w:t>: The summarized TSM-enabled security metrics are: True Positive Rejection Rate (TPR) = 1.00, False Accept Rate (FAR) = 0.00, False Reject Rate (FRR) = 0.00, and Fail-Safe Reliability (FSR) = 1.00. All firmware update-related threat classes are mitigated.</w:t>
        </w:r>
        <w:r>
          <w:rPr>
            <w:noProof/>
            <w:webHidden/>
          </w:rPr>
          <w:tab/>
        </w:r>
        <w:r>
          <w:rPr>
            <w:noProof/>
            <w:webHidden/>
          </w:rPr>
          <w:fldChar w:fldCharType="begin"/>
        </w:r>
        <w:r>
          <w:rPr>
            <w:noProof/>
            <w:webHidden/>
          </w:rPr>
          <w:instrText xml:space="preserve"> PAGEREF _Toc233112253 \h </w:instrText>
        </w:r>
        <w:r>
          <w:rPr>
            <w:noProof/>
            <w:webHidden/>
          </w:rPr>
        </w:r>
        <w:r>
          <w:rPr>
            <w:noProof/>
            <w:webHidden/>
          </w:rPr>
          <w:fldChar w:fldCharType="separate"/>
        </w:r>
        <w:r w:rsidR="00F8092D">
          <w:rPr>
            <w:noProof/>
            <w:webHidden/>
          </w:rPr>
          <w:t>93</w:t>
        </w:r>
        <w:r>
          <w:rPr>
            <w:noProof/>
            <w:webHidden/>
          </w:rPr>
          <w:fldChar w:fldCharType="end"/>
        </w:r>
      </w:hyperlink>
    </w:p>
    <w:p w14:paraId="2D8AAC70" w14:textId="44C5470E"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54" w:history="1">
        <w:r w:rsidRPr="002449F3">
          <w:rPr>
            <w:rStyle w:val="Hyperlink"/>
            <w:noProof/>
          </w:rPr>
          <w:t>Figure 48</w:t>
        </w:r>
        <w:r w:rsidRPr="002449F3">
          <w:rPr>
            <w:rStyle w:val="Hyperlink"/>
            <w:rFonts w:ascii="Aptos" w:eastAsia="Aptos" w:hAnsi="Aptos" w:cs="Aptos"/>
            <w:i/>
            <w:noProof/>
            <w:lang w:val="en-GB"/>
          </w:rPr>
          <w:t>: The aggregate performance of the TSM firmware update security pipeline for the 60-minute simulation window. The mean latency is 7.6 ms indicate the operational feasibility and latency acceptance of TSM enforcement policies for the firmware update.</w:t>
        </w:r>
        <w:r>
          <w:rPr>
            <w:noProof/>
            <w:webHidden/>
          </w:rPr>
          <w:tab/>
        </w:r>
        <w:r>
          <w:rPr>
            <w:noProof/>
            <w:webHidden/>
          </w:rPr>
          <w:fldChar w:fldCharType="begin"/>
        </w:r>
        <w:r>
          <w:rPr>
            <w:noProof/>
            <w:webHidden/>
          </w:rPr>
          <w:instrText xml:space="preserve"> PAGEREF _Toc233112254 \h </w:instrText>
        </w:r>
        <w:r>
          <w:rPr>
            <w:noProof/>
            <w:webHidden/>
          </w:rPr>
        </w:r>
        <w:r>
          <w:rPr>
            <w:noProof/>
            <w:webHidden/>
          </w:rPr>
          <w:fldChar w:fldCharType="separate"/>
        </w:r>
        <w:r w:rsidR="00F8092D">
          <w:rPr>
            <w:noProof/>
            <w:webHidden/>
          </w:rPr>
          <w:t>94</w:t>
        </w:r>
        <w:r>
          <w:rPr>
            <w:noProof/>
            <w:webHidden/>
          </w:rPr>
          <w:fldChar w:fldCharType="end"/>
        </w:r>
      </w:hyperlink>
    </w:p>
    <w:p w14:paraId="40F21500" w14:textId="741437D1" w:rsidR="002B4EFB" w:rsidRPr="00E13EFC" w:rsidRDefault="002B4EFB" w:rsidP="008E361C">
      <w:pPr>
        <w:pStyle w:val="TableofFigures"/>
        <w:shd w:val="clear" w:color="auto" w:fill="001D34" w:themeFill="accent2"/>
        <w:rPr>
          <w:b/>
          <w:bCs/>
          <w:color w:val="FFFFFF" w:themeColor="background1"/>
          <w:szCs w:val="24"/>
          <w:lang w:val="en-US"/>
        </w:rPr>
      </w:pPr>
      <w:r>
        <w:fldChar w:fldCharType="end"/>
      </w:r>
      <w:r w:rsidR="00F23A10" w:rsidRPr="00E13EFC">
        <w:rPr>
          <w:b/>
          <w:bCs/>
          <w:color w:val="FFFFFF" w:themeColor="background1"/>
          <w:szCs w:val="24"/>
        </w:rPr>
        <w:t>Table of Tables</w:t>
      </w:r>
    </w:p>
    <w:p w14:paraId="332E7EBC" w14:textId="462D2F82" w:rsidR="0041216A" w:rsidRDefault="004377AB">
      <w:pPr>
        <w:pStyle w:val="TableofFigures"/>
        <w:rPr>
          <w:rFonts w:asciiTheme="minorHAnsi" w:eastAsiaTheme="minorEastAsia" w:hAnsiTheme="minorHAnsi" w:cstheme="minorBidi"/>
          <w:noProof/>
          <w:color w:val="auto"/>
          <w:kern w:val="2"/>
          <w:szCs w:val="24"/>
          <w14:ligatures w14:val="standardContextual"/>
        </w:rPr>
      </w:pPr>
      <w:r>
        <w:rPr>
          <w:lang w:val="en-US"/>
        </w:rPr>
        <w:fldChar w:fldCharType="begin"/>
      </w:r>
      <w:r>
        <w:rPr>
          <w:lang w:val="en-US"/>
        </w:rPr>
        <w:instrText xml:space="preserve"> TOC \h \z \c "Table" </w:instrText>
      </w:r>
      <w:r>
        <w:rPr>
          <w:lang w:val="en-US"/>
        </w:rPr>
        <w:fldChar w:fldCharType="separate"/>
      </w:r>
      <w:hyperlink w:anchor="_Toc233112255" w:history="1">
        <w:r w:rsidR="0041216A" w:rsidRPr="006C75CF">
          <w:rPr>
            <w:rStyle w:val="Hyperlink"/>
            <w:noProof/>
          </w:rPr>
          <w:t>Table 1</w:t>
        </w:r>
        <w:r w:rsidR="0041216A" w:rsidRPr="006C75CF">
          <w:rPr>
            <w:rStyle w:val="Hyperlink"/>
            <w:rFonts w:ascii="Aptos" w:eastAsia="Aptos" w:hAnsi="Aptos" w:cs="Aptos"/>
            <w:i/>
            <w:noProof/>
            <w:lang w:val="en-GB"/>
          </w:rPr>
          <w:t>: Software stack and platforms used</w:t>
        </w:r>
        <w:r w:rsidR="0041216A">
          <w:rPr>
            <w:noProof/>
            <w:webHidden/>
          </w:rPr>
          <w:tab/>
        </w:r>
        <w:r w:rsidR="0041216A">
          <w:rPr>
            <w:noProof/>
            <w:webHidden/>
          </w:rPr>
          <w:fldChar w:fldCharType="begin"/>
        </w:r>
        <w:r w:rsidR="0041216A">
          <w:rPr>
            <w:noProof/>
            <w:webHidden/>
          </w:rPr>
          <w:instrText xml:space="preserve"> PAGEREF _Toc233112255 \h </w:instrText>
        </w:r>
        <w:r w:rsidR="0041216A">
          <w:rPr>
            <w:noProof/>
            <w:webHidden/>
          </w:rPr>
        </w:r>
        <w:r w:rsidR="0041216A">
          <w:rPr>
            <w:noProof/>
            <w:webHidden/>
          </w:rPr>
          <w:fldChar w:fldCharType="separate"/>
        </w:r>
        <w:r w:rsidR="00F8092D">
          <w:rPr>
            <w:noProof/>
            <w:webHidden/>
          </w:rPr>
          <w:t>23</w:t>
        </w:r>
        <w:r w:rsidR="0041216A">
          <w:rPr>
            <w:noProof/>
            <w:webHidden/>
          </w:rPr>
          <w:fldChar w:fldCharType="end"/>
        </w:r>
      </w:hyperlink>
    </w:p>
    <w:p w14:paraId="19C0AF4B" w14:textId="4A651128"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56" w:history="1">
        <w:r w:rsidRPr="006C75CF">
          <w:rPr>
            <w:rStyle w:val="Hyperlink"/>
            <w:noProof/>
          </w:rPr>
          <w:t>Table 2</w:t>
        </w:r>
        <w:r w:rsidRPr="006C75CF">
          <w:rPr>
            <w:rStyle w:val="Hyperlink"/>
            <w:rFonts w:ascii="Aptos" w:eastAsia="Aptos" w:hAnsi="Aptos" w:cs="Aptos"/>
            <w:i/>
            <w:noProof/>
            <w:lang w:val="en-GB"/>
          </w:rPr>
          <w:t>: EVSE Core Architectural Components and their Security Relevance</w:t>
        </w:r>
        <w:r>
          <w:rPr>
            <w:noProof/>
            <w:webHidden/>
          </w:rPr>
          <w:tab/>
        </w:r>
        <w:r>
          <w:rPr>
            <w:noProof/>
            <w:webHidden/>
          </w:rPr>
          <w:fldChar w:fldCharType="begin"/>
        </w:r>
        <w:r>
          <w:rPr>
            <w:noProof/>
            <w:webHidden/>
          </w:rPr>
          <w:instrText xml:space="preserve"> PAGEREF _Toc233112256 \h </w:instrText>
        </w:r>
        <w:r>
          <w:rPr>
            <w:noProof/>
            <w:webHidden/>
          </w:rPr>
        </w:r>
        <w:r>
          <w:rPr>
            <w:noProof/>
            <w:webHidden/>
          </w:rPr>
          <w:fldChar w:fldCharType="separate"/>
        </w:r>
        <w:r w:rsidR="00F8092D">
          <w:rPr>
            <w:noProof/>
            <w:webHidden/>
          </w:rPr>
          <w:t>25</w:t>
        </w:r>
        <w:r>
          <w:rPr>
            <w:noProof/>
            <w:webHidden/>
          </w:rPr>
          <w:fldChar w:fldCharType="end"/>
        </w:r>
      </w:hyperlink>
    </w:p>
    <w:p w14:paraId="10117E2E" w14:textId="71C5AC5F"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57" w:history="1">
        <w:r w:rsidRPr="006C75CF">
          <w:rPr>
            <w:rStyle w:val="Hyperlink"/>
            <w:noProof/>
          </w:rPr>
          <w:t>Table 3</w:t>
        </w:r>
        <w:r w:rsidRPr="006C75CF">
          <w:rPr>
            <w:rStyle w:val="Hyperlink"/>
            <w:i/>
            <w:noProof/>
            <w:lang w:val="en-GB"/>
          </w:rPr>
          <w:t>: EVSE-Attack Surface categories</w:t>
        </w:r>
        <w:r>
          <w:rPr>
            <w:noProof/>
            <w:webHidden/>
          </w:rPr>
          <w:tab/>
        </w:r>
        <w:r>
          <w:rPr>
            <w:noProof/>
            <w:webHidden/>
          </w:rPr>
          <w:fldChar w:fldCharType="begin"/>
        </w:r>
        <w:r>
          <w:rPr>
            <w:noProof/>
            <w:webHidden/>
          </w:rPr>
          <w:instrText xml:space="preserve"> PAGEREF _Toc233112257 \h </w:instrText>
        </w:r>
        <w:r>
          <w:rPr>
            <w:noProof/>
            <w:webHidden/>
          </w:rPr>
        </w:r>
        <w:r>
          <w:rPr>
            <w:noProof/>
            <w:webHidden/>
          </w:rPr>
          <w:fldChar w:fldCharType="separate"/>
        </w:r>
        <w:r w:rsidR="00F8092D">
          <w:rPr>
            <w:noProof/>
            <w:webHidden/>
          </w:rPr>
          <w:t>28</w:t>
        </w:r>
        <w:r>
          <w:rPr>
            <w:noProof/>
            <w:webHidden/>
          </w:rPr>
          <w:fldChar w:fldCharType="end"/>
        </w:r>
      </w:hyperlink>
    </w:p>
    <w:p w14:paraId="0A226B74" w14:textId="16D499DA"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58" w:history="1">
        <w:r w:rsidRPr="006C75CF">
          <w:rPr>
            <w:rStyle w:val="Hyperlink"/>
            <w:noProof/>
          </w:rPr>
          <w:t>Table 4: Safety and Security parameters modelled in Co-simulation Platform</w:t>
        </w:r>
        <w:r>
          <w:rPr>
            <w:noProof/>
            <w:webHidden/>
          </w:rPr>
          <w:tab/>
        </w:r>
        <w:r>
          <w:rPr>
            <w:noProof/>
            <w:webHidden/>
          </w:rPr>
          <w:fldChar w:fldCharType="begin"/>
        </w:r>
        <w:r>
          <w:rPr>
            <w:noProof/>
            <w:webHidden/>
          </w:rPr>
          <w:instrText xml:space="preserve"> PAGEREF _Toc233112258 \h </w:instrText>
        </w:r>
        <w:r>
          <w:rPr>
            <w:noProof/>
            <w:webHidden/>
          </w:rPr>
        </w:r>
        <w:r>
          <w:rPr>
            <w:noProof/>
            <w:webHidden/>
          </w:rPr>
          <w:fldChar w:fldCharType="separate"/>
        </w:r>
        <w:r w:rsidR="00F8092D">
          <w:rPr>
            <w:noProof/>
            <w:webHidden/>
          </w:rPr>
          <w:t>32</w:t>
        </w:r>
        <w:r>
          <w:rPr>
            <w:noProof/>
            <w:webHidden/>
          </w:rPr>
          <w:fldChar w:fldCharType="end"/>
        </w:r>
      </w:hyperlink>
    </w:p>
    <w:p w14:paraId="6580F237" w14:textId="407C7363"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59" w:history="1">
        <w:r w:rsidRPr="006C75CF">
          <w:rPr>
            <w:rStyle w:val="Hyperlink"/>
            <w:noProof/>
          </w:rPr>
          <w:t>Table 5: TSM internal operational states</w:t>
        </w:r>
        <w:r>
          <w:rPr>
            <w:noProof/>
            <w:webHidden/>
          </w:rPr>
          <w:tab/>
        </w:r>
        <w:r>
          <w:rPr>
            <w:noProof/>
            <w:webHidden/>
          </w:rPr>
          <w:fldChar w:fldCharType="begin"/>
        </w:r>
        <w:r>
          <w:rPr>
            <w:noProof/>
            <w:webHidden/>
          </w:rPr>
          <w:instrText xml:space="preserve"> PAGEREF _Toc233112259 \h </w:instrText>
        </w:r>
        <w:r>
          <w:rPr>
            <w:noProof/>
            <w:webHidden/>
          </w:rPr>
        </w:r>
        <w:r>
          <w:rPr>
            <w:noProof/>
            <w:webHidden/>
          </w:rPr>
          <w:fldChar w:fldCharType="separate"/>
        </w:r>
        <w:r w:rsidR="00F8092D">
          <w:rPr>
            <w:noProof/>
            <w:webHidden/>
          </w:rPr>
          <w:t>38</w:t>
        </w:r>
        <w:r>
          <w:rPr>
            <w:noProof/>
            <w:webHidden/>
          </w:rPr>
          <w:fldChar w:fldCharType="end"/>
        </w:r>
      </w:hyperlink>
    </w:p>
    <w:p w14:paraId="1ED92736" w14:textId="610DC048"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60" w:history="1">
        <w:r w:rsidRPr="006C75CF">
          <w:rPr>
            <w:rStyle w:val="Hyperlink"/>
            <w:noProof/>
          </w:rPr>
          <w:t>Table 6: Critical Vulnerabilities in the EV to EVSE Domain</w:t>
        </w:r>
        <w:r>
          <w:rPr>
            <w:noProof/>
            <w:webHidden/>
          </w:rPr>
          <w:tab/>
        </w:r>
        <w:r>
          <w:rPr>
            <w:noProof/>
            <w:webHidden/>
          </w:rPr>
          <w:fldChar w:fldCharType="begin"/>
        </w:r>
        <w:r>
          <w:rPr>
            <w:noProof/>
            <w:webHidden/>
          </w:rPr>
          <w:instrText xml:space="preserve"> PAGEREF _Toc233112260 \h </w:instrText>
        </w:r>
        <w:r>
          <w:rPr>
            <w:noProof/>
            <w:webHidden/>
          </w:rPr>
        </w:r>
        <w:r>
          <w:rPr>
            <w:noProof/>
            <w:webHidden/>
          </w:rPr>
          <w:fldChar w:fldCharType="separate"/>
        </w:r>
        <w:r w:rsidR="00F8092D">
          <w:rPr>
            <w:noProof/>
            <w:webHidden/>
          </w:rPr>
          <w:t>43</w:t>
        </w:r>
        <w:r>
          <w:rPr>
            <w:noProof/>
            <w:webHidden/>
          </w:rPr>
          <w:fldChar w:fldCharType="end"/>
        </w:r>
      </w:hyperlink>
    </w:p>
    <w:p w14:paraId="0BC2066E" w14:textId="1083FF65"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61" w:history="1">
        <w:r w:rsidRPr="006C75CF">
          <w:rPr>
            <w:rStyle w:val="Hyperlink"/>
            <w:noProof/>
          </w:rPr>
          <w:t>Table 7: Critical Vulnerabilities in the EVSE Local Device Domain</w:t>
        </w:r>
        <w:r>
          <w:rPr>
            <w:noProof/>
            <w:webHidden/>
          </w:rPr>
          <w:tab/>
        </w:r>
        <w:r>
          <w:rPr>
            <w:noProof/>
            <w:webHidden/>
          </w:rPr>
          <w:fldChar w:fldCharType="begin"/>
        </w:r>
        <w:r>
          <w:rPr>
            <w:noProof/>
            <w:webHidden/>
          </w:rPr>
          <w:instrText xml:space="preserve"> PAGEREF _Toc233112261 \h </w:instrText>
        </w:r>
        <w:r>
          <w:rPr>
            <w:noProof/>
            <w:webHidden/>
          </w:rPr>
        </w:r>
        <w:r>
          <w:rPr>
            <w:noProof/>
            <w:webHidden/>
          </w:rPr>
          <w:fldChar w:fldCharType="separate"/>
        </w:r>
        <w:r w:rsidR="00F8092D">
          <w:rPr>
            <w:noProof/>
            <w:webHidden/>
          </w:rPr>
          <w:t>43</w:t>
        </w:r>
        <w:r>
          <w:rPr>
            <w:noProof/>
            <w:webHidden/>
          </w:rPr>
          <w:fldChar w:fldCharType="end"/>
        </w:r>
      </w:hyperlink>
    </w:p>
    <w:p w14:paraId="2D7D6C33" w14:textId="43BA42B2"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62" w:history="1">
        <w:r w:rsidRPr="006C75CF">
          <w:rPr>
            <w:rStyle w:val="Hyperlink"/>
            <w:noProof/>
          </w:rPr>
          <w:t>Table 8</w:t>
        </w:r>
        <w:r w:rsidRPr="006C75CF">
          <w:rPr>
            <w:rStyle w:val="Hyperlink"/>
            <w:rFonts w:ascii="Aptos" w:eastAsia="Aptos" w:hAnsi="Aptos" w:cs="Aptos"/>
            <w:i/>
            <w:iCs/>
            <w:noProof/>
            <w:lang w:val="en-GB"/>
          </w:rPr>
          <w:t>: Critical Vulnerabilities in the EVSE to Grid / DERMS Domain</w:t>
        </w:r>
        <w:r>
          <w:rPr>
            <w:noProof/>
            <w:webHidden/>
          </w:rPr>
          <w:tab/>
        </w:r>
        <w:r>
          <w:rPr>
            <w:noProof/>
            <w:webHidden/>
          </w:rPr>
          <w:fldChar w:fldCharType="begin"/>
        </w:r>
        <w:r>
          <w:rPr>
            <w:noProof/>
            <w:webHidden/>
          </w:rPr>
          <w:instrText xml:space="preserve"> PAGEREF _Toc233112262 \h </w:instrText>
        </w:r>
        <w:r>
          <w:rPr>
            <w:noProof/>
            <w:webHidden/>
          </w:rPr>
        </w:r>
        <w:r>
          <w:rPr>
            <w:noProof/>
            <w:webHidden/>
          </w:rPr>
          <w:fldChar w:fldCharType="separate"/>
        </w:r>
        <w:r w:rsidR="00F8092D">
          <w:rPr>
            <w:noProof/>
            <w:webHidden/>
          </w:rPr>
          <w:t>43</w:t>
        </w:r>
        <w:r>
          <w:rPr>
            <w:noProof/>
            <w:webHidden/>
          </w:rPr>
          <w:fldChar w:fldCharType="end"/>
        </w:r>
      </w:hyperlink>
    </w:p>
    <w:p w14:paraId="3FACA9E2" w14:textId="449F834D"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63" w:history="1">
        <w:r w:rsidRPr="006C75CF">
          <w:rPr>
            <w:rStyle w:val="Hyperlink"/>
            <w:noProof/>
          </w:rPr>
          <w:t>Table 9: Core Architectural Components and Functional Alignment</w:t>
        </w:r>
        <w:r>
          <w:rPr>
            <w:noProof/>
            <w:webHidden/>
          </w:rPr>
          <w:tab/>
        </w:r>
        <w:r>
          <w:rPr>
            <w:noProof/>
            <w:webHidden/>
          </w:rPr>
          <w:fldChar w:fldCharType="begin"/>
        </w:r>
        <w:r>
          <w:rPr>
            <w:noProof/>
            <w:webHidden/>
          </w:rPr>
          <w:instrText xml:space="preserve"> PAGEREF _Toc233112263 \h </w:instrText>
        </w:r>
        <w:r>
          <w:rPr>
            <w:noProof/>
            <w:webHidden/>
          </w:rPr>
        </w:r>
        <w:r>
          <w:rPr>
            <w:noProof/>
            <w:webHidden/>
          </w:rPr>
          <w:fldChar w:fldCharType="separate"/>
        </w:r>
        <w:r w:rsidR="00F8092D">
          <w:rPr>
            <w:noProof/>
            <w:webHidden/>
          </w:rPr>
          <w:t>50</w:t>
        </w:r>
        <w:r>
          <w:rPr>
            <w:noProof/>
            <w:webHidden/>
          </w:rPr>
          <w:fldChar w:fldCharType="end"/>
        </w:r>
      </w:hyperlink>
    </w:p>
    <w:p w14:paraId="5DFE1645" w14:textId="756C5B30"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64" w:history="1">
        <w:r w:rsidRPr="006C75CF">
          <w:rPr>
            <w:rStyle w:val="Hyperlink"/>
            <w:noProof/>
          </w:rPr>
          <w:t>Table 10</w:t>
        </w:r>
        <w:r w:rsidRPr="006C75CF">
          <w:rPr>
            <w:rStyle w:val="Hyperlink"/>
            <w:rFonts w:ascii="Aptos" w:eastAsia="Aptos" w:hAnsi="Aptos" w:cs="Aptos"/>
            <w:i/>
            <w:noProof/>
            <w:lang w:val="en-GB"/>
          </w:rPr>
          <w:t>: TSM Functional Requirements</w:t>
        </w:r>
        <w:r>
          <w:rPr>
            <w:noProof/>
            <w:webHidden/>
          </w:rPr>
          <w:tab/>
        </w:r>
        <w:r>
          <w:rPr>
            <w:noProof/>
            <w:webHidden/>
          </w:rPr>
          <w:fldChar w:fldCharType="begin"/>
        </w:r>
        <w:r>
          <w:rPr>
            <w:noProof/>
            <w:webHidden/>
          </w:rPr>
          <w:instrText xml:space="preserve"> PAGEREF _Toc233112264 \h </w:instrText>
        </w:r>
        <w:r>
          <w:rPr>
            <w:noProof/>
            <w:webHidden/>
          </w:rPr>
        </w:r>
        <w:r>
          <w:rPr>
            <w:noProof/>
            <w:webHidden/>
          </w:rPr>
          <w:fldChar w:fldCharType="separate"/>
        </w:r>
        <w:r w:rsidR="00F8092D">
          <w:rPr>
            <w:noProof/>
            <w:webHidden/>
          </w:rPr>
          <w:t>51</w:t>
        </w:r>
        <w:r>
          <w:rPr>
            <w:noProof/>
            <w:webHidden/>
          </w:rPr>
          <w:fldChar w:fldCharType="end"/>
        </w:r>
      </w:hyperlink>
    </w:p>
    <w:p w14:paraId="77A946BB" w14:textId="03353118"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65" w:history="1">
        <w:r w:rsidRPr="006C75CF">
          <w:rPr>
            <w:rStyle w:val="Hyperlink"/>
            <w:noProof/>
          </w:rPr>
          <w:t>Table 11</w:t>
        </w:r>
        <w:r w:rsidRPr="006C75CF">
          <w:rPr>
            <w:rStyle w:val="Hyperlink"/>
            <w:rFonts w:ascii="Aptos" w:eastAsia="Aptos" w:hAnsi="Aptos" w:cs="Aptos"/>
            <w:i/>
            <w:noProof/>
            <w:lang w:val="en-GB"/>
          </w:rPr>
          <w:t>: TSM integration with co-simulation platform</w:t>
        </w:r>
        <w:r>
          <w:rPr>
            <w:noProof/>
            <w:webHidden/>
          </w:rPr>
          <w:tab/>
        </w:r>
        <w:r>
          <w:rPr>
            <w:noProof/>
            <w:webHidden/>
          </w:rPr>
          <w:fldChar w:fldCharType="begin"/>
        </w:r>
        <w:r>
          <w:rPr>
            <w:noProof/>
            <w:webHidden/>
          </w:rPr>
          <w:instrText xml:space="preserve"> PAGEREF _Toc233112265 \h </w:instrText>
        </w:r>
        <w:r>
          <w:rPr>
            <w:noProof/>
            <w:webHidden/>
          </w:rPr>
        </w:r>
        <w:r>
          <w:rPr>
            <w:noProof/>
            <w:webHidden/>
          </w:rPr>
          <w:fldChar w:fldCharType="separate"/>
        </w:r>
        <w:r w:rsidR="00F8092D">
          <w:rPr>
            <w:noProof/>
            <w:webHidden/>
          </w:rPr>
          <w:t>51</w:t>
        </w:r>
        <w:r>
          <w:rPr>
            <w:noProof/>
            <w:webHidden/>
          </w:rPr>
          <w:fldChar w:fldCharType="end"/>
        </w:r>
      </w:hyperlink>
    </w:p>
    <w:p w14:paraId="340B62D4" w14:textId="368B6A12"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66" w:history="1">
        <w:r w:rsidRPr="006C75CF">
          <w:rPr>
            <w:rStyle w:val="Hyperlink"/>
            <w:noProof/>
          </w:rPr>
          <w:t>Table 12</w:t>
        </w:r>
        <w:r w:rsidRPr="006C75CF">
          <w:rPr>
            <w:rStyle w:val="Hyperlink"/>
            <w:rFonts w:ascii="Aptos" w:eastAsia="Aptos" w:hAnsi="Aptos" w:cs="Aptos"/>
            <w:i/>
            <w:noProof/>
            <w:lang w:val="en-GB"/>
          </w:rPr>
          <w:t>: TSM Architectural Enforcement Properties</w:t>
        </w:r>
        <w:r>
          <w:rPr>
            <w:noProof/>
            <w:webHidden/>
          </w:rPr>
          <w:tab/>
        </w:r>
        <w:r>
          <w:rPr>
            <w:noProof/>
            <w:webHidden/>
          </w:rPr>
          <w:fldChar w:fldCharType="begin"/>
        </w:r>
        <w:r>
          <w:rPr>
            <w:noProof/>
            <w:webHidden/>
          </w:rPr>
          <w:instrText xml:space="preserve"> PAGEREF _Toc233112266 \h </w:instrText>
        </w:r>
        <w:r>
          <w:rPr>
            <w:noProof/>
            <w:webHidden/>
          </w:rPr>
        </w:r>
        <w:r>
          <w:rPr>
            <w:noProof/>
            <w:webHidden/>
          </w:rPr>
          <w:fldChar w:fldCharType="separate"/>
        </w:r>
        <w:r w:rsidR="00F8092D">
          <w:rPr>
            <w:noProof/>
            <w:webHidden/>
          </w:rPr>
          <w:t>52</w:t>
        </w:r>
        <w:r>
          <w:rPr>
            <w:noProof/>
            <w:webHidden/>
          </w:rPr>
          <w:fldChar w:fldCharType="end"/>
        </w:r>
      </w:hyperlink>
    </w:p>
    <w:p w14:paraId="33DB3243" w14:textId="11871BD9"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67" w:history="1">
        <w:r w:rsidRPr="006C75CF">
          <w:rPr>
            <w:rStyle w:val="Hyperlink"/>
            <w:noProof/>
          </w:rPr>
          <w:t>Table 13</w:t>
        </w:r>
        <w:r w:rsidRPr="006C75CF">
          <w:rPr>
            <w:rStyle w:val="Hyperlink"/>
            <w:rFonts w:ascii="Aptos" w:eastAsia="Aptos" w:hAnsi="Aptos" w:cs="Aptos"/>
            <w:i/>
            <w:noProof/>
            <w:lang w:val="en-GB"/>
          </w:rPr>
          <w:t>: The group categorization and summarization of REST API endpoints.</w:t>
        </w:r>
        <w:r>
          <w:rPr>
            <w:noProof/>
            <w:webHidden/>
          </w:rPr>
          <w:tab/>
        </w:r>
        <w:r>
          <w:rPr>
            <w:noProof/>
            <w:webHidden/>
          </w:rPr>
          <w:fldChar w:fldCharType="begin"/>
        </w:r>
        <w:r>
          <w:rPr>
            <w:noProof/>
            <w:webHidden/>
          </w:rPr>
          <w:instrText xml:space="preserve"> PAGEREF _Toc233112267 \h </w:instrText>
        </w:r>
        <w:r>
          <w:rPr>
            <w:noProof/>
            <w:webHidden/>
          </w:rPr>
        </w:r>
        <w:r>
          <w:rPr>
            <w:noProof/>
            <w:webHidden/>
          </w:rPr>
          <w:fldChar w:fldCharType="separate"/>
        </w:r>
        <w:r w:rsidR="00F8092D">
          <w:rPr>
            <w:noProof/>
            <w:webHidden/>
          </w:rPr>
          <w:t>68</w:t>
        </w:r>
        <w:r>
          <w:rPr>
            <w:noProof/>
            <w:webHidden/>
          </w:rPr>
          <w:fldChar w:fldCharType="end"/>
        </w:r>
      </w:hyperlink>
    </w:p>
    <w:p w14:paraId="7B24069C" w14:textId="5B99482D"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68" w:history="1">
        <w:r w:rsidRPr="006C75CF">
          <w:rPr>
            <w:rStyle w:val="Hyperlink"/>
            <w:noProof/>
          </w:rPr>
          <w:t>Table 14</w:t>
        </w:r>
        <w:r w:rsidRPr="006C75CF">
          <w:rPr>
            <w:rStyle w:val="Hyperlink"/>
            <w:rFonts w:ascii="Aptos" w:eastAsia="Aptos" w:hAnsi="Aptos" w:cs="Aptos"/>
            <w:i/>
            <w:noProof/>
            <w:lang w:val="en-GB"/>
          </w:rPr>
          <w:t>: TSM PEE policies and classification of security levels.</w:t>
        </w:r>
        <w:r>
          <w:rPr>
            <w:noProof/>
            <w:webHidden/>
          </w:rPr>
          <w:tab/>
        </w:r>
        <w:r>
          <w:rPr>
            <w:noProof/>
            <w:webHidden/>
          </w:rPr>
          <w:fldChar w:fldCharType="begin"/>
        </w:r>
        <w:r>
          <w:rPr>
            <w:noProof/>
            <w:webHidden/>
          </w:rPr>
          <w:instrText xml:space="preserve"> PAGEREF _Toc233112268 \h </w:instrText>
        </w:r>
        <w:r>
          <w:rPr>
            <w:noProof/>
            <w:webHidden/>
          </w:rPr>
        </w:r>
        <w:r>
          <w:rPr>
            <w:noProof/>
            <w:webHidden/>
          </w:rPr>
          <w:fldChar w:fldCharType="separate"/>
        </w:r>
        <w:r w:rsidR="00F8092D">
          <w:rPr>
            <w:noProof/>
            <w:webHidden/>
          </w:rPr>
          <w:t>69</w:t>
        </w:r>
        <w:r>
          <w:rPr>
            <w:noProof/>
            <w:webHidden/>
          </w:rPr>
          <w:fldChar w:fldCharType="end"/>
        </w:r>
      </w:hyperlink>
    </w:p>
    <w:p w14:paraId="301E7972" w14:textId="27E4BBDE"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69" w:history="1">
        <w:r w:rsidRPr="006C75CF">
          <w:rPr>
            <w:rStyle w:val="Hyperlink"/>
            <w:noProof/>
          </w:rPr>
          <w:t>Table 15</w:t>
        </w:r>
        <w:r w:rsidRPr="006C75CF">
          <w:rPr>
            <w:rStyle w:val="Hyperlink"/>
            <w:rFonts w:ascii="Aptos" w:eastAsia="Aptos" w:hAnsi="Aptos" w:cs="Aptos"/>
            <w:i/>
            <w:noProof/>
            <w:lang w:val="en-GB"/>
          </w:rPr>
          <w:t>: TSM interceptions and protocol inventories in the protocol layer.</w:t>
        </w:r>
        <w:r>
          <w:rPr>
            <w:noProof/>
            <w:webHidden/>
          </w:rPr>
          <w:tab/>
        </w:r>
        <w:r>
          <w:rPr>
            <w:noProof/>
            <w:webHidden/>
          </w:rPr>
          <w:fldChar w:fldCharType="begin"/>
        </w:r>
        <w:r>
          <w:rPr>
            <w:noProof/>
            <w:webHidden/>
          </w:rPr>
          <w:instrText xml:space="preserve"> PAGEREF _Toc233112269 \h </w:instrText>
        </w:r>
        <w:r>
          <w:rPr>
            <w:noProof/>
            <w:webHidden/>
          </w:rPr>
        </w:r>
        <w:r>
          <w:rPr>
            <w:noProof/>
            <w:webHidden/>
          </w:rPr>
          <w:fldChar w:fldCharType="separate"/>
        </w:r>
        <w:r w:rsidR="00F8092D">
          <w:rPr>
            <w:noProof/>
            <w:webHidden/>
          </w:rPr>
          <w:t>71</w:t>
        </w:r>
        <w:r>
          <w:rPr>
            <w:noProof/>
            <w:webHidden/>
          </w:rPr>
          <w:fldChar w:fldCharType="end"/>
        </w:r>
      </w:hyperlink>
    </w:p>
    <w:p w14:paraId="1C25DE1D" w14:textId="08D207E5"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70" w:history="1">
        <w:r w:rsidRPr="006C75CF">
          <w:rPr>
            <w:rStyle w:val="Hyperlink"/>
            <w:noProof/>
          </w:rPr>
          <w:t>Table 16</w:t>
        </w:r>
        <w:r w:rsidRPr="006C75CF">
          <w:rPr>
            <w:rStyle w:val="Hyperlink"/>
            <w:rFonts w:ascii="Aptos" w:eastAsia="Aptos" w:hAnsi="Aptos" w:cs="Aptos"/>
            <w:i/>
            <w:noProof/>
            <w:lang w:val="en-GB"/>
          </w:rPr>
          <w:t>: Grid Safety Envelope parameter bounds.</w:t>
        </w:r>
        <w:r>
          <w:rPr>
            <w:noProof/>
            <w:webHidden/>
          </w:rPr>
          <w:tab/>
        </w:r>
        <w:r>
          <w:rPr>
            <w:noProof/>
            <w:webHidden/>
          </w:rPr>
          <w:fldChar w:fldCharType="begin"/>
        </w:r>
        <w:r>
          <w:rPr>
            <w:noProof/>
            <w:webHidden/>
          </w:rPr>
          <w:instrText xml:space="preserve"> PAGEREF _Toc233112270 \h </w:instrText>
        </w:r>
        <w:r>
          <w:rPr>
            <w:noProof/>
            <w:webHidden/>
          </w:rPr>
        </w:r>
        <w:r>
          <w:rPr>
            <w:noProof/>
            <w:webHidden/>
          </w:rPr>
          <w:fldChar w:fldCharType="separate"/>
        </w:r>
        <w:r w:rsidR="00F8092D">
          <w:rPr>
            <w:noProof/>
            <w:webHidden/>
          </w:rPr>
          <w:t>73</w:t>
        </w:r>
        <w:r>
          <w:rPr>
            <w:noProof/>
            <w:webHidden/>
          </w:rPr>
          <w:fldChar w:fldCharType="end"/>
        </w:r>
      </w:hyperlink>
    </w:p>
    <w:p w14:paraId="73C6ADE3" w14:textId="2DB9C434"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71" w:history="1">
        <w:r w:rsidRPr="006C75CF">
          <w:rPr>
            <w:rStyle w:val="Hyperlink"/>
            <w:noProof/>
          </w:rPr>
          <w:t>Table 17</w:t>
        </w:r>
        <w:r w:rsidRPr="006C75CF">
          <w:rPr>
            <w:rStyle w:val="Hyperlink"/>
            <w:rFonts w:ascii="Aptos" w:eastAsia="Aptos" w:hAnsi="Aptos" w:cs="Aptos"/>
            <w:i/>
            <w:noProof/>
            <w:lang w:val="en-GB"/>
          </w:rPr>
          <w:t>: Scenario categorization, sub scenarios, and types of sub scenarios</w:t>
        </w:r>
        <w:r>
          <w:rPr>
            <w:noProof/>
            <w:webHidden/>
          </w:rPr>
          <w:tab/>
        </w:r>
        <w:r>
          <w:rPr>
            <w:noProof/>
            <w:webHidden/>
          </w:rPr>
          <w:fldChar w:fldCharType="begin"/>
        </w:r>
        <w:r>
          <w:rPr>
            <w:noProof/>
            <w:webHidden/>
          </w:rPr>
          <w:instrText xml:space="preserve"> PAGEREF _Toc233112271 \h </w:instrText>
        </w:r>
        <w:r>
          <w:rPr>
            <w:noProof/>
            <w:webHidden/>
          </w:rPr>
        </w:r>
        <w:r>
          <w:rPr>
            <w:noProof/>
            <w:webHidden/>
          </w:rPr>
          <w:fldChar w:fldCharType="separate"/>
        </w:r>
        <w:r w:rsidR="00F8092D">
          <w:rPr>
            <w:noProof/>
            <w:webHidden/>
          </w:rPr>
          <w:t>75</w:t>
        </w:r>
        <w:r>
          <w:rPr>
            <w:noProof/>
            <w:webHidden/>
          </w:rPr>
          <w:fldChar w:fldCharType="end"/>
        </w:r>
      </w:hyperlink>
    </w:p>
    <w:p w14:paraId="2809D5E0" w14:textId="4A1C54C7"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72" w:history="1">
        <w:r w:rsidRPr="006C75CF">
          <w:rPr>
            <w:rStyle w:val="Hyperlink"/>
            <w:noProof/>
          </w:rPr>
          <w:t>Table 18</w:t>
        </w:r>
        <w:r w:rsidRPr="006C75CF">
          <w:rPr>
            <w:rStyle w:val="Hyperlink"/>
            <w:rFonts w:ascii="Aptos" w:eastAsia="Aptos" w:hAnsi="Aptos" w:cs="Aptos"/>
            <w:i/>
            <w:noProof/>
            <w:lang w:val="en-GB"/>
          </w:rPr>
          <w:t>: The summarization of attack scenarios and their impact on TSM enforced trust chain</w:t>
        </w:r>
        <w:r>
          <w:rPr>
            <w:noProof/>
            <w:webHidden/>
          </w:rPr>
          <w:tab/>
        </w:r>
        <w:r>
          <w:rPr>
            <w:noProof/>
            <w:webHidden/>
          </w:rPr>
          <w:fldChar w:fldCharType="begin"/>
        </w:r>
        <w:r>
          <w:rPr>
            <w:noProof/>
            <w:webHidden/>
          </w:rPr>
          <w:instrText xml:space="preserve"> PAGEREF _Toc233112272 \h </w:instrText>
        </w:r>
        <w:r>
          <w:rPr>
            <w:noProof/>
            <w:webHidden/>
          </w:rPr>
        </w:r>
        <w:r>
          <w:rPr>
            <w:noProof/>
            <w:webHidden/>
          </w:rPr>
          <w:fldChar w:fldCharType="separate"/>
        </w:r>
        <w:r w:rsidR="00F8092D">
          <w:rPr>
            <w:noProof/>
            <w:webHidden/>
          </w:rPr>
          <w:t>80</w:t>
        </w:r>
        <w:r>
          <w:rPr>
            <w:noProof/>
            <w:webHidden/>
          </w:rPr>
          <w:fldChar w:fldCharType="end"/>
        </w:r>
      </w:hyperlink>
    </w:p>
    <w:p w14:paraId="1C5EC852" w14:textId="17000725" w:rsidR="0041216A" w:rsidRDefault="0041216A">
      <w:pPr>
        <w:pStyle w:val="TableofFigures"/>
        <w:rPr>
          <w:rFonts w:asciiTheme="minorHAnsi" w:eastAsiaTheme="minorEastAsia" w:hAnsiTheme="minorHAnsi" w:cstheme="minorBidi"/>
          <w:noProof/>
          <w:color w:val="auto"/>
          <w:kern w:val="2"/>
          <w:szCs w:val="24"/>
          <w14:ligatures w14:val="standardContextual"/>
        </w:rPr>
      </w:pPr>
      <w:hyperlink w:anchor="_Toc233112273" w:history="1">
        <w:r w:rsidRPr="006C75CF">
          <w:rPr>
            <w:rStyle w:val="Hyperlink"/>
            <w:noProof/>
          </w:rPr>
          <w:t>Table 19</w:t>
        </w:r>
        <w:r w:rsidRPr="006C75CF">
          <w:rPr>
            <w:rStyle w:val="Hyperlink"/>
            <w:noProof/>
            <w:lang w:val="en-GB"/>
          </w:rPr>
          <w:t>: Challenges and Enabling Technologies for TSM Deployment</w:t>
        </w:r>
        <w:r>
          <w:rPr>
            <w:noProof/>
            <w:webHidden/>
          </w:rPr>
          <w:tab/>
        </w:r>
        <w:r>
          <w:rPr>
            <w:noProof/>
            <w:webHidden/>
          </w:rPr>
          <w:fldChar w:fldCharType="begin"/>
        </w:r>
        <w:r>
          <w:rPr>
            <w:noProof/>
            <w:webHidden/>
          </w:rPr>
          <w:instrText xml:space="preserve"> PAGEREF _Toc233112273 \h </w:instrText>
        </w:r>
        <w:r>
          <w:rPr>
            <w:noProof/>
            <w:webHidden/>
          </w:rPr>
        </w:r>
        <w:r>
          <w:rPr>
            <w:noProof/>
            <w:webHidden/>
          </w:rPr>
          <w:fldChar w:fldCharType="separate"/>
        </w:r>
        <w:r w:rsidR="00F8092D">
          <w:rPr>
            <w:noProof/>
            <w:webHidden/>
          </w:rPr>
          <w:t>97</w:t>
        </w:r>
        <w:r>
          <w:rPr>
            <w:noProof/>
            <w:webHidden/>
          </w:rPr>
          <w:fldChar w:fldCharType="end"/>
        </w:r>
      </w:hyperlink>
    </w:p>
    <w:p w14:paraId="277B4C4B" w14:textId="5F736D9B" w:rsidR="002B4EFB" w:rsidRPr="002B4EFB" w:rsidRDefault="004377AB" w:rsidP="002B4EFB">
      <w:pPr>
        <w:pStyle w:val="BodyText"/>
        <w:rPr>
          <w:lang w:val="en-US"/>
        </w:rPr>
      </w:pPr>
      <w:r>
        <w:rPr>
          <w:lang w:val="en-US"/>
        </w:rPr>
        <w:fldChar w:fldCharType="end"/>
      </w:r>
    </w:p>
    <w:p w14:paraId="0FBE3808" w14:textId="3C54BEFE" w:rsidR="00A943B2" w:rsidRDefault="00A943B2" w:rsidP="00D1044D">
      <w:pPr>
        <w:pStyle w:val="Heading1notnumbered"/>
      </w:pPr>
      <w:bookmarkStart w:id="2" w:name="_Toc315694429"/>
      <w:bookmarkStart w:id="3" w:name="_Toc222954393"/>
      <w:bookmarkStart w:id="4" w:name="_Toc223022296"/>
      <w:bookmarkStart w:id="5" w:name="_Toc234310774"/>
      <w:r w:rsidRPr="008D5E56">
        <w:t>Acknowledgments</w:t>
      </w:r>
      <w:bookmarkEnd w:id="2"/>
      <w:bookmarkEnd w:id="3"/>
      <w:bookmarkEnd w:id="4"/>
      <w:bookmarkEnd w:id="5"/>
    </w:p>
    <w:p w14:paraId="4A5E23E8" w14:textId="77777777" w:rsidR="007E18A8" w:rsidRPr="0091492C" w:rsidRDefault="007E18A8" w:rsidP="0091492C">
      <w:pPr>
        <w:pStyle w:val="BodyText"/>
      </w:pPr>
      <w:r w:rsidRPr="0091492C">
        <w:t>This project was funded by the Commonwealth Scientific and Industrial Research Organisation (CSIRO) under the Australian Research in Power Systems Transition (AR-PST), Topic 9-2 – Power System Cybersecurity program.</w:t>
      </w:r>
    </w:p>
    <w:p w14:paraId="791B2BF6" w14:textId="49C5CE85" w:rsidR="007E18A8" w:rsidRDefault="007E18A8" w:rsidP="0091492C">
      <w:pPr>
        <w:pStyle w:val="BodyText"/>
      </w:pPr>
      <w:r w:rsidRPr="0091492C">
        <w:t>The authors gratefully acknowledge the collaboration and technical contributions of the research teams at Edith Cowan University (ECU) and CSIRO. The project benefited from cross-institutional expertise in power systems</w:t>
      </w:r>
      <w:r w:rsidR="0068761F">
        <w:t>,</w:t>
      </w:r>
      <w:r w:rsidRPr="0091492C">
        <w:t xml:space="preserve"> cybersecurity</w:t>
      </w:r>
      <w:r w:rsidR="0068761F">
        <w:t xml:space="preserve">, </w:t>
      </w:r>
      <w:r w:rsidRPr="0091492C">
        <w:t>and cyber-physical modelling</w:t>
      </w:r>
      <w:r>
        <w:t>.</w:t>
      </w:r>
    </w:p>
    <w:p w14:paraId="5004DD27" w14:textId="57855DB2" w:rsidR="007E18A8" w:rsidRPr="00CE33A3" w:rsidRDefault="007E18A8" w:rsidP="007E18A8">
      <w:pPr>
        <w:pStyle w:val="BodyText"/>
        <w:rPr>
          <w:b/>
          <w:bCs/>
        </w:rPr>
      </w:pPr>
      <w:r w:rsidRPr="00CE33A3">
        <w:rPr>
          <w:b/>
          <w:bCs/>
        </w:rPr>
        <w:t>ECU Research Team</w:t>
      </w:r>
    </w:p>
    <w:tbl>
      <w:tblPr>
        <w:tblStyle w:val="TableCSIRO"/>
        <w:tblW w:w="8966" w:type="dxa"/>
        <w:tblLook w:val="04A0" w:firstRow="1" w:lastRow="0" w:firstColumn="1" w:lastColumn="0" w:noHBand="0" w:noVBand="1"/>
      </w:tblPr>
      <w:tblGrid>
        <w:gridCol w:w="2245"/>
        <w:gridCol w:w="6721"/>
      </w:tblGrid>
      <w:tr w:rsidR="00F742DE" w:rsidRPr="00CE33A3" w14:paraId="631E715E" w14:textId="77777777" w:rsidTr="00CE33A3">
        <w:trPr>
          <w:cnfStyle w:val="100000000000" w:firstRow="1" w:lastRow="0" w:firstColumn="0" w:lastColumn="0" w:oddVBand="0" w:evenVBand="0" w:oddHBand="0"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0" w:type="auto"/>
            <w:hideMark/>
          </w:tcPr>
          <w:p w14:paraId="71C0E39A" w14:textId="77777777" w:rsidR="00CE33A3" w:rsidRPr="00CE33A3" w:rsidRDefault="00CE33A3" w:rsidP="00CE33A3">
            <w:pPr>
              <w:pStyle w:val="BodyText"/>
              <w:rPr>
                <w:color w:val="FFFFFF" w:themeColor="background1"/>
                <w:sz w:val="18"/>
                <w:szCs w:val="18"/>
              </w:rPr>
            </w:pPr>
            <w:r w:rsidRPr="00CE33A3">
              <w:rPr>
                <w:color w:val="FFFFFF" w:themeColor="background1"/>
                <w:sz w:val="18"/>
                <w:szCs w:val="18"/>
              </w:rPr>
              <w:t>Name</w:t>
            </w:r>
          </w:p>
        </w:tc>
        <w:tc>
          <w:tcPr>
            <w:tcW w:w="0" w:type="auto"/>
            <w:hideMark/>
          </w:tcPr>
          <w:p w14:paraId="0FE87007" w14:textId="77777777" w:rsidR="00CE33A3" w:rsidRPr="00CE33A3" w:rsidRDefault="00CE33A3" w:rsidP="00CE33A3">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CE33A3">
              <w:rPr>
                <w:color w:val="FFFFFF" w:themeColor="background1"/>
                <w:sz w:val="18"/>
                <w:szCs w:val="18"/>
              </w:rPr>
              <w:t>Role</w:t>
            </w:r>
          </w:p>
        </w:tc>
      </w:tr>
      <w:tr w:rsidR="00F742DE" w:rsidRPr="00CE33A3" w14:paraId="58C5F759" w14:textId="77777777" w:rsidTr="00CE33A3">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0" w:type="auto"/>
            <w:hideMark/>
          </w:tcPr>
          <w:p w14:paraId="21EFFF2A" w14:textId="58BC2F76" w:rsidR="00CE33A3" w:rsidRPr="00CE33A3" w:rsidRDefault="00036014" w:rsidP="00CE33A3">
            <w:pPr>
              <w:pStyle w:val="BodyText"/>
              <w:rPr>
                <w:sz w:val="18"/>
                <w:szCs w:val="18"/>
              </w:rPr>
            </w:pPr>
            <w:r>
              <w:rPr>
                <w:sz w:val="18"/>
                <w:szCs w:val="18"/>
              </w:rPr>
              <w:t>Prof</w:t>
            </w:r>
            <w:r w:rsidR="00CE33A3" w:rsidRPr="00CE33A3">
              <w:rPr>
                <w:sz w:val="18"/>
                <w:szCs w:val="18"/>
              </w:rPr>
              <w:t>. Helge Janicke</w:t>
            </w:r>
          </w:p>
        </w:tc>
        <w:tc>
          <w:tcPr>
            <w:tcW w:w="0" w:type="auto"/>
            <w:hideMark/>
          </w:tcPr>
          <w:p w14:paraId="0F1CA3D6" w14:textId="777FFE89" w:rsidR="00CE33A3" w:rsidRPr="00CE33A3" w:rsidRDefault="00CE33A3" w:rsidP="00CE33A3">
            <w:pPr>
              <w:pStyle w:val="BodyText"/>
              <w:cnfStyle w:val="000000100000" w:firstRow="0" w:lastRow="0" w:firstColumn="0" w:lastColumn="0" w:oddVBand="0" w:evenVBand="0" w:oddHBand="1" w:evenHBand="0" w:firstRowFirstColumn="0" w:firstRowLastColumn="0" w:lastRowFirstColumn="0" w:lastRowLastColumn="0"/>
              <w:rPr>
                <w:sz w:val="18"/>
                <w:szCs w:val="18"/>
              </w:rPr>
            </w:pPr>
            <w:r w:rsidRPr="00CE33A3">
              <w:rPr>
                <w:sz w:val="18"/>
                <w:szCs w:val="18"/>
              </w:rPr>
              <w:t>Principal Investigator</w:t>
            </w:r>
            <w:r w:rsidR="00F742DE">
              <w:rPr>
                <w:sz w:val="18"/>
                <w:szCs w:val="18"/>
              </w:rPr>
              <w:t xml:space="preserve"> (Cyber Expert)</w:t>
            </w:r>
            <w:r w:rsidR="00CE26B3">
              <w:rPr>
                <w:sz w:val="18"/>
                <w:szCs w:val="18"/>
              </w:rPr>
              <w:t xml:space="preserve"> School of Science ECU</w:t>
            </w:r>
          </w:p>
        </w:tc>
      </w:tr>
      <w:tr w:rsidR="00F742DE" w:rsidRPr="00CE33A3" w14:paraId="6ADE8B83" w14:textId="77777777" w:rsidTr="00CE33A3">
        <w:trPr>
          <w:trHeight w:val="478"/>
        </w:trPr>
        <w:tc>
          <w:tcPr>
            <w:cnfStyle w:val="001000000000" w:firstRow="0" w:lastRow="0" w:firstColumn="1" w:lastColumn="0" w:oddVBand="0" w:evenVBand="0" w:oddHBand="0" w:evenHBand="0" w:firstRowFirstColumn="0" w:firstRowLastColumn="0" w:lastRowFirstColumn="0" w:lastRowLastColumn="0"/>
            <w:tcW w:w="0" w:type="auto"/>
            <w:hideMark/>
          </w:tcPr>
          <w:p w14:paraId="3DAEEA6C" w14:textId="77777777" w:rsidR="00CE33A3" w:rsidRPr="00CE33A3" w:rsidRDefault="00CE33A3" w:rsidP="00CE33A3">
            <w:pPr>
              <w:pStyle w:val="BodyText"/>
              <w:rPr>
                <w:sz w:val="18"/>
                <w:szCs w:val="18"/>
              </w:rPr>
            </w:pPr>
            <w:r w:rsidRPr="00CE33A3">
              <w:rPr>
                <w:sz w:val="18"/>
                <w:szCs w:val="18"/>
              </w:rPr>
              <w:t>Dr. Ahmad Mohsin</w:t>
            </w:r>
          </w:p>
        </w:tc>
        <w:tc>
          <w:tcPr>
            <w:tcW w:w="0" w:type="auto"/>
            <w:hideMark/>
          </w:tcPr>
          <w:p w14:paraId="7A6409F2" w14:textId="32E02B8D" w:rsidR="00CE33A3" w:rsidRPr="00CE33A3" w:rsidRDefault="00CE33A3" w:rsidP="00CE33A3">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CE33A3">
              <w:rPr>
                <w:sz w:val="18"/>
                <w:szCs w:val="18"/>
              </w:rPr>
              <w:t>Chief Investigator</w:t>
            </w:r>
            <w:r w:rsidR="00F742DE">
              <w:rPr>
                <w:sz w:val="18"/>
                <w:szCs w:val="18"/>
              </w:rPr>
              <w:t xml:space="preserve"> (Cyber and Systems)</w:t>
            </w:r>
            <w:r w:rsidR="00CE26B3">
              <w:rPr>
                <w:sz w:val="18"/>
                <w:szCs w:val="18"/>
              </w:rPr>
              <w:t xml:space="preserve">  School of Science ECU</w:t>
            </w:r>
          </w:p>
        </w:tc>
      </w:tr>
      <w:tr w:rsidR="00F742DE" w:rsidRPr="00CE33A3" w14:paraId="0B32A984" w14:textId="77777777" w:rsidTr="00CE33A3">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0" w:type="auto"/>
            <w:hideMark/>
          </w:tcPr>
          <w:p w14:paraId="769B1181" w14:textId="77777777" w:rsidR="00CE33A3" w:rsidRPr="00CE33A3" w:rsidRDefault="00CE33A3" w:rsidP="00CE33A3">
            <w:pPr>
              <w:pStyle w:val="BodyText"/>
              <w:rPr>
                <w:sz w:val="18"/>
                <w:szCs w:val="18"/>
              </w:rPr>
            </w:pPr>
            <w:r w:rsidRPr="00CE33A3">
              <w:rPr>
                <w:sz w:val="18"/>
                <w:szCs w:val="18"/>
              </w:rPr>
              <w:t>Dr. Asma Azhar</w:t>
            </w:r>
          </w:p>
        </w:tc>
        <w:tc>
          <w:tcPr>
            <w:tcW w:w="0" w:type="auto"/>
            <w:hideMark/>
          </w:tcPr>
          <w:p w14:paraId="35FB77E0" w14:textId="7DAE048C" w:rsidR="00CE33A3" w:rsidRPr="00CE33A3" w:rsidRDefault="00CE33A3" w:rsidP="00CE33A3">
            <w:pPr>
              <w:pStyle w:val="BodyText"/>
              <w:cnfStyle w:val="000000100000" w:firstRow="0" w:lastRow="0" w:firstColumn="0" w:lastColumn="0" w:oddVBand="0" w:evenVBand="0" w:oddHBand="1" w:evenHBand="0" w:firstRowFirstColumn="0" w:firstRowLastColumn="0" w:lastRowFirstColumn="0" w:lastRowLastColumn="0"/>
              <w:rPr>
                <w:sz w:val="18"/>
                <w:szCs w:val="18"/>
              </w:rPr>
            </w:pPr>
            <w:r w:rsidRPr="00CE33A3">
              <w:rPr>
                <w:sz w:val="18"/>
                <w:szCs w:val="18"/>
              </w:rPr>
              <w:t>Chief Investigator</w:t>
            </w:r>
            <w:r w:rsidR="00F742DE">
              <w:rPr>
                <w:sz w:val="18"/>
                <w:szCs w:val="18"/>
              </w:rPr>
              <w:t xml:space="preserve"> (Power Systems)</w:t>
            </w:r>
            <w:r w:rsidR="00CE26B3">
              <w:rPr>
                <w:sz w:val="18"/>
                <w:szCs w:val="18"/>
              </w:rPr>
              <w:t xml:space="preserve"> School of Engineering ECU</w:t>
            </w:r>
          </w:p>
        </w:tc>
      </w:tr>
      <w:tr w:rsidR="00F742DE" w:rsidRPr="00CE33A3" w14:paraId="44783B99" w14:textId="77777777" w:rsidTr="00CE33A3">
        <w:trPr>
          <w:trHeight w:val="478"/>
        </w:trPr>
        <w:tc>
          <w:tcPr>
            <w:cnfStyle w:val="001000000000" w:firstRow="0" w:lastRow="0" w:firstColumn="1" w:lastColumn="0" w:oddVBand="0" w:evenVBand="0" w:oddHBand="0" w:evenHBand="0" w:firstRowFirstColumn="0" w:firstRowLastColumn="0" w:lastRowFirstColumn="0" w:lastRowLastColumn="0"/>
            <w:tcW w:w="0" w:type="auto"/>
            <w:hideMark/>
          </w:tcPr>
          <w:p w14:paraId="319DD7F7" w14:textId="77777777" w:rsidR="00CE33A3" w:rsidRPr="00CE33A3" w:rsidRDefault="00CE33A3" w:rsidP="00CE33A3">
            <w:pPr>
              <w:pStyle w:val="BodyText"/>
              <w:rPr>
                <w:sz w:val="18"/>
                <w:szCs w:val="18"/>
              </w:rPr>
            </w:pPr>
            <w:r w:rsidRPr="00CE33A3">
              <w:rPr>
                <w:sz w:val="18"/>
                <w:szCs w:val="18"/>
              </w:rPr>
              <w:t>Dr. Iqbal Sarker</w:t>
            </w:r>
          </w:p>
        </w:tc>
        <w:tc>
          <w:tcPr>
            <w:tcW w:w="0" w:type="auto"/>
            <w:hideMark/>
          </w:tcPr>
          <w:p w14:paraId="0F72DC40" w14:textId="3B562126" w:rsidR="00CE33A3" w:rsidRPr="00CE33A3" w:rsidRDefault="00CE33A3" w:rsidP="00CE33A3">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CE33A3">
              <w:rPr>
                <w:sz w:val="18"/>
                <w:szCs w:val="18"/>
              </w:rPr>
              <w:t>Chief Investigator</w:t>
            </w:r>
            <w:r w:rsidR="00F742DE">
              <w:rPr>
                <w:sz w:val="18"/>
                <w:szCs w:val="18"/>
              </w:rPr>
              <w:t xml:space="preserve"> (Cyber)</w:t>
            </w:r>
            <w:r w:rsidR="00CE26B3">
              <w:rPr>
                <w:sz w:val="18"/>
                <w:szCs w:val="18"/>
              </w:rPr>
              <w:t xml:space="preserve"> School of Science ECU</w:t>
            </w:r>
          </w:p>
        </w:tc>
      </w:tr>
      <w:tr w:rsidR="00F742DE" w:rsidRPr="00CE33A3" w14:paraId="40F5FA6A" w14:textId="77777777" w:rsidTr="00CE33A3">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0" w:type="auto"/>
            <w:hideMark/>
          </w:tcPr>
          <w:p w14:paraId="539326D6" w14:textId="77777777" w:rsidR="00CE33A3" w:rsidRPr="00CE33A3" w:rsidRDefault="00CE33A3" w:rsidP="00CE33A3">
            <w:pPr>
              <w:pStyle w:val="BodyText"/>
              <w:rPr>
                <w:sz w:val="18"/>
                <w:szCs w:val="18"/>
              </w:rPr>
            </w:pPr>
            <w:r w:rsidRPr="00CE33A3">
              <w:rPr>
                <w:sz w:val="18"/>
                <w:szCs w:val="18"/>
              </w:rPr>
              <w:t>Dr. Ahmed Ibrahim</w:t>
            </w:r>
          </w:p>
        </w:tc>
        <w:tc>
          <w:tcPr>
            <w:tcW w:w="0" w:type="auto"/>
            <w:hideMark/>
          </w:tcPr>
          <w:p w14:paraId="4F45B9CE" w14:textId="5285B5E3" w:rsidR="00CE33A3" w:rsidRPr="00CE33A3" w:rsidRDefault="00CE33A3" w:rsidP="00CE33A3">
            <w:pPr>
              <w:pStyle w:val="BodyText"/>
              <w:cnfStyle w:val="000000100000" w:firstRow="0" w:lastRow="0" w:firstColumn="0" w:lastColumn="0" w:oddVBand="0" w:evenVBand="0" w:oddHBand="1" w:evenHBand="0" w:firstRowFirstColumn="0" w:firstRowLastColumn="0" w:lastRowFirstColumn="0" w:lastRowLastColumn="0"/>
              <w:rPr>
                <w:sz w:val="18"/>
                <w:szCs w:val="18"/>
              </w:rPr>
            </w:pPr>
            <w:r w:rsidRPr="00CE33A3">
              <w:rPr>
                <w:sz w:val="18"/>
                <w:szCs w:val="18"/>
              </w:rPr>
              <w:t>Chief Investigator</w:t>
            </w:r>
            <w:r w:rsidR="00F742DE">
              <w:rPr>
                <w:sz w:val="18"/>
                <w:szCs w:val="18"/>
              </w:rPr>
              <w:t xml:space="preserve"> (Cyber)</w:t>
            </w:r>
            <w:r w:rsidR="00CE26B3">
              <w:rPr>
                <w:sz w:val="18"/>
                <w:szCs w:val="18"/>
              </w:rPr>
              <w:t xml:space="preserve"> School of Science ECU</w:t>
            </w:r>
          </w:p>
        </w:tc>
      </w:tr>
      <w:tr w:rsidR="00F742DE" w:rsidRPr="00CE33A3" w14:paraId="6EEE4A72" w14:textId="77777777" w:rsidTr="00CE33A3">
        <w:trPr>
          <w:trHeight w:val="478"/>
        </w:trPr>
        <w:tc>
          <w:tcPr>
            <w:cnfStyle w:val="001000000000" w:firstRow="0" w:lastRow="0" w:firstColumn="1" w:lastColumn="0" w:oddVBand="0" w:evenVBand="0" w:oddHBand="0" w:evenHBand="0" w:firstRowFirstColumn="0" w:firstRowLastColumn="0" w:lastRowFirstColumn="0" w:lastRowLastColumn="0"/>
            <w:tcW w:w="0" w:type="auto"/>
            <w:hideMark/>
          </w:tcPr>
          <w:p w14:paraId="37948189" w14:textId="77777777" w:rsidR="00CE33A3" w:rsidRPr="00CE33A3" w:rsidRDefault="00CE33A3" w:rsidP="00CE33A3">
            <w:pPr>
              <w:pStyle w:val="BodyText"/>
              <w:rPr>
                <w:sz w:val="18"/>
                <w:szCs w:val="18"/>
              </w:rPr>
            </w:pPr>
            <w:r w:rsidRPr="00CE33A3">
              <w:rPr>
                <w:sz w:val="18"/>
                <w:szCs w:val="18"/>
              </w:rPr>
              <w:t>Muhammad Ikram</w:t>
            </w:r>
          </w:p>
        </w:tc>
        <w:tc>
          <w:tcPr>
            <w:tcW w:w="0" w:type="auto"/>
            <w:hideMark/>
          </w:tcPr>
          <w:p w14:paraId="573A341E" w14:textId="2AFD0968" w:rsidR="00CE33A3" w:rsidRPr="00CE33A3" w:rsidRDefault="00CE33A3" w:rsidP="00CE33A3">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CE33A3">
              <w:rPr>
                <w:sz w:val="18"/>
                <w:szCs w:val="18"/>
              </w:rPr>
              <w:t>Research Associate</w:t>
            </w:r>
            <w:r w:rsidR="00F742DE">
              <w:rPr>
                <w:sz w:val="18"/>
                <w:szCs w:val="18"/>
              </w:rPr>
              <w:t xml:space="preserve"> (Power Systems)</w:t>
            </w:r>
            <w:r w:rsidR="00CE26B3">
              <w:rPr>
                <w:sz w:val="18"/>
                <w:szCs w:val="18"/>
              </w:rPr>
              <w:t xml:space="preserve"> School of Engineering ECU</w:t>
            </w:r>
          </w:p>
        </w:tc>
      </w:tr>
      <w:tr w:rsidR="00F742DE" w:rsidRPr="00CE33A3" w14:paraId="679F4844" w14:textId="77777777" w:rsidTr="00CE33A3">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0" w:type="auto"/>
            <w:hideMark/>
          </w:tcPr>
          <w:p w14:paraId="46AAF8AA" w14:textId="77777777" w:rsidR="00CE33A3" w:rsidRPr="00CE33A3" w:rsidRDefault="00CE33A3" w:rsidP="00CE33A3">
            <w:pPr>
              <w:pStyle w:val="BodyText"/>
              <w:rPr>
                <w:sz w:val="18"/>
                <w:szCs w:val="18"/>
              </w:rPr>
            </w:pPr>
            <w:r w:rsidRPr="00CE33A3">
              <w:rPr>
                <w:sz w:val="18"/>
                <w:szCs w:val="18"/>
              </w:rPr>
              <w:t>Dr. Ali Hur</w:t>
            </w:r>
          </w:p>
        </w:tc>
        <w:tc>
          <w:tcPr>
            <w:tcW w:w="0" w:type="auto"/>
            <w:hideMark/>
          </w:tcPr>
          <w:p w14:paraId="28127856" w14:textId="070A1414" w:rsidR="00CE33A3" w:rsidRPr="00CE33A3" w:rsidRDefault="00CE33A3" w:rsidP="00CE33A3">
            <w:pPr>
              <w:pStyle w:val="BodyText"/>
              <w:cnfStyle w:val="000000100000" w:firstRow="0" w:lastRow="0" w:firstColumn="0" w:lastColumn="0" w:oddVBand="0" w:evenVBand="0" w:oddHBand="1" w:evenHBand="0" w:firstRowFirstColumn="0" w:firstRowLastColumn="0" w:lastRowFirstColumn="0" w:lastRowLastColumn="0"/>
              <w:rPr>
                <w:sz w:val="18"/>
                <w:szCs w:val="18"/>
              </w:rPr>
            </w:pPr>
            <w:r w:rsidRPr="00CE33A3">
              <w:rPr>
                <w:sz w:val="18"/>
                <w:szCs w:val="18"/>
              </w:rPr>
              <w:t>Research Associate</w:t>
            </w:r>
            <w:r w:rsidR="00F742DE">
              <w:rPr>
                <w:sz w:val="18"/>
                <w:szCs w:val="18"/>
              </w:rPr>
              <w:t xml:space="preserve"> (Cyber)</w:t>
            </w:r>
            <w:r w:rsidR="00CE26B3">
              <w:rPr>
                <w:sz w:val="18"/>
                <w:szCs w:val="18"/>
              </w:rPr>
              <w:t xml:space="preserve"> School of Science ECU</w:t>
            </w:r>
          </w:p>
        </w:tc>
      </w:tr>
    </w:tbl>
    <w:p w14:paraId="6A3431B3" w14:textId="77777777" w:rsidR="007E18A8" w:rsidRDefault="007E18A8" w:rsidP="007E18A8">
      <w:pPr>
        <w:pStyle w:val="BodyText"/>
      </w:pPr>
    </w:p>
    <w:p w14:paraId="2F68BF74" w14:textId="7FF41C37" w:rsidR="00A8014F" w:rsidRDefault="00A8014F" w:rsidP="00A8014F">
      <w:pPr>
        <w:pStyle w:val="BodyText"/>
        <w:rPr>
          <w:b/>
          <w:bCs/>
        </w:rPr>
      </w:pPr>
      <w:r>
        <w:rPr>
          <w:b/>
          <w:bCs/>
        </w:rPr>
        <w:t>CSIRO Collaborators</w:t>
      </w:r>
    </w:p>
    <w:tbl>
      <w:tblPr>
        <w:tblStyle w:val="TableCSIRO"/>
        <w:tblW w:w="8966" w:type="dxa"/>
        <w:tblLook w:val="04A0" w:firstRow="1" w:lastRow="0" w:firstColumn="1" w:lastColumn="0" w:noHBand="0" w:noVBand="1"/>
      </w:tblPr>
      <w:tblGrid>
        <w:gridCol w:w="4932"/>
        <w:gridCol w:w="4034"/>
      </w:tblGrid>
      <w:tr w:rsidR="00A8014F" w:rsidRPr="00CE33A3" w14:paraId="30F2F8D4" w14:textId="77777777" w:rsidTr="00F92136">
        <w:trPr>
          <w:cnfStyle w:val="100000000000" w:firstRow="1" w:lastRow="0" w:firstColumn="0" w:lastColumn="0" w:oddVBand="0" w:evenVBand="0" w:oddHBand="0"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0" w:type="auto"/>
            <w:hideMark/>
          </w:tcPr>
          <w:p w14:paraId="3311ACDA" w14:textId="77777777" w:rsidR="00A8014F" w:rsidRPr="00CE33A3" w:rsidRDefault="00A8014F" w:rsidP="00F92136">
            <w:pPr>
              <w:pStyle w:val="BodyText"/>
              <w:rPr>
                <w:color w:val="FFFFFF" w:themeColor="background1"/>
                <w:sz w:val="18"/>
                <w:szCs w:val="18"/>
              </w:rPr>
            </w:pPr>
            <w:r w:rsidRPr="00CE33A3">
              <w:rPr>
                <w:color w:val="FFFFFF" w:themeColor="background1"/>
                <w:sz w:val="18"/>
                <w:szCs w:val="18"/>
              </w:rPr>
              <w:t>Name</w:t>
            </w:r>
          </w:p>
        </w:tc>
        <w:tc>
          <w:tcPr>
            <w:tcW w:w="0" w:type="auto"/>
            <w:hideMark/>
          </w:tcPr>
          <w:p w14:paraId="4820E4B6" w14:textId="77777777" w:rsidR="00A8014F" w:rsidRPr="00CE33A3" w:rsidRDefault="00A8014F" w:rsidP="00F92136">
            <w:pPr>
              <w:pStyle w:val="BodyText"/>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CE33A3">
              <w:rPr>
                <w:color w:val="FFFFFF" w:themeColor="background1"/>
                <w:sz w:val="18"/>
                <w:szCs w:val="18"/>
              </w:rPr>
              <w:t>Role</w:t>
            </w:r>
          </w:p>
        </w:tc>
      </w:tr>
      <w:tr w:rsidR="00A8014F" w:rsidRPr="00CE33A3" w14:paraId="7ED2C4B6" w14:textId="77777777" w:rsidTr="00A8014F">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0" w:type="auto"/>
          </w:tcPr>
          <w:p w14:paraId="7440A744" w14:textId="39032473" w:rsidR="00A8014F" w:rsidRPr="00CE33A3" w:rsidRDefault="00A8014F" w:rsidP="00F92136">
            <w:pPr>
              <w:pStyle w:val="BodyText"/>
              <w:rPr>
                <w:sz w:val="18"/>
                <w:szCs w:val="18"/>
              </w:rPr>
            </w:pPr>
          </w:p>
        </w:tc>
        <w:tc>
          <w:tcPr>
            <w:tcW w:w="0" w:type="auto"/>
          </w:tcPr>
          <w:p w14:paraId="6F5DDC21" w14:textId="11244F4E" w:rsidR="00A8014F" w:rsidRPr="00CE33A3" w:rsidRDefault="00A8014F" w:rsidP="00F92136">
            <w:pPr>
              <w:pStyle w:val="BodyText"/>
              <w:cnfStyle w:val="000000100000" w:firstRow="0" w:lastRow="0" w:firstColumn="0" w:lastColumn="0" w:oddVBand="0" w:evenVBand="0" w:oddHBand="1" w:evenHBand="0" w:firstRowFirstColumn="0" w:firstRowLastColumn="0" w:lastRowFirstColumn="0" w:lastRowLastColumn="0"/>
              <w:rPr>
                <w:sz w:val="18"/>
                <w:szCs w:val="18"/>
              </w:rPr>
            </w:pPr>
          </w:p>
        </w:tc>
      </w:tr>
      <w:tr w:rsidR="00A8014F" w:rsidRPr="00CE33A3" w14:paraId="09339F75" w14:textId="77777777" w:rsidTr="00A8014F">
        <w:trPr>
          <w:trHeight w:val="478"/>
        </w:trPr>
        <w:tc>
          <w:tcPr>
            <w:cnfStyle w:val="001000000000" w:firstRow="0" w:lastRow="0" w:firstColumn="1" w:lastColumn="0" w:oddVBand="0" w:evenVBand="0" w:oddHBand="0" w:evenHBand="0" w:firstRowFirstColumn="0" w:firstRowLastColumn="0" w:lastRowFirstColumn="0" w:lastRowLastColumn="0"/>
            <w:tcW w:w="0" w:type="auto"/>
          </w:tcPr>
          <w:p w14:paraId="76D17B84" w14:textId="5C584E49" w:rsidR="00A8014F" w:rsidRPr="00CE33A3" w:rsidRDefault="00A8014F" w:rsidP="00F92136">
            <w:pPr>
              <w:pStyle w:val="BodyText"/>
              <w:rPr>
                <w:sz w:val="18"/>
                <w:szCs w:val="18"/>
              </w:rPr>
            </w:pPr>
          </w:p>
        </w:tc>
        <w:tc>
          <w:tcPr>
            <w:tcW w:w="0" w:type="auto"/>
          </w:tcPr>
          <w:p w14:paraId="5D7C6B77" w14:textId="489A23B2" w:rsidR="00A8014F" w:rsidRPr="00CE33A3" w:rsidRDefault="00A8014F" w:rsidP="00F92136">
            <w:pPr>
              <w:pStyle w:val="BodyText"/>
              <w:cnfStyle w:val="000000000000" w:firstRow="0" w:lastRow="0" w:firstColumn="0" w:lastColumn="0" w:oddVBand="0" w:evenVBand="0" w:oddHBand="0" w:evenHBand="0" w:firstRowFirstColumn="0" w:firstRowLastColumn="0" w:lastRowFirstColumn="0" w:lastRowLastColumn="0"/>
              <w:rPr>
                <w:sz w:val="18"/>
                <w:szCs w:val="18"/>
              </w:rPr>
            </w:pPr>
          </w:p>
        </w:tc>
      </w:tr>
      <w:tr w:rsidR="00A8014F" w:rsidRPr="00CE33A3" w14:paraId="392BC0FF" w14:textId="77777777" w:rsidTr="00A8014F">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0" w:type="auto"/>
          </w:tcPr>
          <w:p w14:paraId="1C78FC36" w14:textId="6260BBAA" w:rsidR="00A8014F" w:rsidRPr="00CE33A3" w:rsidRDefault="00A8014F" w:rsidP="00F92136">
            <w:pPr>
              <w:pStyle w:val="BodyText"/>
              <w:rPr>
                <w:sz w:val="18"/>
                <w:szCs w:val="18"/>
              </w:rPr>
            </w:pPr>
          </w:p>
        </w:tc>
        <w:tc>
          <w:tcPr>
            <w:tcW w:w="0" w:type="auto"/>
          </w:tcPr>
          <w:p w14:paraId="687059A3" w14:textId="42C03291" w:rsidR="00A8014F" w:rsidRPr="00CE33A3" w:rsidRDefault="00A8014F" w:rsidP="00F92136">
            <w:pPr>
              <w:pStyle w:val="BodyText"/>
              <w:cnfStyle w:val="000000100000" w:firstRow="0" w:lastRow="0" w:firstColumn="0" w:lastColumn="0" w:oddVBand="0" w:evenVBand="0" w:oddHBand="1" w:evenHBand="0" w:firstRowFirstColumn="0" w:firstRowLastColumn="0" w:lastRowFirstColumn="0" w:lastRowLastColumn="0"/>
              <w:rPr>
                <w:sz w:val="18"/>
                <w:szCs w:val="18"/>
              </w:rPr>
            </w:pPr>
          </w:p>
        </w:tc>
      </w:tr>
      <w:tr w:rsidR="00A8014F" w:rsidRPr="00CE33A3" w14:paraId="2772ABD7" w14:textId="77777777" w:rsidTr="00A8014F">
        <w:trPr>
          <w:trHeight w:val="478"/>
        </w:trPr>
        <w:tc>
          <w:tcPr>
            <w:cnfStyle w:val="001000000000" w:firstRow="0" w:lastRow="0" w:firstColumn="1" w:lastColumn="0" w:oddVBand="0" w:evenVBand="0" w:oddHBand="0" w:evenHBand="0" w:firstRowFirstColumn="0" w:firstRowLastColumn="0" w:lastRowFirstColumn="0" w:lastRowLastColumn="0"/>
            <w:tcW w:w="0" w:type="auto"/>
          </w:tcPr>
          <w:p w14:paraId="5E97B700" w14:textId="5A79DEAB" w:rsidR="00A8014F" w:rsidRPr="00CE33A3" w:rsidRDefault="00A8014F" w:rsidP="00F92136">
            <w:pPr>
              <w:pStyle w:val="BodyText"/>
              <w:rPr>
                <w:sz w:val="18"/>
                <w:szCs w:val="18"/>
              </w:rPr>
            </w:pPr>
          </w:p>
        </w:tc>
        <w:tc>
          <w:tcPr>
            <w:tcW w:w="0" w:type="auto"/>
          </w:tcPr>
          <w:p w14:paraId="7D5455F6" w14:textId="340C648A" w:rsidR="00A8014F" w:rsidRPr="00CE33A3" w:rsidRDefault="00A8014F" w:rsidP="00F92136">
            <w:pPr>
              <w:pStyle w:val="BodyText"/>
              <w:cnfStyle w:val="000000000000" w:firstRow="0" w:lastRow="0" w:firstColumn="0" w:lastColumn="0" w:oddVBand="0" w:evenVBand="0" w:oddHBand="0" w:evenHBand="0" w:firstRowFirstColumn="0" w:firstRowLastColumn="0" w:lastRowFirstColumn="0" w:lastRowLastColumn="0"/>
              <w:rPr>
                <w:sz w:val="18"/>
                <w:szCs w:val="18"/>
              </w:rPr>
            </w:pPr>
          </w:p>
        </w:tc>
      </w:tr>
      <w:tr w:rsidR="00A8014F" w:rsidRPr="00CE33A3" w14:paraId="60631BA6" w14:textId="77777777" w:rsidTr="00A8014F">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0" w:type="auto"/>
          </w:tcPr>
          <w:p w14:paraId="7537191D" w14:textId="5496FC71" w:rsidR="00A8014F" w:rsidRPr="00CE33A3" w:rsidRDefault="00A8014F" w:rsidP="00F92136">
            <w:pPr>
              <w:pStyle w:val="BodyText"/>
              <w:rPr>
                <w:sz w:val="18"/>
                <w:szCs w:val="18"/>
              </w:rPr>
            </w:pPr>
          </w:p>
        </w:tc>
        <w:tc>
          <w:tcPr>
            <w:tcW w:w="0" w:type="auto"/>
          </w:tcPr>
          <w:p w14:paraId="5DCB6EB6" w14:textId="10602C7A" w:rsidR="00A8014F" w:rsidRPr="00CE33A3" w:rsidRDefault="00A8014F" w:rsidP="00F92136">
            <w:pPr>
              <w:pStyle w:val="BodyText"/>
              <w:cnfStyle w:val="000000100000" w:firstRow="0" w:lastRow="0" w:firstColumn="0" w:lastColumn="0" w:oddVBand="0" w:evenVBand="0" w:oddHBand="1" w:evenHBand="0" w:firstRowFirstColumn="0" w:firstRowLastColumn="0" w:lastRowFirstColumn="0" w:lastRowLastColumn="0"/>
              <w:rPr>
                <w:sz w:val="18"/>
                <w:szCs w:val="18"/>
              </w:rPr>
            </w:pPr>
          </w:p>
        </w:tc>
      </w:tr>
      <w:tr w:rsidR="00A8014F" w:rsidRPr="00CE33A3" w14:paraId="30DAE0CC" w14:textId="77777777" w:rsidTr="00A8014F">
        <w:trPr>
          <w:trHeight w:val="478"/>
        </w:trPr>
        <w:tc>
          <w:tcPr>
            <w:cnfStyle w:val="001000000000" w:firstRow="0" w:lastRow="0" w:firstColumn="1" w:lastColumn="0" w:oddVBand="0" w:evenVBand="0" w:oddHBand="0" w:evenHBand="0" w:firstRowFirstColumn="0" w:firstRowLastColumn="0" w:lastRowFirstColumn="0" w:lastRowLastColumn="0"/>
            <w:tcW w:w="0" w:type="auto"/>
          </w:tcPr>
          <w:p w14:paraId="55289FD9" w14:textId="47905D44" w:rsidR="00A8014F" w:rsidRPr="00CE33A3" w:rsidRDefault="00A8014F" w:rsidP="00F92136">
            <w:pPr>
              <w:pStyle w:val="BodyText"/>
              <w:rPr>
                <w:sz w:val="18"/>
                <w:szCs w:val="18"/>
              </w:rPr>
            </w:pPr>
          </w:p>
        </w:tc>
        <w:tc>
          <w:tcPr>
            <w:tcW w:w="0" w:type="auto"/>
          </w:tcPr>
          <w:p w14:paraId="12891AEE" w14:textId="3F5F56C3" w:rsidR="00A8014F" w:rsidRPr="00CE33A3" w:rsidRDefault="00A8014F" w:rsidP="00F92136">
            <w:pPr>
              <w:pStyle w:val="BodyText"/>
              <w:cnfStyle w:val="000000000000" w:firstRow="0" w:lastRow="0" w:firstColumn="0" w:lastColumn="0" w:oddVBand="0" w:evenVBand="0" w:oddHBand="0" w:evenHBand="0" w:firstRowFirstColumn="0" w:firstRowLastColumn="0" w:lastRowFirstColumn="0" w:lastRowLastColumn="0"/>
              <w:rPr>
                <w:sz w:val="18"/>
                <w:szCs w:val="18"/>
              </w:rPr>
            </w:pPr>
          </w:p>
        </w:tc>
      </w:tr>
      <w:tr w:rsidR="00A8014F" w:rsidRPr="00CE33A3" w14:paraId="45C948E9" w14:textId="77777777" w:rsidTr="00A8014F">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0" w:type="auto"/>
          </w:tcPr>
          <w:p w14:paraId="57EEBEC3" w14:textId="07BBD920" w:rsidR="00A8014F" w:rsidRPr="00CE33A3" w:rsidRDefault="00A8014F" w:rsidP="00F92136">
            <w:pPr>
              <w:pStyle w:val="BodyText"/>
              <w:rPr>
                <w:sz w:val="18"/>
                <w:szCs w:val="18"/>
              </w:rPr>
            </w:pPr>
          </w:p>
        </w:tc>
        <w:tc>
          <w:tcPr>
            <w:tcW w:w="0" w:type="auto"/>
          </w:tcPr>
          <w:p w14:paraId="7D1911B5" w14:textId="0856DF29" w:rsidR="00A8014F" w:rsidRPr="00CE33A3" w:rsidRDefault="00A8014F" w:rsidP="00F92136">
            <w:pPr>
              <w:pStyle w:val="BodyText"/>
              <w:cnfStyle w:val="000000100000" w:firstRow="0" w:lastRow="0" w:firstColumn="0" w:lastColumn="0" w:oddVBand="0" w:evenVBand="0" w:oddHBand="1" w:evenHBand="0" w:firstRowFirstColumn="0" w:firstRowLastColumn="0" w:lastRowFirstColumn="0" w:lastRowLastColumn="0"/>
              <w:rPr>
                <w:sz w:val="18"/>
                <w:szCs w:val="18"/>
              </w:rPr>
            </w:pPr>
          </w:p>
        </w:tc>
      </w:tr>
    </w:tbl>
    <w:p w14:paraId="7E05D43A" w14:textId="77777777" w:rsidR="00906E8C" w:rsidRPr="007E18A8" w:rsidRDefault="00906E8C" w:rsidP="007E18A8">
      <w:pPr>
        <w:pStyle w:val="BodyText"/>
      </w:pPr>
    </w:p>
    <w:p w14:paraId="11549A6B" w14:textId="2C994A2D" w:rsidR="00A943B2" w:rsidRDefault="00A943B2" w:rsidP="00D1044D">
      <w:pPr>
        <w:pStyle w:val="Heading1notnumbered"/>
        <w:rPr>
          <w:rFonts w:asciiTheme="minorHAnsi" w:eastAsiaTheme="minorEastAsia" w:hAnsiTheme="minorHAnsi" w:cstheme="minorBidi"/>
        </w:rPr>
      </w:pPr>
      <w:bookmarkStart w:id="6" w:name="_Toc315694430"/>
      <w:bookmarkStart w:id="7" w:name="_Toc222954394"/>
      <w:bookmarkStart w:id="8" w:name="_Toc223022297"/>
      <w:bookmarkStart w:id="9" w:name="_Toc234310775"/>
      <w:r>
        <w:t>Executive summary</w:t>
      </w:r>
      <w:bookmarkEnd w:id="6"/>
      <w:bookmarkEnd w:id="7"/>
      <w:bookmarkEnd w:id="8"/>
      <w:bookmarkEnd w:id="9"/>
    </w:p>
    <w:p w14:paraId="32E0A8C3" w14:textId="25F0B769" w:rsidR="002A7189" w:rsidRPr="00AE160E" w:rsidRDefault="002A7189" w:rsidP="00AE160E">
      <w:pPr>
        <w:pStyle w:val="BodyText"/>
        <w:jc w:val="both"/>
      </w:pPr>
      <w:r w:rsidRPr="00696D29">
        <w:rPr>
          <w:lang w:eastAsia="en-GB"/>
        </w:rPr>
        <w:t>This report presents the findings of the AR-PST Stage 5 project Securing DER Stability via Trusted Sovereign Monitor (TSM), funded by AEMO, CSIRO</w:t>
      </w:r>
      <w:r w:rsidR="00AE160E">
        <w:t>,</w:t>
      </w:r>
      <w:r w:rsidRPr="00696D29">
        <w:rPr>
          <w:lang w:eastAsia="en-GB"/>
        </w:rPr>
        <w:t xml:space="preserve"> and ECU. The project addresses </w:t>
      </w:r>
      <w:r w:rsidR="00696D29" w:rsidRPr="00AE160E">
        <w:t>the growing</w:t>
      </w:r>
      <w:r w:rsidRPr="00AE160E">
        <w:t xml:space="preserve"> need to secure Australia’s energy infrastructure as the power system becomes increasingly dependent on renewable and distributed energy resources (DER). Its central concern is the cybersecurity and sovereign control implications of this transition. </w:t>
      </w:r>
      <w:r w:rsidR="00696D29" w:rsidRPr="00AE160E">
        <w:t>The particular focus</w:t>
      </w:r>
      <w:r w:rsidRPr="00AE160E">
        <w:t xml:space="preserve"> is on electric vehicle charging infrastructure (EVCI), as these are high-power assets with multiple digital connections and the potential to cause physical disruption and affect the stability of Australia’s electricity grid.</w:t>
      </w:r>
    </w:p>
    <w:p w14:paraId="6FB6FDFB" w14:textId="60834749" w:rsidR="002A7189" w:rsidRPr="00AE160E" w:rsidRDefault="002A7189" w:rsidP="00AE160E">
      <w:pPr>
        <w:pStyle w:val="BodyText"/>
        <w:jc w:val="both"/>
      </w:pPr>
      <w:r w:rsidRPr="00696D29">
        <w:rPr>
          <w:lang w:eastAsia="en-GB"/>
        </w:rPr>
        <w:t>A key issue examined in this work is Australia’s reliance on third parties and foreign nations in the operation of its evolving power system. Most consumer-owned energy resources, including EV chargers, are not made in Australia. They are supplied, and in some cases partly operated or controlled, by original equipment manufacturers (OEMs) located overseas, predominantly in China and the EU. In a power grid projected to exceed 80 per cent DER penetration by 2030, this dependency has direct implications for national security, operational resilience</w:t>
      </w:r>
      <w:r w:rsidR="00AE160E">
        <w:t>,</w:t>
      </w:r>
      <w:r w:rsidRPr="00696D29">
        <w:rPr>
          <w:lang w:eastAsia="en-GB"/>
        </w:rPr>
        <w:t xml:space="preserve"> and Australia’s ability to maintain effective control of critical infrastructure without the cooperation of other </w:t>
      </w:r>
      <w:r w:rsidR="00AE160E" w:rsidRPr="00696D29">
        <w:rPr>
          <w:lang w:eastAsia="en-GB"/>
        </w:rPr>
        <w:t>nation</w:t>
      </w:r>
      <w:r w:rsidR="00AE160E">
        <w:t>-</w:t>
      </w:r>
      <w:r w:rsidR="00AE160E" w:rsidRPr="00696D29">
        <w:rPr>
          <w:lang w:eastAsia="en-GB"/>
        </w:rPr>
        <w:t>states</w:t>
      </w:r>
      <w:r w:rsidRPr="00696D29">
        <w:rPr>
          <w:lang w:eastAsia="en-GB"/>
        </w:rPr>
        <w:t>.</w:t>
      </w:r>
    </w:p>
    <w:p w14:paraId="5A3A686A" w14:textId="1576499E" w:rsidR="002A7189" w:rsidRPr="00AE160E" w:rsidRDefault="002A7189" w:rsidP="00AE160E">
      <w:pPr>
        <w:pStyle w:val="BodyText"/>
        <w:jc w:val="both"/>
      </w:pPr>
      <w:r w:rsidRPr="00696D29">
        <w:rPr>
          <w:lang w:eastAsia="en-GB"/>
        </w:rPr>
        <w:t xml:space="preserve">This work confirms that electric vehicle charging infrastructure presents a significant </w:t>
      </w:r>
      <w:r w:rsidR="00696D29" w:rsidRPr="00AE160E">
        <w:t>cyber risk to Australia’s future energy system. The project identified and assessed a range of threats affecting EVCI in Australia and internationally. These threats were systematically analysed using established cybersecurity methods and publicly available material. The work shows</w:t>
      </w:r>
      <w:r w:rsidRPr="00AE160E">
        <w:t xml:space="preserve"> that vulnerabilities in these devices and their associated digital ecosystems can be exploited in ways that may lead to disruption at both </w:t>
      </w:r>
      <w:r w:rsidR="00AE160E">
        <w:t xml:space="preserve">the </w:t>
      </w:r>
      <w:r w:rsidRPr="00AE160E">
        <w:t>device and grid level.</w:t>
      </w:r>
    </w:p>
    <w:p w14:paraId="0DC48972" w14:textId="470F8DF4" w:rsidR="00696D29" w:rsidRPr="00696D29" w:rsidRDefault="00696D29" w:rsidP="00AE160E">
      <w:pPr>
        <w:pStyle w:val="BodyText"/>
        <w:jc w:val="both"/>
        <w:rPr>
          <w:lang w:eastAsia="en-GB"/>
        </w:rPr>
      </w:pPr>
      <w:r w:rsidRPr="00696D29">
        <w:rPr>
          <w:lang w:eastAsia="en-GB"/>
        </w:rPr>
        <w:t>The project also established a capability to simulate the behaviour of compromised DER devices and assess the impact on the power grid. A co-simulation environment was designed and developed to study cyber-attacks against DER devices and observe their operational consequences. This provides a practical platform for testing attack scenarios, assessing mitigation approaches</w:t>
      </w:r>
      <w:r w:rsidR="00AE160E">
        <w:t>,</w:t>
      </w:r>
      <w:r w:rsidRPr="00696D29">
        <w:rPr>
          <w:lang w:eastAsia="en-GB"/>
        </w:rPr>
        <w:t xml:space="preserve"> and evaluating security interventions in a controlled environment.</w:t>
      </w:r>
    </w:p>
    <w:p w14:paraId="47D99336" w14:textId="12097DC9" w:rsidR="00696D29" w:rsidRPr="00696D29" w:rsidRDefault="00696D29" w:rsidP="00AE160E">
      <w:pPr>
        <w:pStyle w:val="BodyText"/>
        <w:jc w:val="both"/>
        <w:rPr>
          <w:lang w:eastAsia="en-GB"/>
        </w:rPr>
      </w:pPr>
      <w:r w:rsidRPr="00696D29">
        <w:rPr>
          <w:lang w:eastAsia="en-GB"/>
        </w:rPr>
        <w:t>A further key outcome is the design, development</w:t>
      </w:r>
      <w:r w:rsidR="00AE160E">
        <w:t>,</w:t>
      </w:r>
      <w:r w:rsidRPr="00696D29">
        <w:rPr>
          <w:lang w:eastAsia="en-GB"/>
        </w:rPr>
        <w:t xml:space="preserve"> and validation of a proof-of-concept Trusted Sovereign Monitor. The TSM was implemented and tested within the co-simulation environment and shown to detect and mitigate many of the threats identified in this work. The concept demonstrates a practical mechanism through which a sovereign entity could provide security assurance for consumer-owned energy resources (CER) without requiring the cooperation of OEMs.</w:t>
      </w:r>
    </w:p>
    <w:p w14:paraId="00F14C52" w14:textId="77777777" w:rsidR="00696D29" w:rsidRPr="00696D29" w:rsidRDefault="00696D29" w:rsidP="00AE160E">
      <w:pPr>
        <w:pStyle w:val="BodyText"/>
        <w:jc w:val="both"/>
        <w:rPr>
          <w:lang w:eastAsia="en-GB"/>
        </w:rPr>
      </w:pPr>
      <w:r w:rsidRPr="00696D29">
        <w:rPr>
          <w:lang w:eastAsia="en-GB"/>
        </w:rPr>
        <w:t>Taken together, these findings show that the Trusted Sovereign Monitor provides a viable pathway to address a growing security and sovereignty gap in Australia’s future electricity system. The work points to two practical next steps: the development of a standard that supports verifiable integration by OEMs, and the establishment of a national authority responsible for core security functions for DER devices with potential critical impact on grid stability.</w:t>
      </w:r>
    </w:p>
    <w:p w14:paraId="55F9A71A" w14:textId="2464D53E" w:rsidR="001B081D" w:rsidRPr="00AE160E" w:rsidRDefault="002A7189" w:rsidP="00AE160E">
      <w:pPr>
        <w:pStyle w:val="BodyText"/>
        <w:jc w:val="both"/>
      </w:pPr>
      <w:r w:rsidRPr="00696D29">
        <w:rPr>
          <w:lang w:eastAsia="en-GB"/>
        </w:rPr>
        <w:t>In practical terms, this would provide assurance to customers, aggregators and system operators that consumer-owned energy resources continue to operate securely and within defined network parameters. More broadly, it provides a credible path toward sovereign assurance of DER in a highly distributed and increasingly internationally dependent energy system.</w:t>
      </w:r>
    </w:p>
    <w:p w14:paraId="011884F0" w14:textId="44C38765" w:rsidR="003F4A39" w:rsidRPr="00C27CA4" w:rsidRDefault="003F4A39" w:rsidP="00C20CA7">
      <w:pPr>
        <w:pStyle w:val="Heading1"/>
        <w:numPr>
          <w:ilvl w:val="0"/>
          <w:numId w:val="0"/>
        </w:numPr>
        <w:ind w:left="1134" w:hanging="1134"/>
        <w:rPr>
          <w:rFonts w:asciiTheme="minorHAnsi" w:eastAsiaTheme="minorEastAsia" w:hAnsiTheme="minorHAnsi" w:cstheme="minorBidi"/>
        </w:rPr>
      </w:pPr>
      <w:bookmarkStart w:id="10" w:name="_Toc222954395"/>
      <w:bookmarkStart w:id="11" w:name="_Toc223022298"/>
      <w:bookmarkStart w:id="12" w:name="_Toc234310776"/>
      <w:r w:rsidRPr="00C27CA4">
        <w:t>1. Introduction</w:t>
      </w:r>
      <w:bookmarkEnd w:id="10"/>
      <w:bookmarkEnd w:id="11"/>
      <w:bookmarkEnd w:id="12"/>
    </w:p>
    <w:p w14:paraId="24B09FB7" w14:textId="203FA1BE" w:rsidR="003F4A39" w:rsidRPr="00C27CA4" w:rsidRDefault="003F4A39" w:rsidP="00C20CA7">
      <w:pPr>
        <w:pStyle w:val="Heading2"/>
        <w:rPr>
          <w:rFonts w:asciiTheme="minorHAnsi" w:eastAsiaTheme="minorEastAsia" w:hAnsiTheme="minorHAnsi" w:cstheme="minorBidi"/>
        </w:rPr>
      </w:pPr>
      <w:r w:rsidRPr="00C27CA4">
        <w:t xml:space="preserve"> </w:t>
      </w:r>
      <w:bookmarkStart w:id="13" w:name="_Toc222954396"/>
      <w:bookmarkStart w:id="14" w:name="_Toc223022299"/>
      <w:bookmarkStart w:id="15" w:name="_Toc234310777"/>
      <w:r w:rsidRPr="00C27CA4">
        <w:t>Significance of the Research</w:t>
      </w:r>
      <w:bookmarkEnd w:id="13"/>
      <w:bookmarkEnd w:id="14"/>
      <w:bookmarkEnd w:id="15"/>
    </w:p>
    <w:p w14:paraId="26EBEF9F" w14:textId="77777777" w:rsidR="003F4A39" w:rsidRPr="00C27CA4" w:rsidRDefault="003F4A39" w:rsidP="005641B9">
      <w:pPr>
        <w:spacing w:after="160" w:line="259" w:lineRule="auto"/>
        <w:jc w:val="both"/>
        <w:rPr>
          <w:rFonts w:asciiTheme="minorHAnsi" w:eastAsiaTheme="minorEastAsia" w:hAnsiTheme="minorHAnsi" w:cstheme="minorBidi"/>
          <w:sz w:val="28"/>
          <w:szCs w:val="28"/>
        </w:rPr>
      </w:pPr>
      <w:r w:rsidRPr="2491F03F">
        <w:rPr>
          <w:sz w:val="24"/>
          <w:szCs w:val="24"/>
        </w:rPr>
        <w:t>Australia’s power system is undergoing a structural transformation driven by the rapid penetration of Distributed Energy Resources (DERs), including rooftop photovoltaic systems, distributed battery storage, and electric vehicles (EVs). The Australian Energy Market Operator (AEMO) Integrated System Plan (ISP) outlines a long-term transition toward an increasingly decentralised and inverter-dominated electricity system [1]. Complementary technical assessments emphasise that EV charging demand will form a significant and controllable load component in future distribution networks [2], [3]. High DER penetration reduces synchronous inertia, alters system strength characteristics, and narrows voltage and frequency stability margins [1], [2]. Under these conditions, distribution feeders become increasingly sensitive to rapid load ramps and coordinated demand activation. EV charging infrastructure, therefore, represents not only a decarbonisation enabler but also a stability-relevant asset class.</w:t>
      </w:r>
    </w:p>
    <w:p w14:paraId="44547852" w14:textId="39D025AC" w:rsidR="003F4A39" w:rsidRPr="00C27CA4" w:rsidRDefault="003F4A39" w:rsidP="005641B9">
      <w:pPr>
        <w:spacing w:after="160" w:line="259" w:lineRule="auto"/>
        <w:jc w:val="both"/>
        <w:rPr>
          <w:rFonts w:asciiTheme="minorHAnsi" w:eastAsiaTheme="minorEastAsia" w:hAnsiTheme="minorHAnsi" w:cstheme="minorBidi"/>
          <w:sz w:val="28"/>
          <w:szCs w:val="28"/>
        </w:rPr>
      </w:pPr>
      <w:r w:rsidRPr="2491F03F">
        <w:rPr>
          <w:sz w:val="24"/>
          <w:szCs w:val="24"/>
        </w:rPr>
        <w:t xml:space="preserve">The increasing connectivity of EV charging infrastructure renders it an attractive target for cyber adversaries. Modern EVSE systems are not isolated industrial devices; they are hyper-connected grid-edge platforms integrating mobile applications, cloud-based charging station management systems (CSMS), billing and payment infrastructures, remote firmware update mechanisms, and multiple grid interface protocols [4–8]. </w:t>
      </w:r>
      <w:r w:rsidR="00C26D10" w:rsidRPr="2491F03F">
        <w:rPr>
          <w:sz w:val="24"/>
          <w:szCs w:val="24"/>
        </w:rPr>
        <w:t xml:space="preserve">The adoption of EVs and the expansion of EV charging infrastructure within the Australian DER ecosystem are evident from recent data trends, as shown in Figure 1. </w:t>
      </w:r>
      <w:r w:rsidRPr="2491F03F">
        <w:rPr>
          <w:sz w:val="24"/>
          <w:szCs w:val="24"/>
        </w:rPr>
        <w:t>This deep vertical integration significantly expands the attack surface. EVSE systems expose interfaces across local wireless connectivity (Wi-Fi, Bluetooth), cellular and Ethernet backhaul communications, cloud APIs, authentication systems, and backend orchestration platforms. Vulnerabilities may arise at multiple layers</w:t>
      </w:r>
      <w:r w:rsidR="00804951" w:rsidRPr="2491F03F">
        <w:rPr>
          <w:sz w:val="24"/>
          <w:szCs w:val="24"/>
        </w:rPr>
        <w:t xml:space="preserve">, </w:t>
      </w:r>
      <w:r w:rsidRPr="2491F03F">
        <w:rPr>
          <w:sz w:val="24"/>
          <w:szCs w:val="24"/>
        </w:rPr>
        <w:t>from embedded firmware and real-time operating systems to cloud-side command injection and identity misuse [5], [6], [8], [10].</w:t>
      </w:r>
    </w:p>
    <w:p w14:paraId="7798C3E8" w14:textId="555AA664" w:rsidR="003F4A39" w:rsidRPr="00C27CA4" w:rsidRDefault="003F4A39" w:rsidP="005641B9">
      <w:pPr>
        <w:spacing w:after="160" w:line="259" w:lineRule="auto"/>
        <w:jc w:val="both"/>
        <w:rPr>
          <w:rFonts w:asciiTheme="minorHAnsi" w:eastAsiaTheme="minorEastAsia" w:hAnsiTheme="minorHAnsi" w:cstheme="minorBidi"/>
          <w:sz w:val="28"/>
          <w:szCs w:val="28"/>
        </w:rPr>
      </w:pPr>
      <w:r w:rsidRPr="2491F03F">
        <w:rPr>
          <w:sz w:val="24"/>
          <w:szCs w:val="24"/>
        </w:rPr>
        <w:t>Research examining EV charging infrastructure security identifies systemic risks associated with firmware governance, backend compromise, and coordinated load manipulation [4–10].</w:t>
      </w:r>
      <w:r w:rsidR="49669B38" w:rsidRPr="2491F03F">
        <w:rPr>
          <w:sz w:val="24"/>
          <w:szCs w:val="24"/>
        </w:rPr>
        <w:t xml:space="preserve"> </w:t>
      </w:r>
      <w:r w:rsidRPr="2491F03F">
        <w:rPr>
          <w:sz w:val="24"/>
          <w:szCs w:val="24"/>
        </w:rPr>
        <w:t>Supply-chain threat assessments further recognise that firmware compromise in distributed infrastructure can propagate rapidly across device fleets [14].</w:t>
      </w:r>
    </w:p>
    <w:p w14:paraId="3AA082D5" w14:textId="33089A0C" w:rsidR="003F4A39" w:rsidRDefault="003F4A39" w:rsidP="005641B9">
      <w:pPr>
        <w:spacing w:after="160" w:line="259" w:lineRule="auto"/>
        <w:jc w:val="both"/>
        <w:rPr>
          <w:rFonts w:asciiTheme="minorHAnsi" w:eastAsiaTheme="minorEastAsia" w:hAnsiTheme="minorHAnsi" w:cstheme="minorBidi"/>
          <w:sz w:val="28"/>
          <w:szCs w:val="28"/>
        </w:rPr>
      </w:pPr>
      <w:r w:rsidRPr="2491F03F">
        <w:rPr>
          <w:sz w:val="24"/>
          <w:szCs w:val="24"/>
        </w:rPr>
        <w:t xml:space="preserve">Importantly, these risks are not theoretical. Demonstrated vulnerabilities in charger firmware and CSMS platforms confirm that unauthorised remote-control pathways exist. Although some publicised incidents have involved non-disruptive misuse (e.g., display message manipulation), such events serve as proof-of-concept validation. The same access vectors could enable coordinated fleet </w:t>
      </w:r>
      <w:r w:rsidR="005426DD" w:rsidRPr="2491F03F">
        <w:rPr>
          <w:sz w:val="24"/>
          <w:szCs w:val="24"/>
        </w:rPr>
        <w:t>manipulation, including</w:t>
      </w:r>
      <w:r w:rsidRPr="2491F03F">
        <w:rPr>
          <w:sz w:val="24"/>
          <w:szCs w:val="24"/>
        </w:rPr>
        <w:t xml:space="preserve"> load ramp synchronisation, charging limit modification, or suppression of protection logic</w:t>
      </w:r>
      <w:r w:rsidR="00804951" w:rsidRPr="2491F03F">
        <w:rPr>
          <w:sz w:val="24"/>
          <w:szCs w:val="24"/>
        </w:rPr>
        <w:t xml:space="preserve">, </w:t>
      </w:r>
      <w:r w:rsidRPr="2491F03F">
        <w:rPr>
          <w:sz w:val="24"/>
          <w:szCs w:val="24"/>
        </w:rPr>
        <w:t>with measurable consequences for feeder voltage stability and system security margins. Although standards such as ISO 15118 and OCPP provide interoperability and baseline communication security [11], [12], they do not intrinsically enforce sovereign firmware governance or stability-aware operational constraints. This structural gap motivates the research presented in this report.</w:t>
      </w:r>
    </w:p>
    <w:p w14:paraId="33AA21BA" w14:textId="217FEF2F" w:rsidR="00CE1722" w:rsidRDefault="00250546" w:rsidP="00250546">
      <w:pPr>
        <w:pStyle w:val="Heading2"/>
        <w:rPr>
          <w:rFonts w:asciiTheme="minorHAnsi" w:eastAsiaTheme="minorEastAsia" w:hAnsiTheme="minorHAnsi" w:cstheme="minorBidi"/>
        </w:rPr>
      </w:pPr>
      <w:bookmarkStart w:id="16" w:name="_Toc223022300"/>
      <w:bookmarkStart w:id="17" w:name="_Toc234310778"/>
      <w:r>
        <w:t>EV and EVSE infrastructure in Australia</w:t>
      </w:r>
      <w:bookmarkEnd w:id="16"/>
      <w:bookmarkEnd w:id="17"/>
    </w:p>
    <w:p w14:paraId="691834FD" w14:textId="77777777" w:rsidR="00217870" w:rsidRPr="00217870" w:rsidRDefault="00217870" w:rsidP="00217870">
      <w:pPr>
        <w:spacing w:after="160" w:line="259" w:lineRule="auto"/>
        <w:jc w:val="both"/>
        <w:rPr>
          <w:rFonts w:asciiTheme="minorHAnsi" w:eastAsiaTheme="minorEastAsia" w:hAnsiTheme="minorHAnsi" w:cstheme="minorBidi"/>
          <w:sz w:val="28"/>
          <w:szCs w:val="28"/>
        </w:rPr>
      </w:pPr>
      <w:r w:rsidRPr="2491F03F">
        <w:rPr>
          <w:sz w:val="24"/>
          <w:szCs w:val="24"/>
        </w:rPr>
        <w:t>Australia’s transport sector is a significant contributor to national greenhouse gas emissions, and its electrification is central to the Federal Government’s National Electric Vehicle Strategy [31]. Recent policy measures targeting affordable EV uptake, charging infrastructure expansion, and market stimulation have accelerated adoption nationwide. EV sales have grown rapidly, with cumulative vehicles exceeding 180,000 by 2023 and projected to surpass 300,000 by 2025 [32]. By April 2024, EVs accounted for 9.4% of new vehicle sales, reflecting sustained exponential growth.</w:t>
      </w:r>
    </w:p>
    <w:p w14:paraId="36D40130" w14:textId="694AD17F" w:rsidR="00217870" w:rsidRDefault="00217870" w:rsidP="00217870">
      <w:pPr>
        <w:spacing w:after="160" w:line="259" w:lineRule="auto"/>
        <w:jc w:val="both"/>
        <w:rPr>
          <w:rFonts w:asciiTheme="minorHAnsi" w:eastAsiaTheme="minorEastAsia" w:hAnsiTheme="minorHAnsi" w:cstheme="minorBidi"/>
          <w:sz w:val="28"/>
          <w:szCs w:val="28"/>
        </w:rPr>
      </w:pPr>
      <w:r w:rsidRPr="2491F03F">
        <w:rPr>
          <w:sz w:val="24"/>
          <w:szCs w:val="24"/>
        </w:rPr>
        <w:t>This expansion has been mirrored by charging infrastructure deployment, with more than 3,300 public charging sites and over 3,700 fast-charging bays operating across Australia by 2025 [33]. Government-backed initiatives, including the National Electric Vehicle Charging Network, aim to ensure reliable coverage along major transport corridors [31]. Figure 1 illustrates the correlated growth of EV sales and charging infrastructure between 2020 and 2025.</w:t>
      </w:r>
      <w:r w:rsidR="00250546" w:rsidRPr="2491F03F">
        <w:rPr>
          <w:sz w:val="24"/>
          <w:szCs w:val="24"/>
        </w:rPr>
        <w:t xml:space="preserve"> </w:t>
      </w:r>
      <w:r w:rsidRPr="2491F03F">
        <w:rPr>
          <w:sz w:val="24"/>
          <w:szCs w:val="24"/>
        </w:rPr>
        <w:t>The expanding Electric Vehicle Supply Equipment (EVSE) network represents a critical national infrastructure intersecting transport and energy systems [34], [35]. Modern EVSEs are cyber-physical systems integrated with communication protocols, backend platforms, and grid control mechanisms [36], [37]. As distributed energy resources (DERs), EV chargers increasingly influence grid stability and enable advanced services such as demand response and vehicle-to-grid (V2G) integration [38], [39]. However, their connectivity introduces cybersecurity risks, including privacy breaches, coordinated load manipulation, and potential grid disruption [40], [41]. Ensuring the security and resilience of this infrastructure is therefore essential to maintaining Australia’s electric mobility investment as a stable and secure national asset.</w:t>
      </w:r>
    </w:p>
    <w:p w14:paraId="629EC378" w14:textId="1EC8C1ED" w:rsidR="00D76B19" w:rsidRDefault="00B15BF2" w:rsidP="00E13EFC">
      <w:pPr>
        <w:spacing w:after="160" w:line="257" w:lineRule="auto"/>
        <w:jc w:val="center"/>
        <w:rPr>
          <w:rFonts w:asciiTheme="minorHAnsi" w:eastAsiaTheme="minorEastAsia" w:hAnsiTheme="minorHAnsi" w:cstheme="minorBidi"/>
        </w:rPr>
      </w:pPr>
      <w:r>
        <w:rPr>
          <w:rFonts w:asciiTheme="minorHAnsi" w:eastAsiaTheme="minorEastAsia" w:hAnsiTheme="minorHAnsi" w:cstheme="minorBidi"/>
          <w:noProof/>
        </w:rPr>
        <w:drawing>
          <wp:inline distT="0" distB="0" distL="0" distR="0" wp14:anchorId="6C953BE6" wp14:editId="02DD0255">
            <wp:extent cx="6033473" cy="2127250"/>
            <wp:effectExtent l="0" t="0" r="5715" b="6350"/>
            <wp:docPr id="15930657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45641" cy="2131540"/>
                    </a:xfrm>
                    <a:prstGeom prst="rect">
                      <a:avLst/>
                    </a:prstGeom>
                    <a:noFill/>
                    <a:ln>
                      <a:noFill/>
                    </a:ln>
                  </pic:spPr>
                </pic:pic>
              </a:graphicData>
            </a:graphic>
          </wp:inline>
        </w:drawing>
      </w:r>
    </w:p>
    <w:p w14:paraId="621D520E" w14:textId="2ABE64A4" w:rsidR="00D76B19" w:rsidRDefault="2BF4675F" w:rsidP="004B04CB">
      <w:pPr>
        <w:pStyle w:val="Caption"/>
        <w:jc w:val="both"/>
        <w:rPr>
          <w:rFonts w:asciiTheme="minorHAnsi" w:eastAsiaTheme="minorEastAsia" w:hAnsiTheme="minorHAnsi" w:cstheme="minorBidi"/>
          <w:i/>
          <w:color w:val="0E2841"/>
          <w:lang w:val="en-GB"/>
        </w:rPr>
      </w:pPr>
      <w:bookmarkStart w:id="18" w:name="_Toc233112207"/>
      <w:r>
        <w:t xml:space="preserve">Figure </w:t>
      </w:r>
      <w:r w:rsidR="00113348">
        <w:fldChar w:fldCharType="begin"/>
      </w:r>
      <w:r w:rsidR="00113348">
        <w:instrText xml:space="preserve"> SEQ Figure \* ARABIC </w:instrText>
      </w:r>
      <w:r w:rsidR="00113348">
        <w:fldChar w:fldCharType="separate"/>
      </w:r>
      <w:r w:rsidR="00F8092D">
        <w:rPr>
          <w:noProof/>
        </w:rPr>
        <w:t>1</w:t>
      </w:r>
      <w:r w:rsidR="00113348">
        <w:rPr>
          <w:noProof/>
        </w:rPr>
        <w:fldChar w:fldCharType="end"/>
      </w:r>
      <w:r w:rsidR="002D0225">
        <w:t xml:space="preserve"> </w:t>
      </w:r>
      <w:r w:rsidR="004B04CB">
        <w:t>:</w:t>
      </w:r>
      <w:r>
        <w:t xml:space="preserve"> </w:t>
      </w:r>
      <w:r w:rsidRPr="61B054A7">
        <w:rPr>
          <w:rFonts w:ascii="Aptos" w:eastAsia="Aptos" w:hAnsi="Aptos" w:cs="Aptos"/>
          <w:i/>
          <w:color w:val="0E2841"/>
          <w:szCs w:val="20"/>
          <w:lang w:val="en-GB"/>
        </w:rPr>
        <w:t>EV Sales and Charging Infrastructure Growth Trends in Australia</w:t>
      </w:r>
      <w:bookmarkEnd w:id="18"/>
    </w:p>
    <w:p w14:paraId="2960ED80" w14:textId="0B10BA74" w:rsidR="00D76B19" w:rsidRDefault="00D76B19" w:rsidP="00D76B19">
      <w:pPr>
        <w:spacing w:after="160" w:line="259" w:lineRule="auto"/>
        <w:jc w:val="both"/>
        <w:rPr>
          <w:rFonts w:asciiTheme="minorHAnsi" w:eastAsiaTheme="minorEastAsia" w:hAnsiTheme="minorHAnsi" w:cstheme="minorBidi"/>
        </w:rPr>
      </w:pPr>
    </w:p>
    <w:p w14:paraId="3AC8006B" w14:textId="36807E0A" w:rsidR="003F4A39" w:rsidRPr="00C27CA4" w:rsidRDefault="003F4A39" w:rsidP="00C20CA7">
      <w:pPr>
        <w:pStyle w:val="Heading2"/>
        <w:rPr>
          <w:rFonts w:asciiTheme="minorHAnsi" w:eastAsiaTheme="minorEastAsia" w:hAnsiTheme="minorHAnsi" w:cstheme="minorBidi"/>
        </w:rPr>
      </w:pPr>
      <w:bookmarkStart w:id="19" w:name="_Toc222954397"/>
      <w:bookmarkStart w:id="20" w:name="_Toc223022301"/>
      <w:bookmarkStart w:id="21" w:name="_Toc234310779"/>
      <w:r w:rsidRPr="00C27CA4">
        <w:t>DER Stability in Previous AR-PST Stages</w:t>
      </w:r>
      <w:bookmarkEnd w:id="19"/>
      <w:bookmarkEnd w:id="20"/>
      <w:bookmarkEnd w:id="21"/>
    </w:p>
    <w:p w14:paraId="25C4D6F3" w14:textId="77777777" w:rsidR="003F4A39" w:rsidRPr="00C27CA4" w:rsidRDefault="003F4A39" w:rsidP="003F4A39">
      <w:pPr>
        <w:spacing w:after="160" w:line="259" w:lineRule="auto"/>
        <w:rPr>
          <w:rFonts w:asciiTheme="minorHAnsi" w:eastAsiaTheme="minorEastAsia" w:hAnsiTheme="minorHAnsi" w:cstheme="minorBidi"/>
          <w:sz w:val="28"/>
          <w:szCs w:val="28"/>
        </w:rPr>
      </w:pPr>
      <w:r w:rsidRPr="2491F03F">
        <w:rPr>
          <w:sz w:val="24"/>
          <w:szCs w:val="24"/>
        </w:rPr>
        <w:t>The Australian Research in Power Systems Transition (AR-PST) program provides a coordinated national research framework addressing Australia’s electricity transition challenges [15]. Within this framework, Topic 9 – DER and Stability has delivered substantial advances in modelling inverter interactions, weak-grid behaviour, oscillatory modes, and system strength implications under high DER penetration [16], [17].</w:t>
      </w:r>
    </w:p>
    <w:p w14:paraId="0B76E619" w14:textId="77777777" w:rsidR="003F4A39" w:rsidRPr="00C27CA4" w:rsidRDefault="003F4A39" w:rsidP="005641B9">
      <w:pPr>
        <w:spacing w:after="160" w:line="259" w:lineRule="auto"/>
        <w:jc w:val="both"/>
        <w:rPr>
          <w:rFonts w:asciiTheme="minorHAnsi" w:eastAsiaTheme="minorEastAsia" w:hAnsiTheme="minorHAnsi" w:cstheme="minorBidi"/>
          <w:sz w:val="28"/>
          <w:szCs w:val="28"/>
        </w:rPr>
      </w:pPr>
      <w:r w:rsidRPr="2491F03F">
        <w:rPr>
          <w:sz w:val="24"/>
          <w:szCs w:val="24"/>
        </w:rPr>
        <w:t>Stage-4 research established improved modelling fidelity for DER inverter dynamics and enhanced simulation frameworks for stability envelope assessment. These outputs significantly strengthen the physical evidence base for grid planning and operational analysis. However, three structural gaps remain with respect to cybersecurity integration.</w:t>
      </w:r>
    </w:p>
    <w:p w14:paraId="468A0E71" w14:textId="77777777" w:rsidR="003F4A39" w:rsidRPr="00EE14F4" w:rsidRDefault="003F4A39" w:rsidP="00846D08">
      <w:pPr>
        <w:pStyle w:val="ListParagraph"/>
        <w:numPr>
          <w:ilvl w:val="0"/>
          <w:numId w:val="16"/>
        </w:numPr>
        <w:spacing w:before="0" w:after="160" w:line="259" w:lineRule="auto"/>
        <w:jc w:val="both"/>
        <w:rPr>
          <w:rFonts w:asciiTheme="minorHAnsi" w:eastAsiaTheme="minorEastAsia" w:hAnsiTheme="minorHAnsi" w:cstheme="minorBidi"/>
        </w:rPr>
      </w:pPr>
      <w:r w:rsidRPr="2491F03F">
        <w:t>First, Topic 9 modelling is not explicitly structured around adversarial threat models aimed for cyber-to-physical causality mapping [16], [17]. While inverter behaviour under engineering disturbances is well characterised, deliberate firmware manipulation and coordinated cyber compromise scenarios are not formally integrated into stability simulations.</w:t>
      </w:r>
    </w:p>
    <w:p w14:paraId="3958EA5B" w14:textId="77777777" w:rsidR="003F4A39" w:rsidRPr="00EE14F4" w:rsidRDefault="003F4A39" w:rsidP="00846D08">
      <w:pPr>
        <w:pStyle w:val="ListParagraph"/>
        <w:numPr>
          <w:ilvl w:val="0"/>
          <w:numId w:val="16"/>
        </w:numPr>
        <w:spacing w:before="0" w:after="160" w:line="259" w:lineRule="auto"/>
        <w:jc w:val="both"/>
        <w:rPr>
          <w:rFonts w:asciiTheme="minorHAnsi" w:eastAsiaTheme="minorEastAsia" w:hAnsiTheme="minorHAnsi" w:cstheme="minorBidi"/>
        </w:rPr>
      </w:pPr>
      <w:r w:rsidRPr="2491F03F">
        <w:t>Second, governance and operational recovery frameworks for DER ecosystems during cyber-induced stability events remain underdeveloped. Although national cybersecurity governance structures such as the Australian Energy Sector Cyber Security Framework (AESCSF) provide sector-level guidance [18], DER-specific cyber-physical recovery pathways are not yet embedded within stability research outputs.</w:t>
      </w:r>
    </w:p>
    <w:p w14:paraId="5E648A6D" w14:textId="60E19FD9" w:rsidR="003F4A39" w:rsidRPr="00EE14F4" w:rsidRDefault="003F4A39" w:rsidP="00846D08">
      <w:pPr>
        <w:pStyle w:val="ListParagraph"/>
        <w:numPr>
          <w:ilvl w:val="0"/>
          <w:numId w:val="16"/>
        </w:numPr>
        <w:spacing w:before="0" w:after="160" w:line="259" w:lineRule="auto"/>
        <w:jc w:val="both"/>
        <w:rPr>
          <w:rFonts w:asciiTheme="minorHAnsi" w:eastAsiaTheme="minorEastAsia" w:hAnsiTheme="minorHAnsi" w:cstheme="minorBidi"/>
        </w:rPr>
      </w:pPr>
      <w:r w:rsidRPr="2491F03F">
        <w:t xml:space="preserve">Third, standards and assurance mechanisms at the DER edge remain primarily </w:t>
      </w:r>
      <w:r w:rsidR="00FE40D2" w:rsidRPr="2491F03F">
        <w:t>interoperability focused</w:t>
      </w:r>
      <w:r w:rsidRPr="2491F03F">
        <w:t>. The Grid Cyber Security Roadmap highlights the need for coordinated uplift and security</w:t>
      </w:r>
      <w:r w:rsidR="00FE40D2" w:rsidRPr="2491F03F">
        <w:t xml:space="preserve"> </w:t>
      </w:r>
      <w:r w:rsidRPr="2491F03F">
        <w:t>by</w:t>
      </w:r>
      <w:r w:rsidR="00FE40D2" w:rsidRPr="2491F03F">
        <w:t xml:space="preserve"> </w:t>
      </w:r>
      <w:r w:rsidRPr="2491F03F">
        <w:t>design approaches [19], yet stability-aware firmware assurance and sovereign trust enforcement mechanisms are not systematically integrated into DER modelling frameworks.</w:t>
      </w:r>
    </w:p>
    <w:p w14:paraId="521F570E" w14:textId="77777777" w:rsidR="003F4A39" w:rsidRPr="00C27CA4" w:rsidRDefault="003F4A39" w:rsidP="005641B9">
      <w:pPr>
        <w:spacing w:after="160" w:line="259" w:lineRule="auto"/>
        <w:jc w:val="both"/>
        <w:rPr>
          <w:rFonts w:asciiTheme="minorHAnsi" w:eastAsiaTheme="minorEastAsia" w:hAnsiTheme="minorHAnsi" w:cstheme="minorBidi"/>
          <w:sz w:val="28"/>
          <w:szCs w:val="28"/>
        </w:rPr>
      </w:pPr>
      <w:r w:rsidRPr="2491F03F">
        <w:rPr>
          <w:sz w:val="24"/>
          <w:szCs w:val="24"/>
        </w:rPr>
        <w:t>These gaps establish the need for Stage-5 integration of cybersecurity assurance with DER stability research.</w:t>
      </w:r>
    </w:p>
    <w:p w14:paraId="175B9DAA" w14:textId="25E2D8B0" w:rsidR="003F4A39" w:rsidRPr="00C27CA4" w:rsidRDefault="003F4A39" w:rsidP="00C20CA7">
      <w:pPr>
        <w:pStyle w:val="Heading2"/>
        <w:rPr>
          <w:rFonts w:asciiTheme="minorHAnsi" w:eastAsiaTheme="minorEastAsia" w:hAnsiTheme="minorHAnsi" w:cstheme="minorBidi"/>
        </w:rPr>
      </w:pPr>
      <w:bookmarkStart w:id="22" w:name="_Toc222954398"/>
      <w:bookmarkStart w:id="23" w:name="_Toc223022302"/>
      <w:bookmarkStart w:id="24" w:name="_Toc234310780"/>
      <w:r w:rsidRPr="00C27CA4">
        <w:t>EVSE as Critical Cyber-Physical Infrastructure</w:t>
      </w:r>
      <w:bookmarkEnd w:id="22"/>
      <w:bookmarkEnd w:id="23"/>
      <w:bookmarkEnd w:id="24"/>
    </w:p>
    <w:p w14:paraId="3F14D1FF" w14:textId="3D85996D" w:rsidR="003F4A39" w:rsidRPr="00C27CA4" w:rsidRDefault="003F4A39" w:rsidP="005641B9">
      <w:pPr>
        <w:spacing w:after="160" w:line="259" w:lineRule="auto"/>
        <w:jc w:val="both"/>
        <w:rPr>
          <w:rFonts w:asciiTheme="minorHAnsi" w:eastAsiaTheme="minorEastAsia" w:hAnsiTheme="minorHAnsi" w:cstheme="minorBidi"/>
          <w:sz w:val="28"/>
          <w:szCs w:val="28"/>
        </w:rPr>
      </w:pPr>
      <w:r w:rsidRPr="3AB68F61">
        <w:rPr>
          <w:sz w:val="24"/>
          <w:szCs w:val="24"/>
        </w:rPr>
        <w:t>EVSE systems operate at the intersection of cyber and physical domains. Architecturally, they combine characteristics of Cyber-Physical Systems (CPS), IoT deployments, and enterprise IT infrastructures [4–7], [9].</w:t>
      </w:r>
      <w:r w:rsidR="00C20CA7" w:rsidRPr="3AB68F61">
        <w:rPr>
          <w:sz w:val="24"/>
          <w:szCs w:val="24"/>
        </w:rPr>
        <w:t xml:space="preserve"> </w:t>
      </w:r>
      <w:r w:rsidRPr="3AB68F61">
        <w:rPr>
          <w:sz w:val="24"/>
          <w:szCs w:val="24"/>
        </w:rPr>
        <w:t>At the hardware layer, charging units incorporate real-time control processors, application processors, human-machine interfaces, cryptographic modules, and optionally secure elements or Trusted Platform Modules (TPMs). These components manage power electronics control alongside application-layer services and remote communication.</w:t>
      </w:r>
    </w:p>
    <w:p w14:paraId="1CC8F3D0" w14:textId="48F441E2" w:rsidR="003F4A39" w:rsidRPr="00C27CA4" w:rsidRDefault="003F4A39" w:rsidP="005641B9">
      <w:pPr>
        <w:spacing w:after="160" w:line="259" w:lineRule="auto"/>
        <w:jc w:val="both"/>
        <w:rPr>
          <w:rFonts w:asciiTheme="minorHAnsi" w:eastAsiaTheme="minorEastAsia" w:hAnsiTheme="minorHAnsi" w:cstheme="minorBidi"/>
          <w:sz w:val="28"/>
          <w:szCs w:val="28"/>
        </w:rPr>
      </w:pPr>
      <w:r w:rsidRPr="3AB68F61">
        <w:rPr>
          <w:sz w:val="24"/>
          <w:szCs w:val="24"/>
        </w:rPr>
        <w:t xml:space="preserve">Connectivity is multi-layered and protocol diverse. Vehicle-to-charger communication is implemented via ISO 15118 </w:t>
      </w:r>
      <w:r w:rsidR="00FE40D2" w:rsidRPr="3AB68F61">
        <w:rPr>
          <w:sz w:val="24"/>
          <w:szCs w:val="24"/>
        </w:rPr>
        <w:t>overpower</w:t>
      </w:r>
      <w:r w:rsidRPr="3AB68F61">
        <w:rPr>
          <w:sz w:val="24"/>
          <w:szCs w:val="24"/>
        </w:rPr>
        <w:t xml:space="preserve"> Line Communication (PLC) [12], while backend connectivity relies on OCPP over TCP/IP networks [11]. Data aggregation occurs within CSMS platforms, integrating REST APIs, OAuth2-based authentication, billing systems, and cloud analytics environments. EVSE systems may also interface with utility platforms via industrial protocols such as Modbus/TCP, IEC 61850, or DER coordination standards [13].</w:t>
      </w:r>
    </w:p>
    <w:p w14:paraId="643E33AC" w14:textId="4A5C1EE9" w:rsidR="003F4A39" w:rsidRPr="00C27CA4" w:rsidRDefault="003F4A39" w:rsidP="005641B9">
      <w:pPr>
        <w:spacing w:after="160" w:line="259" w:lineRule="auto"/>
        <w:jc w:val="both"/>
        <w:rPr>
          <w:rFonts w:asciiTheme="minorHAnsi" w:eastAsiaTheme="minorEastAsia" w:hAnsiTheme="minorHAnsi" w:cstheme="minorBidi"/>
          <w:sz w:val="28"/>
          <w:szCs w:val="28"/>
        </w:rPr>
      </w:pPr>
      <w:commentRangeStart w:id="25"/>
      <w:commentRangeStart w:id="26"/>
      <w:r w:rsidRPr="3AB68F61">
        <w:rPr>
          <w:sz w:val="24"/>
          <w:szCs w:val="24"/>
        </w:rPr>
        <w:t>This</w:t>
      </w:r>
      <w:commentRangeEnd w:id="25"/>
      <w:r w:rsidR="001915CE" w:rsidRPr="3AB68F61">
        <w:rPr>
          <w:rStyle w:val="CommentReference"/>
          <w:sz w:val="24"/>
          <w:szCs w:val="24"/>
        </w:rPr>
        <w:commentReference w:id="25"/>
      </w:r>
      <w:commentRangeEnd w:id="26"/>
      <w:r w:rsidRPr="3AB68F61">
        <w:rPr>
          <w:rStyle w:val="CommentReference"/>
          <w:sz w:val="24"/>
          <w:szCs w:val="24"/>
        </w:rPr>
        <w:commentReference w:id="26"/>
      </w:r>
      <w:r w:rsidRPr="3AB68F61">
        <w:rPr>
          <w:sz w:val="24"/>
          <w:szCs w:val="24"/>
        </w:rPr>
        <w:t xml:space="preserve"> hybrid </w:t>
      </w:r>
      <w:commentRangeStart w:id="27"/>
      <w:r w:rsidRPr="3AB68F61">
        <w:rPr>
          <w:sz w:val="24"/>
          <w:szCs w:val="24"/>
        </w:rPr>
        <w:t>IT–</w:t>
      </w:r>
      <w:r w:rsidR="00C15C51" w:rsidRPr="3AB68F61">
        <w:rPr>
          <w:sz w:val="24"/>
          <w:szCs w:val="24"/>
        </w:rPr>
        <w:t xml:space="preserve">Operational Technology </w:t>
      </w:r>
      <w:commentRangeEnd w:id="27"/>
      <w:r w:rsidR="001533D3" w:rsidRPr="3AB68F61">
        <w:rPr>
          <w:rStyle w:val="CommentReference"/>
          <w:sz w:val="24"/>
          <w:szCs w:val="24"/>
        </w:rPr>
        <w:commentReference w:id="27"/>
      </w:r>
      <w:r w:rsidR="00C15C51" w:rsidRPr="3AB68F61">
        <w:rPr>
          <w:sz w:val="24"/>
          <w:szCs w:val="24"/>
        </w:rPr>
        <w:t xml:space="preserve">(OT) </w:t>
      </w:r>
      <w:r w:rsidRPr="3AB68F61">
        <w:rPr>
          <w:sz w:val="24"/>
          <w:szCs w:val="24"/>
        </w:rPr>
        <w:t>grid interoperability creates a deeply interconnected attack surface. A compromise originating in enterprise IT</w:t>
      </w:r>
      <w:r w:rsidR="00772172" w:rsidRPr="3AB68F61">
        <w:rPr>
          <w:sz w:val="24"/>
          <w:szCs w:val="24"/>
        </w:rPr>
        <w:t xml:space="preserve">, </w:t>
      </w:r>
      <w:r w:rsidRPr="3AB68F61">
        <w:rPr>
          <w:sz w:val="24"/>
          <w:szCs w:val="24"/>
        </w:rPr>
        <w:t>such as credential phishing targeting a Charge Point Operator administrator</w:t>
      </w:r>
      <w:r w:rsidR="00772172" w:rsidRPr="3AB68F61">
        <w:rPr>
          <w:sz w:val="24"/>
          <w:szCs w:val="24"/>
        </w:rPr>
        <w:t>,</w:t>
      </w:r>
      <w:r w:rsidRPr="3AB68F61">
        <w:rPr>
          <w:sz w:val="24"/>
          <w:szCs w:val="24"/>
        </w:rPr>
        <w:t xml:space="preserve"> may propagate to the CSMS and subsequently to distributed charging assets. At fleet scale, malicious command injection could induce coordinated load activation, impact feeder voltage regulation</w:t>
      </w:r>
      <w:r w:rsidR="00772172" w:rsidRPr="3AB68F61">
        <w:rPr>
          <w:sz w:val="24"/>
          <w:szCs w:val="24"/>
        </w:rPr>
        <w:t>,</w:t>
      </w:r>
      <w:r w:rsidRPr="3AB68F61">
        <w:rPr>
          <w:sz w:val="24"/>
          <w:szCs w:val="24"/>
        </w:rPr>
        <w:t xml:space="preserve"> and increasing rate-of-change-of-frequency (RoCoF).</w:t>
      </w:r>
    </w:p>
    <w:p w14:paraId="415147C5" w14:textId="77777777" w:rsidR="003F4A39" w:rsidRPr="00C27CA4" w:rsidRDefault="003F4A39" w:rsidP="005641B9">
      <w:pPr>
        <w:spacing w:after="160" w:line="259" w:lineRule="auto"/>
        <w:jc w:val="both"/>
        <w:rPr>
          <w:rFonts w:asciiTheme="minorHAnsi" w:eastAsiaTheme="minorEastAsia" w:hAnsiTheme="minorHAnsi" w:cstheme="minorBidi"/>
          <w:sz w:val="28"/>
          <w:szCs w:val="28"/>
        </w:rPr>
      </w:pPr>
      <w:r w:rsidRPr="3AB68F61">
        <w:rPr>
          <w:sz w:val="24"/>
          <w:szCs w:val="24"/>
        </w:rPr>
        <w:t>Firmware integrity is particularly critical. Firmware governs charging power limits, safety thresholds, communication handling, and protection logic. If compromised, firmware can override configured constraints while appearing cryptographically valid. At high DER penetration, synchronised firmware manipulation could produce aggregate load ramps of multi-megawatt magnitude on distribution feeders.</w:t>
      </w:r>
    </w:p>
    <w:p w14:paraId="039ACEB4" w14:textId="32E01190" w:rsidR="003F4A39" w:rsidRPr="00C27CA4" w:rsidRDefault="003F4A39" w:rsidP="00B74043">
      <w:pPr>
        <w:pStyle w:val="Heading2"/>
        <w:rPr>
          <w:rFonts w:asciiTheme="minorHAnsi" w:eastAsiaTheme="minorEastAsia" w:hAnsiTheme="minorHAnsi" w:cstheme="minorBidi"/>
        </w:rPr>
      </w:pPr>
      <w:bookmarkStart w:id="28" w:name="_Toc222954399"/>
      <w:bookmarkStart w:id="29" w:name="_Toc223022303"/>
      <w:bookmarkStart w:id="30" w:name="_Toc234310781"/>
      <w:r w:rsidRPr="00C27CA4">
        <w:t>Gaps in Existing EVSE Trust Models</w:t>
      </w:r>
      <w:bookmarkEnd w:id="28"/>
      <w:bookmarkEnd w:id="29"/>
      <w:bookmarkEnd w:id="30"/>
    </w:p>
    <w:p w14:paraId="64F88004" w14:textId="77777777" w:rsidR="003F4A39" w:rsidRPr="00C27CA4" w:rsidRDefault="003F4A39" w:rsidP="005641B9">
      <w:pPr>
        <w:spacing w:after="160" w:line="259" w:lineRule="auto"/>
        <w:jc w:val="both"/>
        <w:rPr>
          <w:rFonts w:asciiTheme="minorHAnsi" w:eastAsiaTheme="minorEastAsia" w:hAnsiTheme="minorHAnsi" w:cstheme="minorBidi"/>
          <w:sz w:val="28"/>
          <w:szCs w:val="28"/>
        </w:rPr>
      </w:pPr>
      <w:r w:rsidRPr="3AB68F61">
        <w:rPr>
          <w:sz w:val="24"/>
          <w:szCs w:val="24"/>
        </w:rPr>
        <w:t>Current EVSE security architectures rely primarily on OEM-issued digital signatures, TLS-protected communication channels, and certificate-based identity validation. While these mechanisms provide baseline communication integrity, they introduce concentration risk: compromise of a signing authority may propagate malicious firmware across geographically distributed device fleets.</w:t>
      </w:r>
    </w:p>
    <w:p w14:paraId="2C54153C" w14:textId="77777777" w:rsidR="003F4A39" w:rsidRPr="00C27CA4" w:rsidRDefault="003F4A39" w:rsidP="003F4A39">
      <w:pPr>
        <w:spacing w:after="160" w:line="259" w:lineRule="auto"/>
        <w:rPr>
          <w:rFonts w:asciiTheme="minorHAnsi" w:eastAsiaTheme="minorEastAsia" w:hAnsiTheme="minorHAnsi" w:cstheme="minorBidi"/>
          <w:sz w:val="28"/>
          <w:szCs w:val="28"/>
        </w:rPr>
      </w:pPr>
      <w:r w:rsidRPr="3AB68F61">
        <w:rPr>
          <w:sz w:val="24"/>
          <w:szCs w:val="24"/>
        </w:rPr>
        <w:t>Existing models lack:</w:t>
      </w:r>
    </w:p>
    <w:p w14:paraId="30BF7B56" w14:textId="77777777" w:rsidR="003F4A39" w:rsidRPr="00C27CA4" w:rsidRDefault="003F4A39" w:rsidP="00846D08">
      <w:pPr>
        <w:numPr>
          <w:ilvl w:val="0"/>
          <w:numId w:val="14"/>
        </w:numPr>
        <w:spacing w:after="160" w:line="259" w:lineRule="auto"/>
        <w:rPr>
          <w:rFonts w:asciiTheme="minorHAnsi" w:eastAsiaTheme="minorEastAsia" w:hAnsiTheme="minorHAnsi" w:cstheme="minorBidi"/>
          <w:sz w:val="28"/>
          <w:szCs w:val="28"/>
        </w:rPr>
      </w:pPr>
      <w:r w:rsidRPr="3AB68F61">
        <w:rPr>
          <w:sz w:val="24"/>
          <w:szCs w:val="24"/>
        </w:rPr>
        <w:t>Independent sovereign hardware root-of-trust</w:t>
      </w:r>
    </w:p>
    <w:p w14:paraId="3CEB523B" w14:textId="77777777" w:rsidR="003F4A39" w:rsidRPr="00C27CA4" w:rsidRDefault="003F4A39" w:rsidP="00846D08">
      <w:pPr>
        <w:numPr>
          <w:ilvl w:val="0"/>
          <w:numId w:val="14"/>
        </w:numPr>
        <w:spacing w:after="160" w:line="259" w:lineRule="auto"/>
        <w:rPr>
          <w:rFonts w:asciiTheme="minorHAnsi" w:eastAsiaTheme="minorEastAsia" w:hAnsiTheme="minorHAnsi" w:cstheme="minorBidi"/>
          <w:sz w:val="28"/>
          <w:szCs w:val="28"/>
        </w:rPr>
      </w:pPr>
      <w:r w:rsidRPr="3AB68F61">
        <w:rPr>
          <w:sz w:val="24"/>
          <w:szCs w:val="24"/>
        </w:rPr>
        <w:t>Deterministic anti-rollback enforcement</w:t>
      </w:r>
    </w:p>
    <w:p w14:paraId="2ABE7FEB" w14:textId="77777777" w:rsidR="003F4A39" w:rsidRPr="00C27CA4" w:rsidRDefault="003F4A39" w:rsidP="00846D08">
      <w:pPr>
        <w:numPr>
          <w:ilvl w:val="0"/>
          <w:numId w:val="14"/>
        </w:numPr>
        <w:spacing w:after="160" w:line="259" w:lineRule="auto"/>
        <w:rPr>
          <w:rFonts w:asciiTheme="minorHAnsi" w:eastAsiaTheme="minorEastAsia" w:hAnsiTheme="minorHAnsi" w:cstheme="minorBidi"/>
          <w:sz w:val="28"/>
          <w:szCs w:val="28"/>
        </w:rPr>
      </w:pPr>
      <w:r w:rsidRPr="3AB68F61">
        <w:rPr>
          <w:sz w:val="24"/>
          <w:szCs w:val="24"/>
        </w:rPr>
        <w:t>Runtime mediation between firmware validation and physical actuation</w:t>
      </w:r>
    </w:p>
    <w:p w14:paraId="693E3615" w14:textId="77777777" w:rsidR="003F4A39" w:rsidRPr="00C27CA4" w:rsidRDefault="003F4A39" w:rsidP="00846D08">
      <w:pPr>
        <w:numPr>
          <w:ilvl w:val="0"/>
          <w:numId w:val="14"/>
        </w:numPr>
        <w:spacing w:after="160" w:line="259" w:lineRule="auto"/>
        <w:rPr>
          <w:rFonts w:asciiTheme="minorHAnsi" w:eastAsiaTheme="minorEastAsia" w:hAnsiTheme="minorHAnsi" w:cstheme="minorBidi"/>
          <w:sz w:val="28"/>
          <w:szCs w:val="28"/>
        </w:rPr>
      </w:pPr>
      <w:r w:rsidRPr="3AB68F61">
        <w:rPr>
          <w:sz w:val="24"/>
          <w:szCs w:val="24"/>
        </w:rPr>
        <w:t>Grid-aware safety constraint enforcement</w:t>
      </w:r>
    </w:p>
    <w:p w14:paraId="12ADAA0F" w14:textId="77777777" w:rsidR="003F4A39" w:rsidRPr="00C27CA4" w:rsidRDefault="003F4A39" w:rsidP="00846D08">
      <w:pPr>
        <w:numPr>
          <w:ilvl w:val="0"/>
          <w:numId w:val="14"/>
        </w:numPr>
        <w:spacing w:after="160" w:line="259" w:lineRule="auto"/>
        <w:rPr>
          <w:rFonts w:asciiTheme="minorHAnsi" w:eastAsiaTheme="minorEastAsia" w:hAnsiTheme="minorHAnsi" w:cstheme="minorBidi"/>
          <w:sz w:val="28"/>
          <w:szCs w:val="28"/>
        </w:rPr>
      </w:pPr>
      <w:r w:rsidRPr="3AB68F61">
        <w:rPr>
          <w:sz w:val="24"/>
          <w:szCs w:val="24"/>
        </w:rPr>
        <w:t>Independent revocation governance</w:t>
      </w:r>
    </w:p>
    <w:p w14:paraId="2B61C08A" w14:textId="77777777" w:rsidR="003F4A39" w:rsidRDefault="003F4A39" w:rsidP="005641B9">
      <w:pPr>
        <w:jc w:val="both"/>
        <w:rPr>
          <w:rFonts w:asciiTheme="minorHAnsi" w:eastAsiaTheme="minorEastAsia" w:hAnsiTheme="minorHAnsi" w:cstheme="minorBidi"/>
          <w:sz w:val="28"/>
          <w:szCs w:val="28"/>
        </w:rPr>
      </w:pPr>
      <w:r w:rsidRPr="3AB68F61">
        <w:rPr>
          <w:sz w:val="24"/>
          <w:szCs w:val="24"/>
        </w:rPr>
        <w:t>Supply-chain threat analyses emphasise increasing systemic risk associated with firmware compromise in distributed infrastructure [14]. However, no existing framework explicitly links firmware governance mechanisms to quantitative grid stability metrics such as voltage deviation (ΔV) or RoCoF.</w:t>
      </w:r>
    </w:p>
    <w:p w14:paraId="6A93B102" w14:textId="68A09CC2" w:rsidR="003F4A39" w:rsidRPr="007E1B5B" w:rsidRDefault="003F4A39" w:rsidP="00B74043">
      <w:pPr>
        <w:pStyle w:val="Heading2"/>
        <w:rPr>
          <w:rFonts w:asciiTheme="minorHAnsi" w:eastAsiaTheme="minorEastAsia" w:hAnsiTheme="minorHAnsi" w:cstheme="minorBidi"/>
        </w:rPr>
      </w:pPr>
      <w:bookmarkStart w:id="31" w:name="_Toc222954400"/>
      <w:bookmarkStart w:id="32" w:name="_Toc223022304"/>
      <w:bookmarkStart w:id="33" w:name="_Toc234310782"/>
      <w:r w:rsidRPr="007E1B5B">
        <w:t>Research Problem</w:t>
      </w:r>
      <w:bookmarkEnd w:id="31"/>
      <w:bookmarkEnd w:id="32"/>
      <w:bookmarkEnd w:id="33"/>
    </w:p>
    <w:p w14:paraId="3EFA7BA9" w14:textId="77777777" w:rsidR="003F4A39" w:rsidRPr="007E1B5B" w:rsidRDefault="003F4A39" w:rsidP="005641B9">
      <w:pPr>
        <w:spacing w:after="160" w:line="259" w:lineRule="auto"/>
        <w:jc w:val="both"/>
        <w:rPr>
          <w:rFonts w:asciiTheme="minorHAnsi" w:eastAsiaTheme="minorEastAsia" w:hAnsiTheme="minorHAnsi" w:cstheme="minorBidi"/>
          <w:sz w:val="28"/>
          <w:szCs w:val="28"/>
        </w:rPr>
      </w:pPr>
      <w:r w:rsidRPr="3AB68F61">
        <w:rPr>
          <w:sz w:val="24"/>
          <w:szCs w:val="24"/>
        </w:rPr>
        <w:t>Electric Vehicle Supply Equipment (EVSE) systems are increasingly embedded within Australia’s critical energy infrastructure and operate at the convergence of cyber, supply-chain, and grid domains. They interface directly with distribution feeders while relying on cloud-based backend systems and firmware update mechanisms governed by Original Equipment Manufacturers (OEMs) via ISO 15118 and OCPP protocols [11], [12].</w:t>
      </w:r>
    </w:p>
    <w:p w14:paraId="43AF02EA" w14:textId="21D6B4F1" w:rsidR="003F4A39" w:rsidRPr="007E1B5B" w:rsidRDefault="003F4A39" w:rsidP="005641B9">
      <w:pPr>
        <w:spacing w:after="160" w:line="259" w:lineRule="auto"/>
        <w:jc w:val="both"/>
        <w:rPr>
          <w:rFonts w:asciiTheme="minorHAnsi" w:eastAsiaTheme="minorEastAsia" w:hAnsiTheme="minorHAnsi" w:cstheme="minorBidi"/>
          <w:sz w:val="28"/>
          <w:szCs w:val="28"/>
        </w:rPr>
      </w:pPr>
      <w:r w:rsidRPr="3AB68F61">
        <w:rPr>
          <w:sz w:val="24"/>
          <w:szCs w:val="24"/>
        </w:rPr>
        <w:t xml:space="preserve">Figure </w:t>
      </w:r>
      <w:r w:rsidR="001230D5" w:rsidRPr="3AB68F61">
        <w:rPr>
          <w:sz w:val="24"/>
          <w:szCs w:val="24"/>
        </w:rPr>
        <w:t>2</w:t>
      </w:r>
      <w:r w:rsidRPr="3AB68F61">
        <w:rPr>
          <w:sz w:val="24"/>
          <w:szCs w:val="24"/>
        </w:rPr>
        <w:t xml:space="preserve"> illustrates the structural trust concentration inherent in contemporary EVSE deployments. Firmware and charge controller logic remain under OEM control, while grid operators and distribution stakeholders lack independent mechanisms to verify, mediate, or constrain firmware behaviour before physical actuation. This creates a single-point trust dependency within a distributed DER ecosystem.</w:t>
      </w:r>
      <w:r w:rsidR="00935487" w:rsidRPr="3AB68F61">
        <w:rPr>
          <w:sz w:val="24"/>
          <w:szCs w:val="24"/>
        </w:rPr>
        <w:t xml:space="preserve"> </w:t>
      </w:r>
      <w:r w:rsidRPr="3AB68F61">
        <w:rPr>
          <w:sz w:val="24"/>
          <w:szCs w:val="24"/>
        </w:rPr>
        <w:t>EVSE systems are exposed to multiple cyber threat vectors, including backend compromise, protocol manipulation, authentication bypass, certificate misuse, firmware tampering, and supply-chain compromise [4–10], [14]. Among these, firmware integrity represents a uniquely systemic risk vector. Firmware governs charging limits, protection thresholds, communication handling, and actuation logic. If compromised, malicious firmware may remain cryptographically valid while altering physical load behaviour. At fleet scale, coordinated firmware manipulation could induce synchronised load ramps and feeder disturbances. For example, a feeder hosting 500 chargers operating at 11 kW could experience an instantaneous 5.5 MW load increase under coordinated activation. In high-DER, low-inertia environments [1], [2], such ramp events may degrade voltage stability, elevate RoCoF, and erode system security margins.</w:t>
      </w:r>
    </w:p>
    <w:p w14:paraId="2C0F9B55" w14:textId="77777777" w:rsidR="003F4A39" w:rsidRPr="007E1B5B" w:rsidRDefault="003F4A39" w:rsidP="005641B9">
      <w:pPr>
        <w:spacing w:after="160" w:line="259" w:lineRule="auto"/>
        <w:jc w:val="both"/>
        <w:rPr>
          <w:rFonts w:asciiTheme="minorHAnsi" w:eastAsiaTheme="minorEastAsia" w:hAnsiTheme="minorHAnsi" w:cstheme="minorBidi"/>
          <w:sz w:val="28"/>
          <w:szCs w:val="28"/>
        </w:rPr>
      </w:pPr>
      <w:r w:rsidRPr="3AB68F61">
        <w:rPr>
          <w:sz w:val="24"/>
          <w:szCs w:val="24"/>
        </w:rPr>
        <w:t>Existing OEM-centric trust models rely primarily on signature validation and transport-layer security. They do not provide independent hardware-rooted trust anchoring, deterministic anti-rollback enforcement, runtime mediation between firmware validation and actuation, or stability-aware constraint enforcement. The core research problem is therefore:</w:t>
      </w:r>
    </w:p>
    <w:p w14:paraId="6DC6DAED" w14:textId="77777777" w:rsidR="003F4A39" w:rsidRPr="007E1B5B" w:rsidRDefault="003F4A39" w:rsidP="005641B9">
      <w:pPr>
        <w:spacing w:after="160" w:line="259" w:lineRule="auto"/>
        <w:jc w:val="both"/>
        <w:rPr>
          <w:rFonts w:asciiTheme="minorHAnsi" w:eastAsiaTheme="minorEastAsia" w:hAnsiTheme="minorHAnsi" w:cstheme="minorBidi"/>
          <w:i/>
          <w:sz w:val="24"/>
          <w:szCs w:val="24"/>
        </w:rPr>
      </w:pPr>
      <w:r w:rsidRPr="3AB68F61">
        <w:rPr>
          <w:b/>
          <w:i/>
          <w:sz w:val="24"/>
          <w:szCs w:val="24"/>
        </w:rPr>
        <w:t>How can firmware governance at the DER edge be architected such that cyber compromise within the EVSE supply chain cannot propagate into measurable grid stability degradation?</w:t>
      </w:r>
    </w:p>
    <w:p w14:paraId="00C9A825" w14:textId="03517206" w:rsidR="003F4A39" w:rsidRPr="007E1B5B" w:rsidRDefault="003F4A39" w:rsidP="005641B9">
      <w:pPr>
        <w:spacing w:after="160" w:line="259" w:lineRule="auto"/>
        <w:jc w:val="both"/>
        <w:rPr>
          <w:rFonts w:asciiTheme="minorHAnsi" w:eastAsiaTheme="minorEastAsia" w:hAnsiTheme="minorHAnsi" w:cstheme="minorBidi"/>
          <w:sz w:val="28"/>
          <w:szCs w:val="28"/>
        </w:rPr>
      </w:pPr>
      <w:r w:rsidRPr="3AB68F61">
        <w:rPr>
          <w:sz w:val="24"/>
          <w:szCs w:val="24"/>
        </w:rPr>
        <w:t>This problem reframes EVSE cybersecurity as a DER stability assurance challenge, requiring architectural mechanisms that constrain the physical consequences of compromise within bounded and stability-safe envelopes.</w:t>
      </w:r>
    </w:p>
    <w:p w14:paraId="4254A7E0" w14:textId="5CBE7BEE" w:rsidR="00804951" w:rsidRDefault="00302C91" w:rsidP="00E13EFC">
      <w:pPr>
        <w:spacing w:after="160" w:line="257" w:lineRule="auto"/>
        <w:jc w:val="center"/>
        <w:rPr>
          <w:rFonts w:asciiTheme="minorHAnsi" w:eastAsiaTheme="minorEastAsia" w:hAnsiTheme="minorHAnsi" w:cstheme="minorBidi"/>
        </w:rPr>
      </w:pPr>
      <w:r>
        <w:rPr>
          <w:rFonts w:asciiTheme="minorHAnsi" w:eastAsiaTheme="minorEastAsia" w:hAnsiTheme="minorHAnsi" w:cstheme="minorBidi"/>
          <w:noProof/>
        </w:rPr>
        <w:drawing>
          <wp:inline distT="0" distB="0" distL="0" distR="0" wp14:anchorId="5A9E1E20" wp14:editId="5AD5E286">
            <wp:extent cx="5824855" cy="2095500"/>
            <wp:effectExtent l="19050" t="19050" r="23495" b="19050"/>
            <wp:docPr id="2108892529" name="Picture 10" descr="A diagram of a cloud computing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892529" name="Picture 10" descr="A diagram of a cloud computing system&#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38771" cy="2100506"/>
                    </a:xfrm>
                    <a:prstGeom prst="rect">
                      <a:avLst/>
                    </a:prstGeom>
                    <a:noFill/>
                    <a:ln>
                      <a:solidFill>
                        <a:schemeClr val="tx1"/>
                      </a:solidFill>
                    </a:ln>
                  </pic:spPr>
                </pic:pic>
              </a:graphicData>
            </a:graphic>
          </wp:inline>
        </w:drawing>
      </w:r>
    </w:p>
    <w:p w14:paraId="160FAAB0" w14:textId="6A0EE574" w:rsidR="00804951" w:rsidRDefault="705AE7BD" w:rsidP="004F4F5B">
      <w:pPr>
        <w:pStyle w:val="Caption"/>
        <w:rPr>
          <w:rFonts w:asciiTheme="minorHAnsi" w:eastAsiaTheme="minorEastAsia" w:hAnsiTheme="minorHAnsi" w:cstheme="minorBidi"/>
          <w:i/>
          <w:color w:val="0E2841"/>
          <w:lang w:val="en-GB"/>
        </w:rPr>
      </w:pPr>
      <w:bookmarkStart w:id="34" w:name="_Toc233112208"/>
      <w:r>
        <w:t xml:space="preserve">Figure </w:t>
      </w:r>
      <w:r w:rsidR="00113348">
        <w:fldChar w:fldCharType="begin"/>
      </w:r>
      <w:r w:rsidR="00113348">
        <w:instrText xml:space="preserve"> SEQ Figure \* ARABIC </w:instrText>
      </w:r>
      <w:r w:rsidR="00113348">
        <w:fldChar w:fldCharType="separate"/>
      </w:r>
      <w:r w:rsidR="00F8092D">
        <w:rPr>
          <w:noProof/>
        </w:rPr>
        <w:t>2</w:t>
      </w:r>
      <w:r w:rsidR="00113348">
        <w:rPr>
          <w:noProof/>
        </w:rPr>
        <w:fldChar w:fldCharType="end"/>
      </w:r>
      <w:r w:rsidR="002D0225">
        <w:t xml:space="preserve"> : </w:t>
      </w:r>
      <w:r>
        <w:t xml:space="preserve"> </w:t>
      </w:r>
      <w:r w:rsidRPr="61B054A7">
        <w:rPr>
          <w:rFonts w:ascii="Aptos" w:eastAsia="Aptos" w:hAnsi="Aptos" w:cs="Aptos"/>
          <w:i/>
          <w:color w:val="0E2841"/>
          <w:szCs w:val="20"/>
          <w:lang w:val="en-GB"/>
        </w:rPr>
        <w:t>EVSE supply-chain trust concentration and absence of security architecture</w:t>
      </w:r>
      <w:bookmarkEnd w:id="34"/>
    </w:p>
    <w:p w14:paraId="4DA23884" w14:textId="770072DA" w:rsidR="00804951" w:rsidRDefault="00804951" w:rsidP="27544EC2">
      <w:pPr>
        <w:rPr>
          <w:rFonts w:asciiTheme="minorHAnsi" w:eastAsiaTheme="minorEastAsia" w:hAnsiTheme="minorHAnsi" w:cstheme="minorBidi"/>
        </w:rPr>
      </w:pPr>
    </w:p>
    <w:p w14:paraId="1978E3C1" w14:textId="4BB8AD4B" w:rsidR="003F4A39" w:rsidRDefault="00987BD3" w:rsidP="00987BD3">
      <w:pPr>
        <w:pStyle w:val="Heading2"/>
        <w:rPr>
          <w:rFonts w:asciiTheme="minorHAnsi" w:eastAsiaTheme="minorEastAsia" w:hAnsiTheme="minorHAnsi" w:cstheme="minorBidi"/>
        </w:rPr>
      </w:pPr>
      <w:bookmarkStart w:id="35" w:name="_Toc222954401"/>
      <w:bookmarkStart w:id="36" w:name="_Toc223022305"/>
      <w:bookmarkStart w:id="37" w:name="_Toc234310783"/>
      <w:r>
        <w:t>Stage 5 Focus Topic 9-2</w:t>
      </w:r>
      <w:bookmarkEnd w:id="35"/>
      <w:bookmarkEnd w:id="36"/>
      <w:bookmarkEnd w:id="37"/>
    </w:p>
    <w:p w14:paraId="49ED5F51" w14:textId="3B6FA060" w:rsidR="00987BD3" w:rsidRPr="00987BD3" w:rsidRDefault="00987BD3" w:rsidP="005641B9">
      <w:pPr>
        <w:spacing w:after="160" w:line="259" w:lineRule="auto"/>
        <w:jc w:val="both"/>
        <w:rPr>
          <w:rFonts w:asciiTheme="minorHAnsi" w:eastAsiaTheme="minorEastAsia" w:hAnsiTheme="minorHAnsi" w:cstheme="minorBidi"/>
          <w:sz w:val="28"/>
          <w:szCs w:val="28"/>
        </w:rPr>
      </w:pPr>
      <w:r w:rsidRPr="795CE096">
        <w:rPr>
          <w:sz w:val="24"/>
          <w:szCs w:val="24"/>
        </w:rPr>
        <w:t>Stage 5 of this research program builds on these foundations by addressing a gap that the original roadmap did not fully anticipate in 2021: the cybersecurity</w:t>
      </w:r>
      <w:r w:rsidR="0029308B" w:rsidRPr="795CE096">
        <w:rPr>
          <w:sz w:val="24"/>
          <w:szCs w:val="24"/>
        </w:rPr>
        <w:t xml:space="preserve">, </w:t>
      </w:r>
      <w:r w:rsidRPr="795CE096">
        <w:rPr>
          <w:sz w:val="24"/>
          <w:szCs w:val="24"/>
        </w:rPr>
        <w:t>stability convergence [</w:t>
      </w:r>
      <w:r w:rsidR="00954AD1" w:rsidRPr="795CE096">
        <w:rPr>
          <w:sz w:val="24"/>
          <w:szCs w:val="24"/>
        </w:rPr>
        <w:t>31</w:t>
      </w:r>
      <w:r w:rsidRPr="795CE096">
        <w:rPr>
          <w:sz w:val="24"/>
          <w:szCs w:val="24"/>
        </w:rPr>
        <w:t>]. As DER fleets grow and software-defined functionality becomes ubiquitous, the threat landscape now includes malicious or erroneous actions initiated through compromised OEM platforms, cloud services, or device firmware [</w:t>
      </w:r>
      <w:r w:rsidR="00954AD1" w:rsidRPr="795CE096">
        <w:rPr>
          <w:sz w:val="24"/>
          <w:szCs w:val="24"/>
        </w:rPr>
        <w:t>32</w:t>
      </w:r>
      <w:r w:rsidRPr="795CE096">
        <w:rPr>
          <w:sz w:val="24"/>
          <w:szCs w:val="24"/>
        </w:rPr>
        <w:t>]. Ensuring system security under such conditions requires not only improved models but also new architectural safeguards embedded directly within DER devices. </w:t>
      </w:r>
    </w:p>
    <w:p w14:paraId="326E82F7" w14:textId="62F2ED31" w:rsidR="00987BD3" w:rsidRPr="00987BD3" w:rsidRDefault="006B419B" w:rsidP="0029308B">
      <w:pPr>
        <w:spacing w:after="160" w:line="259" w:lineRule="auto"/>
        <w:jc w:val="both"/>
        <w:rPr>
          <w:rFonts w:asciiTheme="minorHAnsi" w:eastAsiaTheme="minorEastAsia" w:hAnsiTheme="minorHAnsi" w:cstheme="minorBidi"/>
          <w:sz w:val="28"/>
          <w:szCs w:val="28"/>
        </w:rPr>
      </w:pPr>
      <w:r w:rsidRPr="795CE096">
        <w:rPr>
          <w:sz w:val="24"/>
          <w:szCs w:val="24"/>
        </w:rPr>
        <w:t>Our research addresses this need by analysing threats to EV charging infrastructure and developing a Trusted Sovereign Monitor (TSM)</w:t>
      </w:r>
      <w:r w:rsidR="0029308B" w:rsidRPr="795CE096">
        <w:rPr>
          <w:sz w:val="24"/>
          <w:szCs w:val="24"/>
        </w:rPr>
        <w:t>.</w:t>
      </w:r>
      <w:r w:rsidR="00987BD3" w:rsidRPr="795CE096">
        <w:rPr>
          <w:sz w:val="24"/>
          <w:szCs w:val="24"/>
        </w:rPr>
        <w:t xml:space="preserve"> It introduces a verifiable, tamper-resistant oversight component embedded within EVSE hardware that operates independently of OEM or Charge Point Operator (CPO) backends. Functioning as a high-integrity “safety bus,” the TSM continuously evaluates charger behaviour against grid-safety and security policies and can intervene when unsafe, non-compliant, or destabilising actions are detected. Even if primary firmware or external cloud services are compromised, the TSM enforces sovereign-level constraints that provide assurance and vetting capabilities to regulators to uphold overall system security in the context of large-scale DER penetration of the electricity grid. </w:t>
      </w:r>
    </w:p>
    <w:p w14:paraId="54A2FDB8" w14:textId="77777777" w:rsidR="00987BD3" w:rsidRPr="00987BD3" w:rsidRDefault="00987BD3" w:rsidP="00987BD3">
      <w:pPr>
        <w:spacing w:after="160" w:line="259" w:lineRule="auto"/>
        <w:rPr>
          <w:rFonts w:asciiTheme="minorHAnsi" w:eastAsiaTheme="minorEastAsia" w:hAnsiTheme="minorHAnsi" w:cstheme="minorBidi"/>
          <w:sz w:val="28"/>
          <w:szCs w:val="28"/>
        </w:rPr>
      </w:pPr>
      <w:r w:rsidRPr="795CE096">
        <w:rPr>
          <w:sz w:val="24"/>
          <w:szCs w:val="24"/>
        </w:rPr>
        <w:t>This work aligns directly with Topic 9 Stage 5 objectives by: </w:t>
      </w:r>
    </w:p>
    <w:p w14:paraId="0BEC5A55" w14:textId="14DB5A71" w:rsidR="00987BD3" w:rsidRPr="00987BD3" w:rsidRDefault="00987BD3" w:rsidP="00846D08">
      <w:pPr>
        <w:numPr>
          <w:ilvl w:val="0"/>
          <w:numId w:val="24"/>
        </w:numPr>
        <w:spacing w:after="160" w:line="259" w:lineRule="auto"/>
        <w:rPr>
          <w:rFonts w:asciiTheme="minorHAnsi" w:eastAsiaTheme="minorEastAsia" w:hAnsiTheme="minorHAnsi" w:cstheme="minorBidi"/>
          <w:sz w:val="28"/>
          <w:szCs w:val="28"/>
        </w:rPr>
      </w:pPr>
      <w:r w:rsidRPr="795CE096">
        <w:rPr>
          <w:sz w:val="24"/>
          <w:szCs w:val="24"/>
        </w:rPr>
        <w:t>providing mechanisms to ensure secure and compliant DER behaviour under </w:t>
      </w:r>
      <w:r w:rsidR="004A185D" w:rsidRPr="795CE096">
        <w:rPr>
          <w:sz w:val="24"/>
          <w:szCs w:val="24"/>
        </w:rPr>
        <w:t>disturbance.</w:t>
      </w:r>
      <w:r w:rsidRPr="795CE096">
        <w:rPr>
          <w:sz w:val="24"/>
          <w:szCs w:val="24"/>
        </w:rPr>
        <w:t> </w:t>
      </w:r>
    </w:p>
    <w:p w14:paraId="0552243B" w14:textId="5907B68A" w:rsidR="00987BD3" w:rsidRPr="00987BD3" w:rsidRDefault="00987BD3" w:rsidP="00846D08">
      <w:pPr>
        <w:numPr>
          <w:ilvl w:val="0"/>
          <w:numId w:val="25"/>
        </w:numPr>
        <w:spacing w:after="160" w:line="259" w:lineRule="auto"/>
        <w:rPr>
          <w:rFonts w:asciiTheme="minorHAnsi" w:eastAsiaTheme="minorEastAsia" w:hAnsiTheme="minorHAnsi" w:cstheme="minorBidi"/>
          <w:sz w:val="28"/>
          <w:szCs w:val="28"/>
        </w:rPr>
      </w:pPr>
      <w:r w:rsidRPr="795CE096">
        <w:rPr>
          <w:sz w:val="24"/>
          <w:szCs w:val="24"/>
        </w:rPr>
        <w:t>enabling future modelling of controlled versus uncontrolled charger responses</w:t>
      </w:r>
      <w:r w:rsidR="004A185D" w:rsidRPr="795CE096">
        <w:rPr>
          <w:sz w:val="24"/>
          <w:szCs w:val="24"/>
        </w:rPr>
        <w:t>.</w:t>
      </w:r>
    </w:p>
    <w:p w14:paraId="3B44AB7F" w14:textId="00FAB223" w:rsidR="00987BD3" w:rsidRPr="00987BD3" w:rsidRDefault="00987BD3" w:rsidP="00846D08">
      <w:pPr>
        <w:numPr>
          <w:ilvl w:val="0"/>
          <w:numId w:val="26"/>
        </w:numPr>
        <w:spacing w:after="160" w:line="259" w:lineRule="auto"/>
        <w:rPr>
          <w:rFonts w:asciiTheme="minorHAnsi" w:eastAsiaTheme="minorEastAsia" w:hAnsiTheme="minorHAnsi" w:cstheme="minorBidi"/>
          <w:sz w:val="28"/>
          <w:szCs w:val="28"/>
        </w:rPr>
      </w:pPr>
      <w:r w:rsidRPr="795CE096">
        <w:rPr>
          <w:sz w:val="24"/>
          <w:szCs w:val="24"/>
        </w:rPr>
        <w:t>safeguarding aggregate load behaviour to prevent large, fast load swings initiated by </w:t>
      </w:r>
      <w:r w:rsidR="004A185D" w:rsidRPr="795CE096">
        <w:rPr>
          <w:sz w:val="24"/>
          <w:szCs w:val="24"/>
        </w:rPr>
        <w:t>adversaries.</w:t>
      </w:r>
      <w:r w:rsidRPr="795CE096">
        <w:rPr>
          <w:sz w:val="24"/>
          <w:szCs w:val="24"/>
        </w:rPr>
        <w:t>  </w:t>
      </w:r>
    </w:p>
    <w:p w14:paraId="54740C97" w14:textId="3D333691" w:rsidR="00987BD3" w:rsidRPr="00987BD3" w:rsidRDefault="00987BD3" w:rsidP="00846D08">
      <w:pPr>
        <w:numPr>
          <w:ilvl w:val="0"/>
          <w:numId w:val="27"/>
        </w:numPr>
        <w:spacing w:after="160" w:line="259" w:lineRule="auto"/>
        <w:rPr>
          <w:rFonts w:asciiTheme="minorHAnsi" w:eastAsiaTheme="minorEastAsia" w:hAnsiTheme="minorHAnsi" w:cstheme="minorBidi"/>
          <w:sz w:val="28"/>
          <w:szCs w:val="28"/>
        </w:rPr>
      </w:pPr>
      <w:r w:rsidRPr="795CE096">
        <w:rPr>
          <w:sz w:val="24"/>
          <w:szCs w:val="24"/>
        </w:rPr>
        <w:t xml:space="preserve">supporting the broader </w:t>
      </w:r>
      <w:r w:rsidR="00B15BCE" w:rsidRPr="795CE096">
        <w:rPr>
          <w:sz w:val="24"/>
          <w:szCs w:val="24"/>
        </w:rPr>
        <w:t>AR</w:t>
      </w:r>
      <w:r w:rsidRPr="795CE096">
        <w:rPr>
          <w:sz w:val="24"/>
          <w:szCs w:val="24"/>
        </w:rPr>
        <w:t>-PST vision of maintaining system operability and resilience in the context of state-level cyber-attacks. </w:t>
      </w:r>
    </w:p>
    <w:p w14:paraId="4DC62D71" w14:textId="45B9A737" w:rsidR="003F4A39" w:rsidRPr="00C27CA4" w:rsidRDefault="003F4A39" w:rsidP="00804951">
      <w:pPr>
        <w:pStyle w:val="Heading2"/>
        <w:rPr>
          <w:rFonts w:asciiTheme="minorHAnsi" w:eastAsiaTheme="minorEastAsia" w:hAnsiTheme="minorHAnsi" w:cstheme="minorBidi"/>
        </w:rPr>
      </w:pPr>
      <w:bookmarkStart w:id="38" w:name="_Toc222954402"/>
      <w:bookmarkStart w:id="39" w:name="_Toc223022306"/>
      <w:bookmarkStart w:id="40" w:name="_Toc234310784"/>
      <w:r w:rsidRPr="00C27CA4">
        <w:t>Research Contribution and National Relevance</w:t>
      </w:r>
      <w:bookmarkEnd w:id="38"/>
      <w:bookmarkEnd w:id="39"/>
      <w:bookmarkEnd w:id="40"/>
    </w:p>
    <w:p w14:paraId="290C5976" w14:textId="77777777" w:rsidR="00FD01B9" w:rsidRPr="005641B9" w:rsidRDefault="00FD01B9" w:rsidP="005641B9">
      <w:pPr>
        <w:spacing w:after="160" w:line="259" w:lineRule="auto"/>
        <w:jc w:val="both"/>
        <w:rPr>
          <w:rFonts w:asciiTheme="minorHAnsi" w:eastAsiaTheme="minorEastAsia" w:hAnsiTheme="minorHAnsi" w:cstheme="minorBidi"/>
          <w:sz w:val="28"/>
          <w:szCs w:val="28"/>
        </w:rPr>
      </w:pPr>
      <w:r w:rsidRPr="795CE096">
        <w:rPr>
          <w:sz w:val="24"/>
          <w:szCs w:val="24"/>
        </w:rPr>
        <w:t>Australia’s energy transition depends on the rapid and sustained growth of distributed energy resources, including electric vehicles, rooftop solar, home batteries, and flexible loads. However, this transition introduces technical limits that, if unaddressed, will constrain the pace and scale of renewable integration. High-wattage DER fleets such as EV chargers can create unpredictable or synchronised load behaviours that destabilise distribution networks, undermine frequency control, and exceed the system’s capacity to manage disturbances. These risks impose implicit ceilings on how quickly EV adoption can grow and how aggressively electrification policies can proceed, because system operators must assume a worst-case scenario in which DER behaviour is neither visible nor controllable. Without demonstrably trustworthy behaviour at the device level, large penetrations of DER require costly network reinforcements, conservative operating margins, and increased procurement of stabilising services simply to maintain system security. </w:t>
      </w:r>
    </w:p>
    <w:p w14:paraId="59D0BF82" w14:textId="48F5A850" w:rsidR="00FD01B9" w:rsidRPr="005641B9" w:rsidRDefault="00FD01B9" w:rsidP="005641B9">
      <w:pPr>
        <w:spacing w:after="160" w:line="259" w:lineRule="auto"/>
        <w:jc w:val="both"/>
        <w:rPr>
          <w:rFonts w:asciiTheme="minorHAnsi" w:eastAsiaTheme="minorEastAsia" w:hAnsiTheme="minorHAnsi" w:cstheme="minorBidi"/>
          <w:sz w:val="28"/>
          <w:szCs w:val="28"/>
        </w:rPr>
      </w:pPr>
      <w:r w:rsidRPr="795CE096">
        <w:rPr>
          <w:sz w:val="24"/>
          <w:szCs w:val="24"/>
        </w:rPr>
        <w:t>The research undertaken in this project provides a pathway to relieve these limits by developing an embedded, sovereign mechanism that ensures DER devices behave predictably, safely, and in compliance with system-security requirements, even under cyber compromise. The TSM establishes verifiable firmware integrity, non-bypassable enforcement of grid-safety envelopes, and continuous visibility into device health and behaviour. When deployed at scale, these capabilities would allow Australia to integrate significantly larger DER fleets without incurring the operational and capital costs currently required to compensate for uncertainty and risk. They also position Australia as a global leader in securing the cyber-physical foundations of renewable energy systems, addressing challenges that all advanced economies will face as electrification accelerates. </w:t>
      </w:r>
    </w:p>
    <w:p w14:paraId="46CA2915" w14:textId="089EF1B2" w:rsidR="003F4A39" w:rsidRPr="00C27CA4" w:rsidRDefault="003F4A39" w:rsidP="005641B9">
      <w:pPr>
        <w:spacing w:after="160" w:line="259" w:lineRule="auto"/>
        <w:jc w:val="both"/>
        <w:rPr>
          <w:rFonts w:asciiTheme="minorHAnsi" w:eastAsiaTheme="minorEastAsia" w:hAnsiTheme="minorHAnsi" w:cstheme="minorBidi"/>
          <w:sz w:val="28"/>
          <w:szCs w:val="28"/>
        </w:rPr>
      </w:pPr>
      <w:r w:rsidRPr="795CE096">
        <w:rPr>
          <w:sz w:val="24"/>
          <w:szCs w:val="24"/>
        </w:rPr>
        <w:t>This Stage-5 AR-PST project introduces TSM, a device-level trust enforcement architecture designed to integrate sovereign firmware governance with stability-aware operational control. The TSM implements a dual-domain architecture separating Low Integrity Domain (LID) and High Integrity Domain (HID), enabling independent mediation of firmware admission and runtime actuation. Hardware-rooted trust anchoring, anti-rollback enforcement, certificate revocation validation, and deterministic write-enable gating are combined with grid-aware safety constraints.</w:t>
      </w:r>
    </w:p>
    <w:p w14:paraId="5496ED15" w14:textId="720B547B" w:rsidR="003F4A39" w:rsidRPr="00C27CA4" w:rsidRDefault="003F4A39" w:rsidP="005641B9">
      <w:pPr>
        <w:spacing w:after="160" w:line="259" w:lineRule="auto"/>
        <w:jc w:val="both"/>
        <w:rPr>
          <w:rFonts w:asciiTheme="minorHAnsi" w:eastAsiaTheme="minorEastAsia" w:hAnsiTheme="minorHAnsi" w:cstheme="minorBidi"/>
          <w:sz w:val="28"/>
          <w:szCs w:val="28"/>
        </w:rPr>
      </w:pPr>
      <w:r w:rsidRPr="795CE096">
        <w:rPr>
          <w:sz w:val="24"/>
          <w:szCs w:val="24"/>
        </w:rPr>
        <w:t>Validation is performed within a HELICS-based cyber-physical co-simulation environment integrating EVSE fleet models with OpenDSS</w:t>
      </w:r>
      <w:r w:rsidR="00CF4ED5" w:rsidRPr="795CE096">
        <w:rPr>
          <w:sz w:val="24"/>
          <w:szCs w:val="24"/>
        </w:rPr>
        <w:t xml:space="preserve"> [42]</w:t>
      </w:r>
      <w:r w:rsidRPr="795CE096">
        <w:rPr>
          <w:sz w:val="24"/>
          <w:szCs w:val="24"/>
        </w:rPr>
        <w:t xml:space="preserve"> distribution network simulation and threat injection scenarios. Experimental evaluation demonstrates that, under OEM-only firmware validation, malicious updates induce measurable load ramp amplification and voltage excursions. Under TSM enforcement:</w:t>
      </w:r>
    </w:p>
    <w:p w14:paraId="3D123265" w14:textId="77777777" w:rsidR="003F4A39" w:rsidRPr="00C27CA4" w:rsidRDefault="003F4A39" w:rsidP="00846D08">
      <w:pPr>
        <w:numPr>
          <w:ilvl w:val="0"/>
          <w:numId w:val="15"/>
        </w:numPr>
        <w:spacing w:after="160" w:line="259" w:lineRule="auto"/>
        <w:jc w:val="both"/>
        <w:rPr>
          <w:rFonts w:asciiTheme="minorHAnsi" w:eastAsiaTheme="minorEastAsia" w:hAnsiTheme="minorHAnsi" w:cstheme="minorBidi"/>
          <w:sz w:val="28"/>
          <w:szCs w:val="28"/>
        </w:rPr>
      </w:pPr>
      <w:r w:rsidRPr="795CE096">
        <w:rPr>
          <w:sz w:val="24"/>
          <w:szCs w:val="24"/>
        </w:rPr>
        <w:t>Voltage deviation remains within operational limits.</w:t>
      </w:r>
    </w:p>
    <w:p w14:paraId="7E241884" w14:textId="77777777" w:rsidR="003F4A39" w:rsidRPr="00C27CA4" w:rsidRDefault="003F4A39" w:rsidP="00846D08">
      <w:pPr>
        <w:numPr>
          <w:ilvl w:val="0"/>
          <w:numId w:val="15"/>
        </w:numPr>
        <w:spacing w:after="160" w:line="259" w:lineRule="auto"/>
        <w:jc w:val="both"/>
        <w:rPr>
          <w:rFonts w:asciiTheme="minorHAnsi" w:eastAsiaTheme="minorEastAsia" w:hAnsiTheme="minorHAnsi" w:cstheme="minorBidi"/>
          <w:sz w:val="28"/>
          <w:szCs w:val="28"/>
        </w:rPr>
      </w:pPr>
      <w:r w:rsidRPr="795CE096">
        <w:rPr>
          <w:sz w:val="24"/>
          <w:szCs w:val="24"/>
        </w:rPr>
        <w:t>Aggregate ramp magnitude is reduced.</w:t>
      </w:r>
    </w:p>
    <w:p w14:paraId="49CD7943" w14:textId="77777777" w:rsidR="003F4A39" w:rsidRPr="00C27CA4" w:rsidRDefault="003F4A39" w:rsidP="00846D08">
      <w:pPr>
        <w:numPr>
          <w:ilvl w:val="0"/>
          <w:numId w:val="15"/>
        </w:numPr>
        <w:spacing w:after="160" w:line="259" w:lineRule="auto"/>
        <w:jc w:val="both"/>
        <w:rPr>
          <w:rFonts w:asciiTheme="minorHAnsi" w:eastAsiaTheme="minorEastAsia" w:hAnsiTheme="minorHAnsi" w:cstheme="minorBidi"/>
          <w:sz w:val="28"/>
          <w:szCs w:val="28"/>
        </w:rPr>
      </w:pPr>
      <w:r w:rsidRPr="795CE096">
        <w:rPr>
          <w:sz w:val="24"/>
          <w:szCs w:val="24"/>
        </w:rPr>
        <w:t>Frequency deviation and RoCoF are moderated.</w:t>
      </w:r>
    </w:p>
    <w:p w14:paraId="6AB1DC2C" w14:textId="77777777" w:rsidR="003F4A39" w:rsidRPr="00C27CA4" w:rsidRDefault="003F4A39" w:rsidP="00846D08">
      <w:pPr>
        <w:numPr>
          <w:ilvl w:val="0"/>
          <w:numId w:val="15"/>
        </w:numPr>
        <w:spacing w:after="160" w:line="259" w:lineRule="auto"/>
        <w:jc w:val="both"/>
        <w:rPr>
          <w:rFonts w:asciiTheme="minorHAnsi" w:eastAsiaTheme="minorEastAsia" w:hAnsiTheme="minorHAnsi" w:cstheme="minorBidi"/>
          <w:sz w:val="28"/>
          <w:szCs w:val="28"/>
        </w:rPr>
      </w:pPr>
      <w:r w:rsidRPr="795CE096">
        <w:rPr>
          <w:sz w:val="24"/>
          <w:szCs w:val="24"/>
        </w:rPr>
        <w:t>Unsafe firmware installation is deterministically blocked.</w:t>
      </w:r>
    </w:p>
    <w:p w14:paraId="44588636" w14:textId="432F5571" w:rsidR="003F4A39" w:rsidRDefault="003F4A39" w:rsidP="005641B9">
      <w:pPr>
        <w:spacing w:after="160" w:line="259" w:lineRule="auto"/>
        <w:jc w:val="both"/>
        <w:rPr>
          <w:rFonts w:asciiTheme="minorHAnsi" w:eastAsiaTheme="minorEastAsia" w:hAnsiTheme="minorHAnsi" w:cstheme="minorBidi"/>
          <w:sz w:val="28"/>
          <w:szCs w:val="28"/>
        </w:rPr>
      </w:pPr>
      <w:r w:rsidRPr="795CE096">
        <w:rPr>
          <w:sz w:val="24"/>
          <w:szCs w:val="24"/>
        </w:rPr>
        <w:t>These findings directly link cybersecurity assurance to DER stability outcomes. Given Australia’s projected EV adoption trajectory [1–3], proactive sovereign firmware governance reduces systemic fleet-level risk, mitigates infrastructure augmentation pressures, and strengthens resilience within the transitioning electricity system.</w:t>
      </w:r>
    </w:p>
    <w:p w14:paraId="18B6FB62" w14:textId="77777777" w:rsidR="00376857" w:rsidRDefault="00376857" w:rsidP="005641B9">
      <w:pPr>
        <w:spacing w:after="160" w:line="259" w:lineRule="auto"/>
        <w:jc w:val="both"/>
        <w:rPr>
          <w:rFonts w:asciiTheme="minorHAnsi" w:eastAsiaTheme="minorEastAsia" w:hAnsiTheme="minorHAnsi" w:cstheme="minorBidi"/>
        </w:rPr>
      </w:pPr>
    </w:p>
    <w:p w14:paraId="3951ED74" w14:textId="77777777" w:rsidR="00376857" w:rsidRDefault="00376857" w:rsidP="005641B9">
      <w:pPr>
        <w:spacing w:after="160" w:line="259" w:lineRule="auto"/>
        <w:jc w:val="both"/>
        <w:rPr>
          <w:rFonts w:asciiTheme="minorHAnsi" w:eastAsiaTheme="minorEastAsia" w:hAnsiTheme="minorHAnsi" w:cstheme="minorBidi"/>
        </w:rPr>
      </w:pPr>
    </w:p>
    <w:p w14:paraId="247D3DBF" w14:textId="77777777" w:rsidR="00376857" w:rsidRDefault="00376857" w:rsidP="005641B9">
      <w:pPr>
        <w:spacing w:after="160" w:line="259" w:lineRule="auto"/>
        <w:jc w:val="both"/>
        <w:rPr>
          <w:rFonts w:asciiTheme="minorHAnsi" w:eastAsiaTheme="minorEastAsia" w:hAnsiTheme="minorHAnsi" w:cstheme="minorBidi"/>
        </w:rPr>
      </w:pPr>
    </w:p>
    <w:p w14:paraId="175AFEAA" w14:textId="77777777" w:rsidR="00376857" w:rsidRDefault="00376857" w:rsidP="005641B9">
      <w:pPr>
        <w:spacing w:after="160" w:line="259" w:lineRule="auto"/>
        <w:jc w:val="both"/>
        <w:rPr>
          <w:rFonts w:asciiTheme="minorHAnsi" w:eastAsiaTheme="minorEastAsia" w:hAnsiTheme="minorHAnsi" w:cstheme="minorBidi"/>
        </w:rPr>
      </w:pPr>
    </w:p>
    <w:p w14:paraId="316E78B9" w14:textId="77777777" w:rsidR="00376857" w:rsidRDefault="00376857" w:rsidP="005641B9">
      <w:pPr>
        <w:spacing w:after="160" w:line="259" w:lineRule="auto"/>
        <w:jc w:val="both"/>
        <w:rPr>
          <w:rFonts w:asciiTheme="minorHAnsi" w:eastAsiaTheme="minorEastAsia" w:hAnsiTheme="minorHAnsi" w:cstheme="minorBidi"/>
        </w:rPr>
      </w:pPr>
    </w:p>
    <w:p w14:paraId="74B8D6A7" w14:textId="77777777" w:rsidR="00376857" w:rsidRDefault="00376857" w:rsidP="003F4A39">
      <w:pPr>
        <w:spacing w:after="160" w:line="259" w:lineRule="auto"/>
        <w:rPr>
          <w:rFonts w:asciiTheme="minorHAnsi" w:eastAsiaTheme="minorEastAsia" w:hAnsiTheme="minorHAnsi" w:cstheme="minorBidi"/>
        </w:rPr>
      </w:pPr>
    </w:p>
    <w:p w14:paraId="44C2752E" w14:textId="77777777" w:rsidR="00376857" w:rsidRDefault="00376857" w:rsidP="003F4A39">
      <w:pPr>
        <w:spacing w:after="160" w:line="259" w:lineRule="auto"/>
        <w:rPr>
          <w:rFonts w:asciiTheme="minorHAnsi" w:eastAsiaTheme="minorEastAsia" w:hAnsiTheme="minorHAnsi" w:cstheme="minorBidi"/>
        </w:rPr>
      </w:pPr>
    </w:p>
    <w:p w14:paraId="154D238C" w14:textId="77777777" w:rsidR="00376857" w:rsidRDefault="00376857" w:rsidP="003F4A39">
      <w:pPr>
        <w:spacing w:after="160" w:line="259" w:lineRule="auto"/>
        <w:rPr>
          <w:rFonts w:asciiTheme="minorHAnsi" w:eastAsiaTheme="minorEastAsia" w:hAnsiTheme="minorHAnsi" w:cstheme="minorBidi"/>
        </w:rPr>
      </w:pPr>
    </w:p>
    <w:p w14:paraId="70AD55DC" w14:textId="77777777" w:rsidR="00376857" w:rsidRDefault="00376857" w:rsidP="003F4A39">
      <w:pPr>
        <w:spacing w:after="160" w:line="259" w:lineRule="auto"/>
        <w:rPr>
          <w:rFonts w:asciiTheme="minorHAnsi" w:eastAsiaTheme="minorEastAsia" w:hAnsiTheme="minorHAnsi" w:cstheme="minorBidi"/>
        </w:rPr>
      </w:pPr>
    </w:p>
    <w:p w14:paraId="5AFAC379" w14:textId="77777777" w:rsidR="00376857" w:rsidRDefault="00376857" w:rsidP="003F4A39">
      <w:pPr>
        <w:spacing w:after="160" w:line="259" w:lineRule="auto"/>
        <w:rPr>
          <w:rFonts w:asciiTheme="minorHAnsi" w:eastAsiaTheme="minorEastAsia" w:hAnsiTheme="minorHAnsi" w:cstheme="minorBidi"/>
        </w:rPr>
      </w:pPr>
    </w:p>
    <w:p w14:paraId="78089FB6" w14:textId="77777777" w:rsidR="00376857" w:rsidRDefault="00376857" w:rsidP="003F4A39">
      <w:pPr>
        <w:spacing w:after="160" w:line="259" w:lineRule="auto"/>
        <w:rPr>
          <w:rFonts w:asciiTheme="minorHAnsi" w:eastAsiaTheme="minorEastAsia" w:hAnsiTheme="minorHAnsi" w:cstheme="minorBidi"/>
        </w:rPr>
      </w:pPr>
    </w:p>
    <w:p w14:paraId="4BABF5F5" w14:textId="77777777" w:rsidR="00376857" w:rsidRDefault="00376857" w:rsidP="003F4A39">
      <w:pPr>
        <w:spacing w:after="160" w:line="259" w:lineRule="auto"/>
        <w:rPr>
          <w:rFonts w:asciiTheme="minorHAnsi" w:eastAsiaTheme="minorEastAsia" w:hAnsiTheme="minorHAnsi" w:cstheme="minorBidi"/>
        </w:rPr>
      </w:pPr>
    </w:p>
    <w:p w14:paraId="79734716" w14:textId="77777777" w:rsidR="00376857" w:rsidRDefault="00376857" w:rsidP="003F4A39">
      <w:pPr>
        <w:spacing w:after="160" w:line="259" w:lineRule="auto"/>
        <w:rPr>
          <w:rFonts w:asciiTheme="minorHAnsi" w:eastAsiaTheme="minorEastAsia" w:hAnsiTheme="minorHAnsi" w:cstheme="minorBidi"/>
        </w:rPr>
      </w:pPr>
    </w:p>
    <w:p w14:paraId="1D41355B" w14:textId="77777777" w:rsidR="00376857" w:rsidRDefault="00376857" w:rsidP="003F4A39">
      <w:pPr>
        <w:spacing w:after="160" w:line="259" w:lineRule="auto"/>
        <w:rPr>
          <w:rFonts w:asciiTheme="minorHAnsi" w:eastAsiaTheme="minorEastAsia" w:hAnsiTheme="minorHAnsi" w:cstheme="minorBidi"/>
        </w:rPr>
      </w:pPr>
    </w:p>
    <w:p w14:paraId="66FBC633" w14:textId="77777777" w:rsidR="00376857" w:rsidRDefault="00376857" w:rsidP="003F4A39">
      <w:pPr>
        <w:spacing w:after="160" w:line="259" w:lineRule="auto"/>
        <w:rPr>
          <w:rFonts w:asciiTheme="minorHAnsi" w:eastAsiaTheme="minorEastAsia" w:hAnsiTheme="minorHAnsi" w:cstheme="minorBidi"/>
        </w:rPr>
      </w:pPr>
    </w:p>
    <w:p w14:paraId="45B379C7" w14:textId="77777777" w:rsidR="00376857" w:rsidRDefault="00376857" w:rsidP="003F4A39">
      <w:pPr>
        <w:spacing w:after="160" w:line="259" w:lineRule="auto"/>
        <w:rPr>
          <w:rFonts w:asciiTheme="minorHAnsi" w:eastAsiaTheme="minorEastAsia" w:hAnsiTheme="minorHAnsi" w:cstheme="minorBidi"/>
        </w:rPr>
      </w:pPr>
    </w:p>
    <w:p w14:paraId="4AD7B0ED" w14:textId="77777777" w:rsidR="00376857" w:rsidRDefault="00376857" w:rsidP="003F4A39">
      <w:pPr>
        <w:spacing w:after="160" w:line="259" w:lineRule="auto"/>
        <w:rPr>
          <w:rFonts w:asciiTheme="minorHAnsi" w:eastAsiaTheme="minorEastAsia" w:hAnsiTheme="minorHAnsi" w:cstheme="minorBidi"/>
        </w:rPr>
      </w:pPr>
    </w:p>
    <w:p w14:paraId="244FA863" w14:textId="77777777" w:rsidR="00376857" w:rsidRDefault="00376857" w:rsidP="003F4A39">
      <w:pPr>
        <w:spacing w:after="160" w:line="259" w:lineRule="auto"/>
        <w:rPr>
          <w:rFonts w:asciiTheme="minorHAnsi" w:eastAsiaTheme="minorEastAsia" w:hAnsiTheme="minorHAnsi" w:cstheme="minorBidi"/>
        </w:rPr>
      </w:pPr>
    </w:p>
    <w:p w14:paraId="731718A6" w14:textId="77777777" w:rsidR="00376857" w:rsidRDefault="00376857" w:rsidP="003F4A39">
      <w:pPr>
        <w:spacing w:after="160" w:line="259" w:lineRule="auto"/>
        <w:rPr>
          <w:rFonts w:asciiTheme="minorHAnsi" w:eastAsiaTheme="minorEastAsia" w:hAnsiTheme="minorHAnsi" w:cstheme="minorBidi"/>
        </w:rPr>
      </w:pPr>
    </w:p>
    <w:p w14:paraId="2379E7C8" w14:textId="77777777" w:rsidR="00376857" w:rsidRDefault="00376857" w:rsidP="003F4A39">
      <w:pPr>
        <w:spacing w:after="160" w:line="259" w:lineRule="auto"/>
        <w:rPr>
          <w:rFonts w:asciiTheme="minorHAnsi" w:eastAsiaTheme="minorEastAsia" w:hAnsiTheme="minorHAnsi" w:cstheme="minorBidi"/>
        </w:rPr>
      </w:pPr>
    </w:p>
    <w:p w14:paraId="037CC530" w14:textId="77777777" w:rsidR="00376857" w:rsidRDefault="00376857" w:rsidP="003F4A39">
      <w:pPr>
        <w:spacing w:after="160" w:line="259" w:lineRule="auto"/>
        <w:rPr>
          <w:rFonts w:asciiTheme="minorHAnsi" w:eastAsiaTheme="minorEastAsia" w:hAnsiTheme="minorHAnsi" w:cstheme="minorBidi"/>
        </w:rPr>
      </w:pPr>
    </w:p>
    <w:p w14:paraId="34375211" w14:textId="2A9B3D4C" w:rsidR="00376857" w:rsidRDefault="00FA4C3C" w:rsidP="005641B9">
      <w:pPr>
        <w:pStyle w:val="Heading1"/>
        <w:jc w:val="both"/>
        <w:rPr>
          <w:rFonts w:asciiTheme="minorHAnsi" w:eastAsiaTheme="minorEastAsia" w:hAnsiTheme="minorHAnsi" w:cstheme="minorBidi"/>
          <w:b/>
        </w:rPr>
      </w:pPr>
      <w:bookmarkStart w:id="41" w:name="_Toc222954403"/>
      <w:bookmarkStart w:id="42" w:name="_Toc223022307"/>
      <w:bookmarkStart w:id="43" w:name="_Toc234310785"/>
      <w:r w:rsidRPr="1FBF9603">
        <w:rPr>
          <w:b/>
        </w:rPr>
        <w:t>Methodology</w:t>
      </w:r>
      <w:bookmarkEnd w:id="41"/>
      <w:bookmarkEnd w:id="42"/>
      <w:bookmarkEnd w:id="43"/>
      <w:r w:rsidRPr="1FBF9603">
        <w:rPr>
          <w:b/>
        </w:rPr>
        <w:t xml:space="preserve"> </w:t>
      </w:r>
    </w:p>
    <w:p w14:paraId="58182313" w14:textId="2FAB2A0C" w:rsidR="0031442C" w:rsidRPr="005C445C" w:rsidRDefault="0031442C" w:rsidP="005C445C">
      <w:pPr>
        <w:pStyle w:val="NormalWeb"/>
        <w:jc w:val="both"/>
        <w:rPr>
          <w:rFonts w:asciiTheme="minorHAnsi" w:eastAsiaTheme="minorEastAsia" w:hAnsiTheme="minorHAnsi" w:cstheme="minorBidi"/>
        </w:rPr>
      </w:pPr>
      <w:r w:rsidRPr="795CE096">
        <w:rPr>
          <w:rFonts w:ascii="Calibri" w:hAnsi="Calibri"/>
        </w:rPr>
        <w:t>DER Stability Topic 9-2 presents a uniquely challenging research domain. Unlike conventional stability studies focused solely on inverter dynamics or power system modelling [16], [17], this project addresses the stability implications of cyber-enabled DERs. Specifically, it investigates how Electric Vehicle Supply Equipment (EVSE), as grid-edge cyber-physical assets, may influence DER and grid stability under both normal and adversarial conditions. EVSE systems operate within a heterogeneous and deeply interconnected ecosystem comprising diverse stakeholders, including Original Equipment Manufacturers (OEMs), Charge Point Operators (CPOs), Distribution Network Service Providers (DNSPs), aggregators, DERMS platforms, cloud service providers, and end users. Each stakeholder introduces distinct trust boundaries, operational responsibilities, and technical dependencies.</w:t>
      </w:r>
      <w:r w:rsidR="004A6D54" w:rsidRPr="795CE096">
        <w:rPr>
          <w:rFonts w:ascii="Calibri" w:hAnsi="Calibri"/>
        </w:rPr>
        <w:t xml:space="preserve"> </w:t>
      </w:r>
      <w:r w:rsidRPr="795CE096">
        <w:rPr>
          <w:rFonts w:ascii="Calibri" w:hAnsi="Calibri"/>
        </w:rPr>
        <w:t>From a systems perspective, EVSE infrastructure integrates multiple technological domains:</w:t>
      </w:r>
    </w:p>
    <w:p w14:paraId="5DCB92ED" w14:textId="77777777" w:rsidR="0031442C" w:rsidRPr="005C445C" w:rsidRDefault="0031442C" w:rsidP="00846D08">
      <w:pPr>
        <w:pStyle w:val="ListParagraph"/>
        <w:numPr>
          <w:ilvl w:val="0"/>
          <w:numId w:val="17"/>
        </w:numPr>
        <w:spacing w:after="160" w:line="259" w:lineRule="auto"/>
        <w:jc w:val="both"/>
        <w:rPr>
          <w:rFonts w:asciiTheme="minorHAnsi" w:eastAsiaTheme="minorEastAsia" w:hAnsiTheme="minorHAnsi" w:cstheme="minorBidi"/>
        </w:rPr>
      </w:pPr>
      <w:r w:rsidRPr="795CE096">
        <w:t>Cyber-Physical Systems (CPS) controlling real-time power electronics</w:t>
      </w:r>
    </w:p>
    <w:p w14:paraId="0B0FE73F" w14:textId="77777777" w:rsidR="0031442C" w:rsidRPr="005C445C" w:rsidRDefault="0031442C" w:rsidP="00846D08">
      <w:pPr>
        <w:pStyle w:val="ListParagraph"/>
        <w:numPr>
          <w:ilvl w:val="0"/>
          <w:numId w:val="17"/>
        </w:numPr>
        <w:spacing w:after="160" w:line="259" w:lineRule="auto"/>
        <w:jc w:val="both"/>
        <w:rPr>
          <w:rFonts w:asciiTheme="minorHAnsi" w:eastAsiaTheme="minorEastAsia" w:hAnsiTheme="minorHAnsi" w:cstheme="minorBidi"/>
        </w:rPr>
      </w:pPr>
      <w:r w:rsidRPr="795CE096">
        <w:t>IoT-enabled connectivity and remote management platforms</w:t>
      </w:r>
    </w:p>
    <w:p w14:paraId="011AD93F" w14:textId="77777777" w:rsidR="0031442C" w:rsidRPr="005C445C" w:rsidRDefault="0031442C" w:rsidP="00846D08">
      <w:pPr>
        <w:pStyle w:val="ListParagraph"/>
        <w:numPr>
          <w:ilvl w:val="0"/>
          <w:numId w:val="17"/>
        </w:numPr>
        <w:spacing w:after="160" w:line="259" w:lineRule="auto"/>
        <w:jc w:val="both"/>
        <w:rPr>
          <w:rFonts w:asciiTheme="minorHAnsi" w:eastAsiaTheme="minorEastAsia" w:hAnsiTheme="minorHAnsi" w:cstheme="minorBidi"/>
        </w:rPr>
      </w:pPr>
      <w:r w:rsidRPr="795CE096">
        <w:t>Enterprise IT systems governing billing, authentication, and orchestration</w:t>
      </w:r>
    </w:p>
    <w:p w14:paraId="529378C9" w14:textId="77777777" w:rsidR="0031442C" w:rsidRPr="005C445C" w:rsidRDefault="0031442C" w:rsidP="00846D08">
      <w:pPr>
        <w:pStyle w:val="ListParagraph"/>
        <w:numPr>
          <w:ilvl w:val="0"/>
          <w:numId w:val="17"/>
        </w:numPr>
        <w:spacing w:after="160" w:line="259" w:lineRule="auto"/>
        <w:jc w:val="both"/>
        <w:rPr>
          <w:rFonts w:asciiTheme="minorHAnsi" w:eastAsiaTheme="minorEastAsia" w:hAnsiTheme="minorHAnsi" w:cstheme="minorBidi"/>
        </w:rPr>
      </w:pPr>
      <w:r w:rsidRPr="795CE096">
        <w:t>Grid-interfacing operational technology (OT) components</w:t>
      </w:r>
    </w:p>
    <w:p w14:paraId="156CA704" w14:textId="1862AB3D" w:rsidR="0031442C" w:rsidRPr="005C445C" w:rsidRDefault="0031442C" w:rsidP="005C445C">
      <w:pPr>
        <w:pStyle w:val="NormalWeb"/>
        <w:jc w:val="both"/>
        <w:rPr>
          <w:rFonts w:asciiTheme="minorHAnsi" w:eastAsiaTheme="minorEastAsia" w:hAnsiTheme="minorHAnsi" w:cstheme="minorBidi"/>
        </w:rPr>
      </w:pPr>
      <w:r w:rsidRPr="795CE096">
        <w:rPr>
          <w:rFonts w:ascii="Calibri" w:hAnsi="Calibri"/>
        </w:rPr>
        <w:t>This convergence creates a layered IT–OT–grid architecture with complex interdependencies. At the device level, EVSE units are embedded systems typically incorporating System-on-Chip (SoC) controllers (e.g., real-time control cores and application processors), Human-Machine Interfaces (HMIs), cryptographic modules, and in some cases</w:t>
      </w:r>
      <w:r w:rsidR="004A6D54" w:rsidRPr="795CE096">
        <w:rPr>
          <w:rFonts w:ascii="Calibri" w:hAnsi="Calibri"/>
        </w:rPr>
        <w:t>,</w:t>
      </w:r>
      <w:r w:rsidRPr="795CE096">
        <w:rPr>
          <w:rFonts w:ascii="Calibri" w:hAnsi="Calibri"/>
        </w:rPr>
        <w:t xml:space="preserve"> secure elements or Trusted Platform Modules (TPMs). These components manage power conversion, charging control, and communication functions simultaneously.</w:t>
      </w:r>
    </w:p>
    <w:p w14:paraId="0BDE6C04" w14:textId="77777777" w:rsidR="0031442C" w:rsidRDefault="0031442C" w:rsidP="005641B9">
      <w:pPr>
        <w:spacing w:after="160" w:line="259" w:lineRule="auto"/>
        <w:jc w:val="both"/>
        <w:rPr>
          <w:rFonts w:asciiTheme="minorHAnsi" w:eastAsiaTheme="minorEastAsia" w:hAnsiTheme="minorHAnsi" w:cstheme="minorBidi"/>
          <w:sz w:val="24"/>
          <w:szCs w:val="24"/>
        </w:rPr>
      </w:pPr>
      <w:r w:rsidRPr="795CE096">
        <w:rPr>
          <w:sz w:val="24"/>
          <w:szCs w:val="24"/>
        </w:rPr>
        <w:t>Connectivity is multi-layered and multi-protocol:</w:t>
      </w:r>
    </w:p>
    <w:p w14:paraId="023BF4B1" w14:textId="2E90DE3D" w:rsidR="0031442C" w:rsidRPr="005C445C" w:rsidRDefault="0031442C" w:rsidP="00846D08">
      <w:pPr>
        <w:pStyle w:val="ListParagraph"/>
        <w:numPr>
          <w:ilvl w:val="0"/>
          <w:numId w:val="18"/>
        </w:numPr>
        <w:spacing w:after="160" w:line="259" w:lineRule="auto"/>
        <w:jc w:val="both"/>
        <w:rPr>
          <w:rFonts w:asciiTheme="minorHAnsi" w:eastAsiaTheme="minorEastAsia" w:hAnsiTheme="minorHAnsi" w:cstheme="minorBidi"/>
        </w:rPr>
      </w:pPr>
      <w:r w:rsidRPr="795CE096">
        <w:t xml:space="preserve">Vehicle-to-charger interaction via ISO 15118 </w:t>
      </w:r>
      <w:r w:rsidR="00D62CBA" w:rsidRPr="795CE096">
        <w:t>overpower</w:t>
      </w:r>
      <w:r w:rsidRPr="795CE096">
        <w:t xml:space="preserve"> Line Communication (PLC) </w:t>
      </w:r>
    </w:p>
    <w:p w14:paraId="599B7E09" w14:textId="273E0D42" w:rsidR="0031442C" w:rsidRPr="005C445C" w:rsidRDefault="0031442C" w:rsidP="00846D08">
      <w:pPr>
        <w:pStyle w:val="ListParagraph"/>
        <w:numPr>
          <w:ilvl w:val="0"/>
          <w:numId w:val="18"/>
        </w:numPr>
        <w:spacing w:after="160" w:line="259" w:lineRule="auto"/>
        <w:jc w:val="both"/>
        <w:rPr>
          <w:rFonts w:asciiTheme="minorHAnsi" w:eastAsiaTheme="minorEastAsia" w:hAnsiTheme="minorHAnsi" w:cstheme="minorBidi"/>
        </w:rPr>
      </w:pPr>
      <w:r w:rsidRPr="795CE096">
        <w:t xml:space="preserve">Backend orchestration through the Open Charge Point Protocol (OCPP) over TCP/IP networks </w:t>
      </w:r>
    </w:p>
    <w:p w14:paraId="38512605" w14:textId="77777777" w:rsidR="0031442C" w:rsidRPr="005C445C" w:rsidRDefault="0031442C" w:rsidP="00846D08">
      <w:pPr>
        <w:pStyle w:val="ListParagraph"/>
        <w:numPr>
          <w:ilvl w:val="0"/>
          <w:numId w:val="18"/>
        </w:numPr>
        <w:spacing w:after="160" w:line="259" w:lineRule="auto"/>
        <w:jc w:val="both"/>
        <w:rPr>
          <w:rFonts w:asciiTheme="minorHAnsi" w:eastAsiaTheme="minorEastAsia" w:hAnsiTheme="minorHAnsi" w:cstheme="minorBidi"/>
        </w:rPr>
      </w:pPr>
      <w:r w:rsidRPr="795CE096">
        <w:t>CSMS integration via REST APIs and OAuth2-based authentication</w:t>
      </w:r>
    </w:p>
    <w:p w14:paraId="6D4118D5" w14:textId="77777777" w:rsidR="0031442C" w:rsidRPr="005C445C" w:rsidRDefault="0031442C" w:rsidP="00846D08">
      <w:pPr>
        <w:pStyle w:val="ListParagraph"/>
        <w:numPr>
          <w:ilvl w:val="0"/>
          <w:numId w:val="18"/>
        </w:numPr>
        <w:spacing w:after="160" w:line="259" w:lineRule="auto"/>
        <w:jc w:val="both"/>
        <w:rPr>
          <w:rFonts w:asciiTheme="minorHAnsi" w:eastAsiaTheme="minorEastAsia" w:hAnsiTheme="minorHAnsi" w:cstheme="minorBidi"/>
        </w:rPr>
      </w:pPr>
      <w:r w:rsidRPr="795CE096">
        <w:t>Grid-facing integration through Modbus/TCP, IEC 61850, or IEEE 2030.5 for DER coordination</w:t>
      </w:r>
    </w:p>
    <w:p w14:paraId="619DDA28" w14:textId="58A9B7B7" w:rsidR="0031442C" w:rsidRPr="005C445C" w:rsidRDefault="0031442C" w:rsidP="005C445C">
      <w:pPr>
        <w:pStyle w:val="NormalWeb"/>
        <w:jc w:val="both"/>
        <w:rPr>
          <w:rFonts w:asciiTheme="minorHAnsi" w:eastAsiaTheme="minorEastAsia" w:hAnsiTheme="minorHAnsi" w:cstheme="minorBidi"/>
        </w:rPr>
      </w:pPr>
      <w:r w:rsidRPr="795CE096">
        <w:rPr>
          <w:rFonts w:ascii="Calibri" w:hAnsi="Calibri"/>
        </w:rPr>
        <w:t>Each of these communication pathways carries distinct parameter sets, configuration variables, authentication models, and vulnerability profiles [5], [6], [10]. While individual protocol security properties have been studied in isolation [4–8], limited research has systematically explored how these components interact across cyber and power domains, particularly under coordinated or adversarial manipulation.</w:t>
      </w:r>
    </w:p>
    <w:p w14:paraId="428D909D" w14:textId="77777777" w:rsidR="00C4409B" w:rsidRPr="005C445C" w:rsidRDefault="0031442C" w:rsidP="005C445C">
      <w:pPr>
        <w:pStyle w:val="NormalWeb"/>
        <w:jc w:val="both"/>
        <w:rPr>
          <w:rFonts w:asciiTheme="minorHAnsi" w:eastAsiaTheme="minorEastAsia" w:hAnsiTheme="minorHAnsi" w:cstheme="minorBidi"/>
        </w:rPr>
      </w:pPr>
      <w:r w:rsidRPr="795CE096">
        <w:rPr>
          <w:rFonts w:ascii="Calibri" w:hAnsi="Calibri"/>
        </w:rPr>
        <w:t>Critically, firmware forms the operational core of EVSE systems. Firmware governs charging limits, safety interlocks, communication handling routines, and power regulation logic. Its integrity and sovereignty are therefore central to device behaviour. However, firmware supply chains involve third-party software dependencies, signing authorities, and distributed update mechanisms, introducing systemic attack vectors [14]. In high-DER environments characterised by reduced inertia and tighter voltage margins [1], [2], coordinated firmware manipulation could induce synchronised load ramps, alter charging frequency behaviour, or suppress protection logic — thereby influencing feeder stability. The interaction between cyber compromise and power flow dynamics remains insufficiently characterised in current literature.</w:t>
      </w:r>
      <w:r w:rsidR="00C4409B" w:rsidRPr="795CE096">
        <w:rPr>
          <w:rFonts w:ascii="Calibri" w:hAnsi="Calibri"/>
        </w:rPr>
        <w:t xml:space="preserve"> The central methodological challenge is therefore twofold:</w:t>
      </w:r>
    </w:p>
    <w:p w14:paraId="4BF1ABDB" w14:textId="77777777" w:rsidR="00C4409B" w:rsidRPr="00C4409B" w:rsidRDefault="00C4409B" w:rsidP="00846D08">
      <w:pPr>
        <w:numPr>
          <w:ilvl w:val="0"/>
          <w:numId w:val="19"/>
        </w:numPr>
        <w:spacing w:after="160" w:line="259" w:lineRule="auto"/>
        <w:jc w:val="both"/>
        <w:rPr>
          <w:rFonts w:asciiTheme="minorHAnsi" w:eastAsiaTheme="minorEastAsia" w:hAnsiTheme="minorHAnsi" w:cstheme="minorBidi"/>
          <w:sz w:val="24"/>
          <w:szCs w:val="24"/>
        </w:rPr>
      </w:pPr>
      <w:r w:rsidRPr="795CE096">
        <w:rPr>
          <w:sz w:val="24"/>
          <w:szCs w:val="24"/>
        </w:rPr>
        <w:t>To systematically model and quantify the cyber-physical risk pathways within the EVSE ecosystem.</w:t>
      </w:r>
    </w:p>
    <w:p w14:paraId="115ABBB7" w14:textId="77777777" w:rsidR="00C4409B" w:rsidRPr="00C4409B" w:rsidRDefault="00C4409B" w:rsidP="00846D08">
      <w:pPr>
        <w:numPr>
          <w:ilvl w:val="0"/>
          <w:numId w:val="19"/>
        </w:numPr>
        <w:spacing w:after="160" w:line="259" w:lineRule="auto"/>
        <w:jc w:val="both"/>
        <w:rPr>
          <w:rFonts w:asciiTheme="minorHAnsi" w:eastAsiaTheme="minorEastAsia" w:hAnsiTheme="minorHAnsi" w:cstheme="minorBidi"/>
          <w:sz w:val="24"/>
          <w:szCs w:val="24"/>
        </w:rPr>
      </w:pPr>
      <w:r w:rsidRPr="795CE096">
        <w:rPr>
          <w:sz w:val="24"/>
          <w:szCs w:val="24"/>
        </w:rPr>
        <w:t>To design and validate an embedded architectural mechanism capable of enforcing grid-safe operational constraints independent of primary firmware behaviour.</w:t>
      </w:r>
    </w:p>
    <w:p w14:paraId="6487CEA8" w14:textId="17CF80D8" w:rsidR="00AC2561" w:rsidRDefault="00AC2561" w:rsidP="00AC2561">
      <w:pPr>
        <w:pStyle w:val="Heading2"/>
        <w:rPr>
          <w:rFonts w:asciiTheme="minorHAnsi" w:eastAsiaTheme="minorEastAsia" w:hAnsiTheme="minorHAnsi" w:cstheme="minorBidi"/>
          <w:b/>
          <w:color w:val="auto"/>
        </w:rPr>
      </w:pPr>
      <w:bookmarkStart w:id="44" w:name="_Toc222954404"/>
      <w:bookmarkStart w:id="45" w:name="_Toc223022308"/>
      <w:bookmarkStart w:id="46" w:name="_Toc234310786"/>
      <w:r w:rsidRPr="7D1DDD1F">
        <w:rPr>
          <w:b/>
          <w:color w:val="auto"/>
        </w:rPr>
        <w:t>Scientific Exploratory Methodology</w:t>
      </w:r>
      <w:bookmarkEnd w:id="44"/>
      <w:bookmarkEnd w:id="45"/>
      <w:bookmarkEnd w:id="46"/>
      <w:r w:rsidRPr="7D1DDD1F">
        <w:rPr>
          <w:b/>
          <w:color w:val="auto"/>
        </w:rPr>
        <w:t xml:space="preserve"> </w:t>
      </w:r>
    </w:p>
    <w:p w14:paraId="6870DDDC" w14:textId="43034967" w:rsidR="00522B14" w:rsidRPr="00522B14" w:rsidRDefault="00522B14" w:rsidP="005641B9">
      <w:pPr>
        <w:pStyle w:val="NormalWeb"/>
        <w:jc w:val="both"/>
        <w:rPr>
          <w:rFonts w:asciiTheme="minorHAnsi" w:eastAsiaTheme="minorEastAsia" w:hAnsiTheme="minorHAnsi" w:cstheme="minorBidi"/>
        </w:rPr>
      </w:pPr>
      <w:r w:rsidRPr="615A0565">
        <w:rPr>
          <w:rFonts w:ascii="Calibri" w:hAnsi="Calibri"/>
        </w:rPr>
        <w:t>To address the DER</w:t>
      </w:r>
      <w:r w:rsidR="004D08BF" w:rsidRPr="615A0565">
        <w:rPr>
          <w:rFonts w:ascii="Calibri" w:hAnsi="Calibri"/>
        </w:rPr>
        <w:t xml:space="preserve"> </w:t>
      </w:r>
      <w:r w:rsidRPr="615A0565">
        <w:rPr>
          <w:rFonts w:ascii="Calibri" w:hAnsi="Calibri"/>
        </w:rPr>
        <w:t>cybersecurity and stability challenge</w:t>
      </w:r>
      <w:r w:rsidR="004D08BF" w:rsidRPr="615A0565">
        <w:rPr>
          <w:rFonts w:ascii="Calibri" w:hAnsi="Calibri"/>
        </w:rPr>
        <w:t>s</w:t>
      </w:r>
      <w:r w:rsidRPr="615A0565">
        <w:rPr>
          <w:rFonts w:ascii="Calibri" w:hAnsi="Calibri"/>
        </w:rPr>
        <w:t xml:space="preserve">, </w:t>
      </w:r>
      <w:r w:rsidR="004D08BF" w:rsidRPr="615A0565">
        <w:rPr>
          <w:rFonts w:ascii="Calibri" w:hAnsi="Calibri"/>
        </w:rPr>
        <w:t xml:space="preserve">this </w:t>
      </w:r>
      <w:r w:rsidRPr="615A0565">
        <w:rPr>
          <w:rFonts w:ascii="Calibri" w:hAnsi="Calibri"/>
        </w:rPr>
        <w:t>project adopted a structured, evidence-based</w:t>
      </w:r>
      <w:r w:rsidR="00A02267" w:rsidRPr="615A0565">
        <w:rPr>
          <w:rFonts w:ascii="Calibri" w:hAnsi="Calibri"/>
        </w:rPr>
        <w:t>, and</w:t>
      </w:r>
      <w:r w:rsidRPr="615A0565">
        <w:rPr>
          <w:rFonts w:ascii="Calibri" w:hAnsi="Calibri"/>
        </w:rPr>
        <w:t xml:space="preserve"> exploratory methodology grounded in systems security engineering and risk-informed design principles. Consistent with multidisciplinary security engineering guidance [26], the approach integrates architectural analysis, threat modelling, and validation within a unified engineering workflow rather than treating cybersecurity as a compliance overlay</w:t>
      </w:r>
      <w:r w:rsidR="00E075C9" w:rsidRPr="615A0565">
        <w:rPr>
          <w:rFonts w:ascii="Calibri" w:hAnsi="Calibri"/>
        </w:rPr>
        <w:t>. Please refer to Figure 3</w:t>
      </w:r>
      <w:r w:rsidR="00FD0261" w:rsidRPr="615A0565">
        <w:rPr>
          <w:rFonts w:ascii="Calibri" w:hAnsi="Calibri"/>
        </w:rPr>
        <w:t xml:space="preserve"> for the overall structure of the methodology</w:t>
      </w:r>
      <w:r w:rsidR="00E075C9" w:rsidRPr="615A0565">
        <w:rPr>
          <w:rFonts w:ascii="Calibri" w:hAnsi="Calibri"/>
        </w:rPr>
        <w:t xml:space="preserve">. </w:t>
      </w:r>
      <w:r w:rsidRPr="615A0565">
        <w:rPr>
          <w:rFonts w:ascii="Calibri" w:hAnsi="Calibri"/>
        </w:rPr>
        <w:t>The methodology progresses systematically from ecosystem characterisation to empirical cyber–physical validation. Guided by structured risk assessment frameworks [27], the study began with formal modelling of EVSE architectural dependencies and trust boundaries, followed by adversarial threat mapping and stability-oriented impact assessment. Recognising that DER-edge infrastructure operates as an integrated cyber–physical system, digital compromise pathways were analysed in terms of measurable physical consequences, consistent with established smart grid CPS security research [28].</w:t>
      </w:r>
    </w:p>
    <w:p w14:paraId="54F380F5" w14:textId="4AFE7DD5" w:rsidR="00C255B9" w:rsidRDefault="00522B14" w:rsidP="005641B9">
      <w:pPr>
        <w:pStyle w:val="NormalWeb"/>
        <w:jc w:val="both"/>
        <w:rPr>
          <w:rFonts w:asciiTheme="minorHAnsi" w:eastAsiaTheme="minorEastAsia" w:hAnsiTheme="minorHAnsi" w:cstheme="minorBidi"/>
        </w:rPr>
      </w:pPr>
      <w:r w:rsidRPr="615A0565">
        <w:rPr>
          <w:rFonts w:ascii="Calibri" w:hAnsi="Calibri"/>
        </w:rPr>
        <w:t>To ensure empirical grounding, the framework incorporated co-simulation as a validation mechanism. Co-simulation methodologies are widely recognised for analysing coupled electrical and communication dynamics in intelligent power systems [29], and federated modelling environments such as HELICS provide validated infrastructure for cross-domain synchronisation [30]</w:t>
      </w:r>
      <w:r w:rsidR="00917BC9" w:rsidRPr="615A0565">
        <w:rPr>
          <w:rFonts w:ascii="Calibri" w:hAnsi="Calibri"/>
        </w:rPr>
        <w:t xml:space="preserve">, enabling </w:t>
      </w:r>
      <w:r w:rsidRPr="615A0565">
        <w:rPr>
          <w:rFonts w:ascii="Calibri" w:hAnsi="Calibri"/>
        </w:rPr>
        <w:t>firmware governance and backend control logic to be evaluated against measurable stability metrics rather than theoretical assumptions</w:t>
      </w:r>
      <w:r w:rsidR="00A1236A" w:rsidRPr="615A0565">
        <w:rPr>
          <w:rFonts w:ascii="Calibri" w:hAnsi="Calibri"/>
        </w:rPr>
        <w:t>.</w:t>
      </w:r>
    </w:p>
    <w:p w14:paraId="02A0A89D" w14:textId="77777777" w:rsidR="002F32DB" w:rsidRDefault="002F32DB" w:rsidP="313C24BE">
      <w:pPr>
        <w:pStyle w:val="NormalWeb"/>
        <w:spacing w:after="160" w:line="257" w:lineRule="auto"/>
        <w:rPr>
          <w:rFonts w:ascii="Calibri" w:hAnsi="Calibri"/>
          <w:sz w:val="22"/>
          <w:szCs w:val="22"/>
        </w:rPr>
      </w:pPr>
    </w:p>
    <w:p w14:paraId="229E9E48" w14:textId="03744F80" w:rsidR="00DD7F2D" w:rsidRPr="00FD6F57" w:rsidRDefault="002F32DB" w:rsidP="00E13EFC">
      <w:pPr>
        <w:pStyle w:val="NormalWeb"/>
        <w:spacing w:after="160" w:line="257" w:lineRule="auto"/>
        <w:jc w:val="center"/>
        <w:rPr>
          <w:rFonts w:asciiTheme="minorHAnsi" w:eastAsiaTheme="minorEastAsia" w:hAnsiTheme="minorHAnsi" w:cstheme="minorBidi"/>
        </w:rPr>
      </w:pPr>
      <w:r>
        <w:rPr>
          <w:rFonts w:ascii="Calibri" w:hAnsi="Calibri"/>
          <w:noProof/>
          <w:sz w:val="22"/>
          <w:szCs w:val="22"/>
        </w:rPr>
        <w:drawing>
          <wp:inline distT="0" distB="0" distL="0" distR="0" wp14:anchorId="2CE7164A" wp14:editId="3E1DDCBE">
            <wp:extent cx="5707269" cy="861695"/>
            <wp:effectExtent l="0" t="0" r="8255" b="0"/>
            <wp:docPr id="12472241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09810" cy="862079"/>
                    </a:xfrm>
                    <a:prstGeom prst="rect">
                      <a:avLst/>
                    </a:prstGeom>
                    <a:noFill/>
                    <a:ln>
                      <a:noFill/>
                    </a:ln>
                  </pic:spPr>
                </pic:pic>
              </a:graphicData>
            </a:graphic>
          </wp:inline>
        </w:drawing>
      </w:r>
    </w:p>
    <w:p w14:paraId="79067B71" w14:textId="20EE7A09" w:rsidR="00DD7F2D" w:rsidRPr="00FD6F57" w:rsidRDefault="00640012" w:rsidP="00640012">
      <w:pPr>
        <w:pStyle w:val="Caption"/>
        <w:rPr>
          <w:rFonts w:asciiTheme="minorHAnsi" w:eastAsiaTheme="minorEastAsia" w:hAnsiTheme="minorHAnsi" w:cstheme="minorBidi"/>
          <w:i/>
          <w:color w:val="0E2841"/>
          <w:szCs w:val="20"/>
          <w:lang w:val="en-GB"/>
        </w:rPr>
      </w:pPr>
      <w:bookmarkStart w:id="47" w:name="_Toc233112209"/>
      <w:r>
        <w:t xml:space="preserve">Figure </w:t>
      </w:r>
      <w:r w:rsidR="00113348">
        <w:fldChar w:fldCharType="begin"/>
      </w:r>
      <w:r w:rsidR="00113348">
        <w:instrText xml:space="preserve"> SEQ Figure \* ARABIC </w:instrText>
      </w:r>
      <w:r w:rsidR="00113348">
        <w:fldChar w:fldCharType="separate"/>
      </w:r>
      <w:r w:rsidR="00F8092D">
        <w:rPr>
          <w:noProof/>
        </w:rPr>
        <w:t>3</w:t>
      </w:r>
      <w:r w:rsidR="00113348">
        <w:rPr>
          <w:noProof/>
        </w:rPr>
        <w:fldChar w:fldCharType="end"/>
      </w:r>
      <w:r>
        <w:t xml:space="preserve"> </w:t>
      </w:r>
      <w:r w:rsidR="31740C9C" w:rsidRPr="615A0565">
        <w:rPr>
          <w:rFonts w:ascii="Aptos" w:eastAsia="Aptos" w:hAnsi="Aptos" w:cs="Aptos"/>
          <w:i/>
          <w:color w:val="0E2841"/>
          <w:szCs w:val="20"/>
          <w:lang w:val="en-GB"/>
        </w:rPr>
        <w:t>: Scientific Exploratory Methodology.</w:t>
      </w:r>
      <w:bookmarkEnd w:id="47"/>
    </w:p>
    <w:p w14:paraId="628BDE3C" w14:textId="7BD1A16E" w:rsidR="00DD7F2D" w:rsidRPr="00FD6F57" w:rsidRDefault="00DD7F2D" w:rsidP="00AC2561">
      <w:pPr>
        <w:pStyle w:val="NormalWeb"/>
        <w:rPr>
          <w:rFonts w:asciiTheme="minorHAnsi" w:eastAsiaTheme="minorEastAsia" w:hAnsiTheme="minorHAnsi" w:cstheme="minorBidi"/>
          <w:sz w:val="22"/>
          <w:szCs w:val="22"/>
        </w:rPr>
      </w:pPr>
    </w:p>
    <w:p w14:paraId="7276100B" w14:textId="65E76795" w:rsidR="00F16677" w:rsidRPr="00F16677" w:rsidRDefault="00126AA0" w:rsidP="00F16677">
      <w:pPr>
        <w:spacing w:after="160" w:line="259" w:lineRule="auto"/>
        <w:ind w:left="432"/>
        <w:rPr>
          <w:rFonts w:asciiTheme="minorHAnsi" w:eastAsiaTheme="minorEastAsia" w:hAnsiTheme="minorHAnsi" w:cstheme="minorBidi"/>
          <w:b/>
          <w:sz w:val="24"/>
          <w:szCs w:val="24"/>
        </w:rPr>
      </w:pPr>
      <w:r w:rsidRPr="615A0565">
        <w:rPr>
          <w:b/>
          <w:sz w:val="24"/>
          <w:szCs w:val="24"/>
        </w:rPr>
        <w:t xml:space="preserve">Stage </w:t>
      </w:r>
      <w:r w:rsidR="00F16677" w:rsidRPr="615A0565">
        <w:rPr>
          <w:b/>
          <w:sz w:val="24"/>
          <w:szCs w:val="24"/>
        </w:rPr>
        <w:t xml:space="preserve"> 1: EVSE Ecosystem Exploration and Dependency Modelling</w:t>
      </w:r>
    </w:p>
    <w:p w14:paraId="11B8F4DE" w14:textId="2AA1D3E3" w:rsidR="00F16677" w:rsidRPr="006035B9" w:rsidRDefault="00F16677" w:rsidP="006035B9">
      <w:pPr>
        <w:pStyle w:val="NormalWeb"/>
        <w:jc w:val="both"/>
        <w:rPr>
          <w:rFonts w:asciiTheme="minorHAnsi" w:eastAsiaTheme="minorEastAsia" w:hAnsiTheme="minorHAnsi" w:cstheme="minorBidi"/>
        </w:rPr>
      </w:pPr>
      <w:r w:rsidRPr="615A0565">
        <w:rPr>
          <w:rFonts w:ascii="Calibri" w:hAnsi="Calibri"/>
        </w:rPr>
        <w:t xml:space="preserve">The study began with </w:t>
      </w:r>
      <w:r w:rsidR="009F0DE2" w:rsidRPr="615A0565">
        <w:rPr>
          <w:rFonts w:ascii="Calibri" w:hAnsi="Calibri"/>
        </w:rPr>
        <w:t xml:space="preserve">a </w:t>
      </w:r>
      <w:r w:rsidRPr="615A0565">
        <w:rPr>
          <w:rFonts w:ascii="Calibri" w:hAnsi="Calibri"/>
        </w:rPr>
        <w:t>systematic exploration of the EVSE ecosystem as a cyber-physical DER asset class. This involved identification and decomposition of core architectural components, including firmware, charge controllers, embedded operating environments, communication stacks, backend orchestration systems, and grid interfaces.</w:t>
      </w:r>
      <w:r w:rsidR="00C215C7" w:rsidRPr="615A0565">
        <w:rPr>
          <w:rFonts w:ascii="Calibri" w:hAnsi="Calibri"/>
        </w:rPr>
        <w:t xml:space="preserve"> </w:t>
      </w:r>
      <w:r w:rsidRPr="615A0565">
        <w:rPr>
          <w:rFonts w:ascii="Calibri" w:hAnsi="Calibri"/>
        </w:rPr>
        <w:t>Stakeholder trust boundaries were mapped across OEMs, Charge Point Operators (CPOs), Charging Station Management Systems (CSMS), utilities, DERMS platforms, and end users. Information flows (e.g., firmware updates, charging session commands, authentication exchanges) and power flows (active and reactive load injection into feeders) were analysed concurrently to establish cross-domain dependencies.</w:t>
      </w:r>
    </w:p>
    <w:p w14:paraId="7F96A556" w14:textId="044A0212" w:rsidR="00F16677" w:rsidRPr="006035B9" w:rsidRDefault="00C61B40" w:rsidP="006035B9">
      <w:pPr>
        <w:pStyle w:val="NormalWeb"/>
        <w:jc w:val="both"/>
        <w:rPr>
          <w:rFonts w:asciiTheme="minorHAnsi" w:eastAsiaTheme="minorEastAsia" w:hAnsiTheme="minorHAnsi" w:cstheme="minorBidi"/>
        </w:rPr>
      </w:pPr>
      <w:r w:rsidRPr="615A0565">
        <w:rPr>
          <w:rFonts w:ascii="Calibri" w:hAnsi="Calibri"/>
        </w:rPr>
        <w:t>This step developed a formal dependency model that captures interactions among firmware logic, communication protocols (e.g., ISO 15118, OCPP), backend control pathways, and distribution network behavio</w:t>
      </w:r>
      <w:r w:rsidR="00A02267" w:rsidRPr="615A0565">
        <w:rPr>
          <w:rFonts w:ascii="Calibri" w:hAnsi="Calibri"/>
        </w:rPr>
        <w:t>u</w:t>
      </w:r>
      <w:r w:rsidRPr="615A0565">
        <w:rPr>
          <w:rFonts w:ascii="Calibri" w:hAnsi="Calibri"/>
        </w:rPr>
        <w:t xml:space="preserve">r. The model </w:t>
      </w:r>
      <w:r w:rsidR="00FD0261" w:rsidRPr="615A0565">
        <w:rPr>
          <w:rFonts w:ascii="Calibri" w:hAnsi="Calibri"/>
        </w:rPr>
        <w:t>provides a structured view of how cyber-control</w:t>
      </w:r>
      <w:r w:rsidRPr="615A0565">
        <w:rPr>
          <w:rFonts w:ascii="Calibri" w:hAnsi="Calibri"/>
        </w:rPr>
        <w:t xml:space="preserve"> decisions can influence the electrical system's state.</w:t>
      </w:r>
    </w:p>
    <w:p w14:paraId="47C6036B" w14:textId="44D38E38" w:rsidR="00376857" w:rsidRPr="009F0DE2" w:rsidRDefault="00126AA0" w:rsidP="009F0DE2">
      <w:pPr>
        <w:spacing w:after="160" w:line="259" w:lineRule="auto"/>
        <w:ind w:left="432"/>
        <w:rPr>
          <w:rFonts w:asciiTheme="minorHAnsi" w:eastAsiaTheme="minorEastAsia" w:hAnsiTheme="minorHAnsi" w:cstheme="minorBidi"/>
          <w:b/>
          <w:sz w:val="24"/>
          <w:szCs w:val="24"/>
        </w:rPr>
      </w:pPr>
      <w:r w:rsidRPr="615A0565">
        <w:rPr>
          <w:b/>
          <w:sz w:val="24"/>
          <w:szCs w:val="24"/>
        </w:rPr>
        <w:t>Stage</w:t>
      </w:r>
      <w:r w:rsidR="009F0DE2" w:rsidRPr="615A0565">
        <w:rPr>
          <w:b/>
          <w:sz w:val="24"/>
          <w:szCs w:val="24"/>
        </w:rPr>
        <w:t xml:space="preserve"> 2: Evidence-Based Vulnerability and Risk Analysis</w:t>
      </w:r>
    </w:p>
    <w:p w14:paraId="246E6171" w14:textId="44CC706C" w:rsidR="00C61B40" w:rsidRPr="006035B9" w:rsidRDefault="00C61B40" w:rsidP="006035B9">
      <w:pPr>
        <w:pStyle w:val="NormalWeb"/>
        <w:jc w:val="both"/>
        <w:rPr>
          <w:rFonts w:asciiTheme="minorHAnsi" w:eastAsiaTheme="minorEastAsia" w:hAnsiTheme="minorHAnsi" w:cstheme="minorBidi"/>
        </w:rPr>
      </w:pPr>
      <w:r w:rsidRPr="615A0565">
        <w:rPr>
          <w:rFonts w:ascii="Calibri" w:hAnsi="Calibri"/>
        </w:rPr>
        <w:t>Building on the ecosystem model, a comprehensive vulnerability and risk assessment was conducted using empirical and documented threat intelligence sources. These included the CVE/NVD databases, MITRE ATT&amp;CK (with ICS mappings), ENISA supply-chain threat analyses [14], and peer-reviewed research on EV and smart grid cybersecurity [4–10].</w:t>
      </w:r>
    </w:p>
    <w:p w14:paraId="399CE812" w14:textId="77777777" w:rsidR="00C61B40" w:rsidRPr="00C61B40" w:rsidRDefault="00C61B40" w:rsidP="005641B9">
      <w:pPr>
        <w:spacing w:after="160" w:line="259" w:lineRule="auto"/>
        <w:jc w:val="both"/>
        <w:rPr>
          <w:rFonts w:asciiTheme="minorHAnsi" w:eastAsiaTheme="minorEastAsia" w:hAnsiTheme="minorHAnsi" w:cstheme="minorBidi"/>
          <w:sz w:val="28"/>
          <w:szCs w:val="28"/>
        </w:rPr>
      </w:pPr>
      <w:r w:rsidRPr="615A0565">
        <w:rPr>
          <w:sz w:val="24"/>
          <w:szCs w:val="24"/>
        </w:rPr>
        <w:t>Attack vectors were systematically classified across:</w:t>
      </w:r>
    </w:p>
    <w:p w14:paraId="537FC0F9" w14:textId="77777777" w:rsidR="00C61B40" w:rsidRPr="00BA4EF3" w:rsidRDefault="00C61B40" w:rsidP="00846D08">
      <w:pPr>
        <w:numPr>
          <w:ilvl w:val="0"/>
          <w:numId w:val="20"/>
        </w:numPr>
        <w:spacing w:after="160" w:line="259" w:lineRule="auto"/>
        <w:jc w:val="both"/>
        <w:rPr>
          <w:rFonts w:asciiTheme="minorHAnsi" w:eastAsiaTheme="minorEastAsia" w:hAnsiTheme="minorHAnsi" w:cstheme="minorBidi"/>
          <w:sz w:val="28"/>
          <w:szCs w:val="28"/>
        </w:rPr>
      </w:pPr>
      <w:r w:rsidRPr="615A0565">
        <w:rPr>
          <w:sz w:val="24"/>
          <w:szCs w:val="24"/>
        </w:rPr>
        <w:t>Firmware and boot integrity layers</w:t>
      </w:r>
    </w:p>
    <w:p w14:paraId="671AE067" w14:textId="77777777" w:rsidR="00C61B40" w:rsidRPr="00BA4EF3" w:rsidRDefault="00C61B40" w:rsidP="00846D08">
      <w:pPr>
        <w:numPr>
          <w:ilvl w:val="0"/>
          <w:numId w:val="20"/>
        </w:numPr>
        <w:spacing w:after="160" w:line="259" w:lineRule="auto"/>
        <w:jc w:val="both"/>
        <w:rPr>
          <w:rFonts w:asciiTheme="minorHAnsi" w:eastAsiaTheme="minorEastAsia" w:hAnsiTheme="minorHAnsi" w:cstheme="minorBidi"/>
          <w:sz w:val="28"/>
          <w:szCs w:val="28"/>
        </w:rPr>
      </w:pPr>
      <w:r w:rsidRPr="615A0565">
        <w:rPr>
          <w:sz w:val="24"/>
          <w:szCs w:val="24"/>
        </w:rPr>
        <w:t>Communication protocols and session management</w:t>
      </w:r>
    </w:p>
    <w:p w14:paraId="0D1FC85B" w14:textId="77777777" w:rsidR="00C61B40" w:rsidRPr="00BA4EF3" w:rsidRDefault="00C61B40" w:rsidP="00846D08">
      <w:pPr>
        <w:numPr>
          <w:ilvl w:val="0"/>
          <w:numId w:val="20"/>
        </w:numPr>
        <w:spacing w:after="160" w:line="259" w:lineRule="auto"/>
        <w:jc w:val="both"/>
        <w:rPr>
          <w:rFonts w:asciiTheme="minorHAnsi" w:eastAsiaTheme="minorEastAsia" w:hAnsiTheme="minorHAnsi" w:cstheme="minorBidi"/>
          <w:sz w:val="28"/>
          <w:szCs w:val="28"/>
        </w:rPr>
      </w:pPr>
      <w:r w:rsidRPr="615A0565">
        <w:rPr>
          <w:sz w:val="24"/>
          <w:szCs w:val="24"/>
        </w:rPr>
        <w:t>Backend orchestration and CSMS control pathways</w:t>
      </w:r>
    </w:p>
    <w:p w14:paraId="175604FB" w14:textId="77777777" w:rsidR="00C61B40" w:rsidRPr="00BA4EF3" w:rsidRDefault="00C61B40" w:rsidP="00846D08">
      <w:pPr>
        <w:numPr>
          <w:ilvl w:val="0"/>
          <w:numId w:val="20"/>
        </w:numPr>
        <w:spacing w:after="160" w:line="259" w:lineRule="auto"/>
        <w:jc w:val="both"/>
        <w:rPr>
          <w:rFonts w:asciiTheme="minorHAnsi" w:eastAsiaTheme="minorEastAsia" w:hAnsiTheme="minorHAnsi" w:cstheme="minorBidi"/>
          <w:sz w:val="28"/>
          <w:szCs w:val="28"/>
        </w:rPr>
      </w:pPr>
      <w:r w:rsidRPr="615A0565">
        <w:rPr>
          <w:sz w:val="24"/>
          <w:szCs w:val="24"/>
        </w:rPr>
        <w:t>Supply-chain and certificate governance mechanisms</w:t>
      </w:r>
    </w:p>
    <w:p w14:paraId="5A09D451" w14:textId="77777777" w:rsidR="00C61B40" w:rsidRPr="00C61B40" w:rsidRDefault="00C61B40" w:rsidP="005641B9">
      <w:pPr>
        <w:spacing w:after="160" w:line="259" w:lineRule="auto"/>
        <w:jc w:val="both"/>
        <w:rPr>
          <w:rFonts w:asciiTheme="minorHAnsi" w:eastAsiaTheme="minorEastAsia" w:hAnsiTheme="minorHAnsi" w:cstheme="minorBidi"/>
          <w:sz w:val="28"/>
          <w:szCs w:val="28"/>
        </w:rPr>
      </w:pPr>
      <w:r w:rsidRPr="615A0565">
        <w:rPr>
          <w:sz w:val="24"/>
          <w:szCs w:val="24"/>
        </w:rPr>
        <w:t>Rather than treating vulnerabilities in isolation, this step focused on identifying causal pathways by which compromise at one layer could propagate to affect device behaviour and, at fleet scale, aggregate load dynamics. This analysis revealed concentration risks associated with OEM-centric firmware trust models and limited independent enforcement at the DER edge.</w:t>
      </w:r>
    </w:p>
    <w:p w14:paraId="1AE880FF" w14:textId="1999DC4C" w:rsidR="00F87723" w:rsidRPr="00F87723" w:rsidRDefault="00126AA0" w:rsidP="00F87723">
      <w:pPr>
        <w:spacing w:after="160" w:line="259" w:lineRule="auto"/>
        <w:ind w:left="432"/>
        <w:rPr>
          <w:rFonts w:asciiTheme="minorHAnsi" w:eastAsiaTheme="minorEastAsia" w:hAnsiTheme="minorHAnsi" w:cstheme="minorBidi"/>
          <w:b/>
          <w:sz w:val="24"/>
          <w:szCs w:val="24"/>
        </w:rPr>
      </w:pPr>
      <w:r w:rsidRPr="615A0565">
        <w:rPr>
          <w:b/>
          <w:sz w:val="24"/>
          <w:szCs w:val="24"/>
        </w:rPr>
        <w:t>Stage</w:t>
      </w:r>
      <w:r w:rsidR="00F87723" w:rsidRPr="615A0565">
        <w:rPr>
          <w:b/>
          <w:sz w:val="24"/>
          <w:szCs w:val="24"/>
        </w:rPr>
        <w:t xml:space="preserve"> 3: Cyber–Physical Behavioural Analysis via Co-Simulation</w:t>
      </w:r>
    </w:p>
    <w:p w14:paraId="560781C9" w14:textId="0AD3E108" w:rsidR="00F87723" w:rsidRPr="00F87723" w:rsidRDefault="00F87723" w:rsidP="005641B9">
      <w:pPr>
        <w:spacing w:after="160" w:line="259" w:lineRule="auto"/>
        <w:jc w:val="both"/>
        <w:rPr>
          <w:rFonts w:asciiTheme="minorHAnsi" w:eastAsiaTheme="minorEastAsia" w:hAnsiTheme="minorHAnsi" w:cstheme="minorBidi"/>
          <w:sz w:val="28"/>
          <w:szCs w:val="28"/>
        </w:rPr>
      </w:pPr>
      <w:r w:rsidRPr="615A0565">
        <w:rPr>
          <w:sz w:val="24"/>
          <w:szCs w:val="24"/>
        </w:rPr>
        <w:t>Recognising that cybersecurity risks must ultimately be evaluated in terms of physical system consequences, the methodology incorporated a cyber–physical co-simulation framework. A HELICS-based federated environment</w:t>
      </w:r>
      <w:r w:rsidR="00517931" w:rsidRPr="615A0565">
        <w:rPr>
          <w:sz w:val="24"/>
          <w:szCs w:val="24"/>
        </w:rPr>
        <w:t xml:space="preserve"> [30]</w:t>
      </w:r>
      <w:r w:rsidRPr="615A0565">
        <w:rPr>
          <w:sz w:val="24"/>
          <w:szCs w:val="24"/>
        </w:rPr>
        <w:t xml:space="preserve"> was developed to synchronise EVSE behavioural models with OpenDSS distribution network simulation. The platform modelled internal charging logic, EV session dynamics, time-varying power consumption profiles, and feeder-level electrical responses. Stability-relevant parameters included active and reactive power (</w:t>
      </w:r>
      <w:r w:rsidRPr="00C70941">
        <w:rPr>
          <w:b/>
          <w:bCs/>
          <w:i/>
          <w:iCs/>
          <w:sz w:val="24"/>
          <w:szCs w:val="24"/>
        </w:rPr>
        <w:t>P, Q</w:t>
      </w:r>
      <w:r w:rsidRPr="615A0565">
        <w:rPr>
          <w:sz w:val="24"/>
          <w:szCs w:val="24"/>
        </w:rPr>
        <w:t>), aggregate fleet load (</w:t>
      </w:r>
      <w:r w:rsidRPr="00C70941">
        <w:rPr>
          <w:b/>
          <w:bCs/>
          <w:i/>
          <w:iCs/>
          <w:sz w:val="24"/>
          <w:szCs w:val="24"/>
        </w:rPr>
        <w:t>ΣP</w:t>
      </w:r>
      <w:r w:rsidRPr="615A0565">
        <w:rPr>
          <w:sz w:val="24"/>
          <w:szCs w:val="24"/>
        </w:rPr>
        <w:t>), voltage magnitude and deviation (|</w:t>
      </w:r>
      <w:r w:rsidRPr="00C70941">
        <w:rPr>
          <w:b/>
          <w:bCs/>
          <w:i/>
          <w:iCs/>
          <w:sz w:val="24"/>
          <w:szCs w:val="24"/>
        </w:rPr>
        <w:t>V|, ΔV</w:t>
      </w:r>
      <w:r w:rsidRPr="615A0565">
        <w:rPr>
          <w:sz w:val="24"/>
          <w:szCs w:val="24"/>
        </w:rPr>
        <w:t>), load ramp rate (</w:t>
      </w:r>
      <w:r w:rsidRPr="00C70941">
        <w:rPr>
          <w:b/>
          <w:bCs/>
          <w:i/>
          <w:iCs/>
          <w:sz w:val="24"/>
          <w:szCs w:val="24"/>
        </w:rPr>
        <w:t>dP/dt</w:t>
      </w:r>
      <w:r w:rsidRPr="615A0565">
        <w:rPr>
          <w:sz w:val="24"/>
          <w:szCs w:val="24"/>
        </w:rPr>
        <w:t>), frequency deviation (</w:t>
      </w:r>
      <w:r w:rsidRPr="00C70941">
        <w:rPr>
          <w:b/>
          <w:bCs/>
          <w:i/>
          <w:iCs/>
          <w:sz w:val="24"/>
          <w:szCs w:val="24"/>
        </w:rPr>
        <w:t>Δf</w:t>
      </w:r>
      <w:r w:rsidRPr="615A0565">
        <w:rPr>
          <w:sz w:val="24"/>
          <w:szCs w:val="24"/>
        </w:rPr>
        <w:t>), and transformer loading.</w:t>
      </w:r>
    </w:p>
    <w:p w14:paraId="790AF2C7" w14:textId="4E79158A" w:rsidR="00F87723" w:rsidRPr="00F87723" w:rsidRDefault="00F87723" w:rsidP="005641B9">
      <w:pPr>
        <w:spacing w:after="160" w:line="259" w:lineRule="auto"/>
        <w:jc w:val="both"/>
        <w:rPr>
          <w:rFonts w:asciiTheme="minorHAnsi" w:eastAsiaTheme="minorEastAsia" w:hAnsiTheme="minorHAnsi" w:cstheme="minorBidi"/>
          <w:sz w:val="28"/>
          <w:szCs w:val="28"/>
        </w:rPr>
      </w:pPr>
      <w:r w:rsidRPr="615A0565">
        <w:rPr>
          <w:sz w:val="24"/>
          <w:szCs w:val="24"/>
        </w:rPr>
        <w:t xml:space="preserve">Controlled scenarios were executed to evaluate how manipulated firmware logic, such as </w:t>
      </w:r>
      <w:r w:rsidR="006319A9" w:rsidRPr="615A0565">
        <w:rPr>
          <w:sz w:val="24"/>
          <w:szCs w:val="24"/>
        </w:rPr>
        <w:t xml:space="preserve">the </w:t>
      </w:r>
      <w:r w:rsidRPr="615A0565">
        <w:rPr>
          <w:sz w:val="24"/>
          <w:szCs w:val="24"/>
        </w:rPr>
        <w:t>removal of ramp limits or altered power caps, affected feeder voltage regulation and dynamic stability. Examples included synchronised activation of large EVSE fleets and modified charging setpoints producing rapid aggregate load ramps.</w:t>
      </w:r>
    </w:p>
    <w:p w14:paraId="1EE82573" w14:textId="7C04F446" w:rsidR="00A77C69" w:rsidRPr="00A77C69" w:rsidRDefault="00126AA0" w:rsidP="004657E3">
      <w:pPr>
        <w:spacing w:after="160" w:line="259" w:lineRule="auto"/>
        <w:ind w:left="432"/>
        <w:rPr>
          <w:rFonts w:asciiTheme="minorHAnsi" w:eastAsiaTheme="minorEastAsia" w:hAnsiTheme="minorHAnsi" w:cstheme="minorBidi"/>
          <w:b/>
          <w:sz w:val="24"/>
          <w:szCs w:val="24"/>
        </w:rPr>
      </w:pPr>
      <w:r w:rsidRPr="615A0565">
        <w:rPr>
          <w:b/>
          <w:sz w:val="24"/>
          <w:szCs w:val="24"/>
        </w:rPr>
        <w:t>Stage</w:t>
      </w:r>
      <w:r w:rsidR="00A77C69" w:rsidRPr="615A0565">
        <w:rPr>
          <w:b/>
          <w:sz w:val="24"/>
          <w:szCs w:val="24"/>
        </w:rPr>
        <w:t xml:space="preserve"> 4: Trusted Sovereign Monitor (TSM) Architecture Design</w:t>
      </w:r>
    </w:p>
    <w:p w14:paraId="2B17577E" w14:textId="04B0FB11" w:rsidR="00A77C69" w:rsidRPr="00A77C69" w:rsidRDefault="00A77C69" w:rsidP="005641B9">
      <w:pPr>
        <w:spacing w:after="160" w:line="259" w:lineRule="auto"/>
        <w:jc w:val="both"/>
        <w:rPr>
          <w:rFonts w:asciiTheme="minorHAnsi" w:eastAsiaTheme="minorEastAsia" w:hAnsiTheme="minorHAnsi" w:cstheme="minorBidi"/>
          <w:sz w:val="28"/>
          <w:szCs w:val="28"/>
        </w:rPr>
      </w:pPr>
      <w:r w:rsidRPr="615A0565">
        <w:rPr>
          <w:sz w:val="24"/>
          <w:szCs w:val="24"/>
        </w:rPr>
        <w:t xml:space="preserve">Based on systemic risks identified in earlier steps, a TSM reference architecture was developed to introduce </w:t>
      </w:r>
      <w:r w:rsidR="005B356C" w:rsidRPr="615A0565">
        <w:rPr>
          <w:sz w:val="24"/>
          <w:szCs w:val="24"/>
        </w:rPr>
        <w:t>non-bypassable</w:t>
      </w:r>
      <w:r w:rsidRPr="615A0565">
        <w:rPr>
          <w:sz w:val="24"/>
          <w:szCs w:val="24"/>
        </w:rPr>
        <w:t xml:space="preserve"> governance at the DER edge. The architecture incorporated dual-domain separation (Low Integrity and High Integrity domains), hardware-rooted trust anchoring, deterministic firmware admission control, certificate revocation enforcement, and monotonic anti-rollback mechanisms.</w:t>
      </w:r>
      <w:r w:rsidR="004657E3" w:rsidRPr="615A0565">
        <w:rPr>
          <w:sz w:val="24"/>
          <w:szCs w:val="24"/>
        </w:rPr>
        <w:t xml:space="preserve"> </w:t>
      </w:r>
      <w:r w:rsidRPr="615A0565">
        <w:rPr>
          <w:sz w:val="24"/>
          <w:szCs w:val="24"/>
        </w:rPr>
        <w:t xml:space="preserve">Importantly, the architecture was designed not merely for cryptographic correctness but for stability-aware operation. Firmware governance decisions were </w:t>
      </w:r>
      <w:r w:rsidR="000E1880" w:rsidRPr="615A0565">
        <w:rPr>
          <w:sz w:val="24"/>
          <w:szCs w:val="24"/>
        </w:rPr>
        <w:t>framed as control points to prevent</w:t>
      </w:r>
      <w:r w:rsidRPr="615A0565">
        <w:rPr>
          <w:sz w:val="24"/>
          <w:szCs w:val="24"/>
        </w:rPr>
        <w:t xml:space="preserve"> unsafe behavioural modifications that could influence aggregate DER load.</w:t>
      </w:r>
    </w:p>
    <w:p w14:paraId="7158D6A8" w14:textId="18C3B531" w:rsidR="00A77C69" w:rsidRPr="00A77C69" w:rsidRDefault="00126AA0" w:rsidP="004657E3">
      <w:pPr>
        <w:spacing w:after="160" w:line="259" w:lineRule="auto"/>
        <w:ind w:left="432"/>
        <w:rPr>
          <w:rFonts w:asciiTheme="minorHAnsi" w:eastAsiaTheme="minorEastAsia" w:hAnsiTheme="minorHAnsi" w:cstheme="minorBidi"/>
          <w:b/>
          <w:sz w:val="24"/>
          <w:szCs w:val="24"/>
        </w:rPr>
      </w:pPr>
      <w:r w:rsidRPr="615A0565">
        <w:rPr>
          <w:b/>
          <w:sz w:val="24"/>
          <w:szCs w:val="24"/>
        </w:rPr>
        <w:t>Stage</w:t>
      </w:r>
      <w:r w:rsidR="00A77C69" w:rsidRPr="615A0565">
        <w:rPr>
          <w:b/>
          <w:sz w:val="24"/>
          <w:szCs w:val="24"/>
        </w:rPr>
        <w:t xml:space="preserve"> 5: Implementation and Experimental Validation</w:t>
      </w:r>
    </w:p>
    <w:p w14:paraId="60495B29" w14:textId="3818CC86" w:rsidR="00A77C69" w:rsidRDefault="00A77C69" w:rsidP="005641B9">
      <w:pPr>
        <w:spacing w:after="160" w:line="259" w:lineRule="auto"/>
        <w:jc w:val="both"/>
        <w:rPr>
          <w:rFonts w:asciiTheme="minorHAnsi" w:eastAsiaTheme="minorEastAsia" w:hAnsiTheme="minorHAnsi" w:cstheme="minorBidi"/>
          <w:sz w:val="28"/>
          <w:szCs w:val="28"/>
        </w:rPr>
      </w:pPr>
      <w:r w:rsidRPr="615A0565">
        <w:rPr>
          <w:sz w:val="24"/>
          <w:szCs w:val="24"/>
        </w:rPr>
        <w:t>The TSM core logic was implemented and integrated into the co-simulation platform to enable experimental comparison between baseline OEM-only firmware validation and TSM-mediated enforcement.</w:t>
      </w:r>
      <w:r w:rsidR="004657E3" w:rsidRPr="615A0565">
        <w:rPr>
          <w:sz w:val="24"/>
          <w:szCs w:val="24"/>
        </w:rPr>
        <w:t xml:space="preserve"> </w:t>
      </w:r>
      <w:r w:rsidRPr="615A0565">
        <w:rPr>
          <w:sz w:val="24"/>
          <w:szCs w:val="24"/>
        </w:rPr>
        <w:t>Under simulated threat conditions, measurable outputs included voltage deviation (ΔV), aggregate load ramp magnitude (dP/dt), frequency deviation and RoCoF, transformer loading variation, and firmware admission behaviour. Experimental results demonstrated that compromised firmware could materially influence aggregate load dynamics, whereas TSM enforcement deterministically blocked unsafe firmware admission and moderated stability-relevant perturbations.</w:t>
      </w:r>
    </w:p>
    <w:p w14:paraId="6740EB38" w14:textId="3A18C995" w:rsidR="006717B7" w:rsidRDefault="006717B7" w:rsidP="006717B7">
      <w:pPr>
        <w:pStyle w:val="Heading2"/>
        <w:rPr>
          <w:rFonts w:asciiTheme="minorHAnsi" w:eastAsiaTheme="minorEastAsia" w:hAnsiTheme="minorHAnsi" w:cstheme="minorBidi"/>
          <w:b/>
          <w:color w:val="auto"/>
        </w:rPr>
      </w:pPr>
      <w:bookmarkStart w:id="48" w:name="_Toc222954405"/>
      <w:bookmarkStart w:id="49" w:name="_Toc223022309"/>
      <w:bookmarkStart w:id="50" w:name="_Toc234310787"/>
      <w:r w:rsidRPr="7D1DDD1F">
        <w:rPr>
          <w:b/>
          <w:color w:val="auto"/>
        </w:rPr>
        <w:t xml:space="preserve">Software </w:t>
      </w:r>
      <w:r w:rsidR="00AE3369" w:rsidRPr="7D1DDD1F">
        <w:rPr>
          <w:b/>
          <w:color w:val="auto"/>
        </w:rPr>
        <w:t>and Platforms</w:t>
      </w:r>
      <w:r w:rsidRPr="7D1DDD1F">
        <w:rPr>
          <w:b/>
          <w:color w:val="auto"/>
        </w:rPr>
        <w:t xml:space="preserve"> used</w:t>
      </w:r>
      <w:bookmarkEnd w:id="48"/>
      <w:bookmarkEnd w:id="49"/>
      <w:bookmarkEnd w:id="50"/>
    </w:p>
    <w:p w14:paraId="61D656B9" w14:textId="2D3967BB" w:rsidR="006717B7" w:rsidRDefault="00A74529" w:rsidP="005641B9">
      <w:pPr>
        <w:spacing w:after="160" w:line="259" w:lineRule="auto"/>
        <w:jc w:val="both"/>
        <w:rPr>
          <w:rFonts w:asciiTheme="minorHAnsi" w:eastAsiaTheme="minorEastAsia" w:hAnsiTheme="minorHAnsi" w:cstheme="minorBidi"/>
          <w:sz w:val="24"/>
          <w:szCs w:val="24"/>
        </w:rPr>
      </w:pPr>
      <w:r w:rsidRPr="4C7C6FFF">
        <w:rPr>
          <w:sz w:val="24"/>
          <w:szCs w:val="24"/>
        </w:rPr>
        <w:t>All methodological stages were implemented using open-source and publicly accessible platforms to ensure transparency, reproducibility, and scientific adequacy. Please refer to table below. No commercial or proprietary software tools were used. Vulnerability intelligence was derived from publicly available cybersecurity databases, and all cyber–physical simulations were conducted using open research-grade modelling environments</w:t>
      </w:r>
      <w:r w:rsidR="00860B8E" w:rsidRPr="4C7C6FFF">
        <w:rPr>
          <w:sz w:val="24"/>
          <w:szCs w:val="24"/>
        </w:rPr>
        <w:t>.</w:t>
      </w:r>
    </w:p>
    <w:p w14:paraId="43D61B26" w14:textId="77777777" w:rsidR="00860B8E" w:rsidRDefault="00860B8E" w:rsidP="005641B9">
      <w:pPr>
        <w:spacing w:after="160" w:line="259" w:lineRule="auto"/>
        <w:jc w:val="both"/>
        <w:rPr>
          <w:rFonts w:asciiTheme="minorHAnsi" w:eastAsiaTheme="minorEastAsia" w:hAnsiTheme="minorHAnsi" w:cstheme="minorBidi"/>
        </w:rPr>
      </w:pPr>
    </w:p>
    <w:p w14:paraId="3951EB3D" w14:textId="4F5CFACC" w:rsidR="00860B8E" w:rsidRDefault="00946632" w:rsidP="00946632">
      <w:pPr>
        <w:pStyle w:val="Caption"/>
        <w:rPr>
          <w:rFonts w:asciiTheme="minorHAnsi" w:eastAsiaTheme="minorEastAsia" w:hAnsiTheme="minorHAnsi" w:cstheme="minorBidi"/>
          <w:i/>
          <w:color w:val="0E2841"/>
          <w:szCs w:val="20"/>
          <w:lang w:val="en-GB"/>
        </w:rPr>
      </w:pPr>
      <w:bookmarkStart w:id="51" w:name="_Toc233112255"/>
      <w:r>
        <w:t xml:space="preserve">Table </w:t>
      </w:r>
      <w:r w:rsidR="00113348">
        <w:fldChar w:fldCharType="begin"/>
      </w:r>
      <w:r w:rsidR="00113348">
        <w:instrText xml:space="preserve"> SEQ Table \* ARABIC </w:instrText>
      </w:r>
      <w:r w:rsidR="00113348">
        <w:fldChar w:fldCharType="separate"/>
      </w:r>
      <w:r w:rsidR="00F8092D">
        <w:rPr>
          <w:noProof/>
        </w:rPr>
        <w:t>1</w:t>
      </w:r>
      <w:r w:rsidR="00113348">
        <w:rPr>
          <w:noProof/>
        </w:rPr>
        <w:fldChar w:fldCharType="end"/>
      </w:r>
      <w:r w:rsidR="58E79449" w:rsidRPr="4C7C6FFF">
        <w:rPr>
          <w:rFonts w:ascii="Aptos" w:eastAsia="Aptos" w:hAnsi="Aptos" w:cs="Aptos"/>
          <w:i/>
          <w:color w:val="0E2841"/>
          <w:szCs w:val="20"/>
          <w:lang w:val="en-GB"/>
        </w:rPr>
        <w:t>: Software stack and platforms used</w:t>
      </w:r>
      <w:bookmarkEnd w:id="51"/>
    </w:p>
    <w:tbl>
      <w:tblPr>
        <w:tblStyle w:val="TableCSIRO"/>
        <w:tblW w:w="9525" w:type="dxa"/>
        <w:tblLook w:val="04A0" w:firstRow="1" w:lastRow="0" w:firstColumn="1" w:lastColumn="0" w:noHBand="0" w:noVBand="1"/>
      </w:tblPr>
      <w:tblGrid>
        <w:gridCol w:w="2585"/>
        <w:gridCol w:w="1770"/>
        <w:gridCol w:w="2663"/>
        <w:gridCol w:w="2507"/>
      </w:tblGrid>
      <w:tr w:rsidR="00667A93" w:rsidRPr="00893A43" w14:paraId="5691BFB3" w14:textId="77777777" w:rsidTr="3C4B34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C3EE30E" w14:textId="77777777" w:rsidR="00667A93" w:rsidRPr="00893A43" w:rsidRDefault="00667A93" w:rsidP="00667A93">
            <w:pPr>
              <w:spacing w:after="0"/>
              <w:rPr>
                <w:rFonts w:asciiTheme="minorHAnsi" w:eastAsiaTheme="minorEastAsia" w:hAnsiTheme="minorHAnsi" w:cstheme="minorBidi"/>
                <w:color w:val="FFFFFF" w:themeColor="background1"/>
                <w:sz w:val="18"/>
                <w:szCs w:val="18"/>
              </w:rPr>
            </w:pPr>
            <w:r w:rsidRPr="3C9E86E5">
              <w:rPr>
                <w:rFonts w:asciiTheme="minorHAnsi" w:eastAsiaTheme="minorEastAsia" w:hAnsiTheme="minorHAnsi" w:cstheme="minorBidi"/>
                <w:color w:val="FFFFFF" w:themeColor="background2"/>
                <w:sz w:val="18"/>
                <w:szCs w:val="18"/>
              </w:rPr>
              <w:t>Software / Platform</w:t>
            </w:r>
          </w:p>
        </w:tc>
        <w:tc>
          <w:tcPr>
            <w:tcW w:w="1770" w:type="dxa"/>
            <w:hideMark/>
          </w:tcPr>
          <w:p w14:paraId="53995625" w14:textId="77777777" w:rsidR="00667A93" w:rsidRPr="00893A43" w:rsidRDefault="00667A93" w:rsidP="00667A93">
            <w:pPr>
              <w:spacing w:after="0"/>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1"/>
                <w:sz w:val="18"/>
                <w:szCs w:val="18"/>
              </w:rPr>
            </w:pPr>
            <w:r w:rsidRPr="3C9E86E5">
              <w:rPr>
                <w:rFonts w:asciiTheme="minorHAnsi" w:eastAsiaTheme="minorEastAsia" w:hAnsiTheme="minorHAnsi" w:cstheme="minorBidi"/>
                <w:color w:val="FFFFFF" w:themeColor="background2"/>
                <w:sz w:val="18"/>
                <w:szCs w:val="18"/>
              </w:rPr>
              <w:t>Classification</w:t>
            </w:r>
          </w:p>
        </w:tc>
        <w:tc>
          <w:tcPr>
            <w:tcW w:w="2663" w:type="dxa"/>
            <w:hideMark/>
          </w:tcPr>
          <w:p w14:paraId="3C8A9CE9" w14:textId="77777777" w:rsidR="00667A93" w:rsidRPr="00893A43" w:rsidRDefault="00667A93" w:rsidP="00667A93">
            <w:pPr>
              <w:spacing w:after="0"/>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1"/>
                <w:sz w:val="18"/>
                <w:szCs w:val="18"/>
              </w:rPr>
            </w:pPr>
            <w:r w:rsidRPr="3C9E86E5">
              <w:rPr>
                <w:rFonts w:asciiTheme="minorHAnsi" w:eastAsiaTheme="minorEastAsia" w:hAnsiTheme="minorHAnsi" w:cstheme="minorBidi"/>
                <w:color w:val="FFFFFF" w:themeColor="background2"/>
                <w:sz w:val="18"/>
                <w:szCs w:val="18"/>
              </w:rPr>
              <w:t>Role in Research</w:t>
            </w:r>
          </w:p>
        </w:tc>
        <w:tc>
          <w:tcPr>
            <w:tcW w:w="2507" w:type="dxa"/>
            <w:hideMark/>
          </w:tcPr>
          <w:p w14:paraId="2CB27DD3" w14:textId="77777777" w:rsidR="00667A93" w:rsidRPr="00893A43" w:rsidRDefault="00667A93" w:rsidP="00667A93">
            <w:pPr>
              <w:spacing w:after="0"/>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1"/>
                <w:sz w:val="18"/>
                <w:szCs w:val="18"/>
              </w:rPr>
            </w:pPr>
            <w:r w:rsidRPr="3C9E86E5">
              <w:rPr>
                <w:rFonts w:asciiTheme="minorHAnsi" w:eastAsiaTheme="minorEastAsia" w:hAnsiTheme="minorHAnsi" w:cstheme="minorBidi"/>
                <w:color w:val="FFFFFF" w:themeColor="background2"/>
                <w:sz w:val="18"/>
                <w:szCs w:val="18"/>
              </w:rPr>
              <w:t>Application</w:t>
            </w:r>
          </w:p>
        </w:tc>
      </w:tr>
      <w:tr w:rsidR="00667A93" w:rsidRPr="00893A43" w14:paraId="59813FCB" w14:textId="77777777" w:rsidTr="3C4B3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0740AC6" w14:textId="4311BE3D" w:rsidR="00667A93" w:rsidRPr="00893A43" w:rsidRDefault="00667A93" w:rsidP="00667A93">
            <w:pPr>
              <w:spacing w:after="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 xml:space="preserve">Microsoft Threat </w:t>
            </w:r>
            <w:r w:rsidR="005713FD" w:rsidRPr="3C9E86E5">
              <w:rPr>
                <w:rFonts w:asciiTheme="minorHAnsi" w:eastAsiaTheme="minorEastAsia" w:hAnsiTheme="minorHAnsi" w:cstheme="minorBidi"/>
                <w:sz w:val="18"/>
                <w:szCs w:val="18"/>
              </w:rPr>
              <w:t>Modelling</w:t>
            </w:r>
            <w:r w:rsidRPr="3C9E86E5">
              <w:rPr>
                <w:rFonts w:asciiTheme="minorHAnsi" w:eastAsiaTheme="minorEastAsia" w:hAnsiTheme="minorHAnsi" w:cstheme="minorBidi"/>
                <w:sz w:val="18"/>
                <w:szCs w:val="18"/>
              </w:rPr>
              <w:t xml:space="preserve"> Tool</w:t>
            </w:r>
          </w:p>
        </w:tc>
        <w:tc>
          <w:tcPr>
            <w:tcW w:w="1770" w:type="dxa"/>
            <w:hideMark/>
          </w:tcPr>
          <w:p w14:paraId="6ECE121D" w14:textId="77777777" w:rsidR="00667A93" w:rsidRPr="00893A43" w:rsidRDefault="00667A93" w:rsidP="00667A93">
            <w:pPr>
              <w:spacing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Public (free)</w:t>
            </w:r>
          </w:p>
        </w:tc>
        <w:tc>
          <w:tcPr>
            <w:tcW w:w="2663" w:type="dxa"/>
            <w:hideMark/>
          </w:tcPr>
          <w:p w14:paraId="7299C79C" w14:textId="77777777" w:rsidR="00667A93" w:rsidRPr="00893A43" w:rsidRDefault="00667A93" w:rsidP="00667A93">
            <w:pPr>
              <w:spacing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STRIDE-based structural threat modelling</w:t>
            </w:r>
          </w:p>
        </w:tc>
        <w:tc>
          <w:tcPr>
            <w:tcW w:w="2507" w:type="dxa"/>
            <w:hideMark/>
          </w:tcPr>
          <w:p w14:paraId="108BAD3A" w14:textId="77777777" w:rsidR="00667A93" w:rsidRPr="00893A43" w:rsidRDefault="00667A93" w:rsidP="00667A93">
            <w:pPr>
              <w:spacing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DFDs, trust boundaries, threat enumeration</w:t>
            </w:r>
          </w:p>
        </w:tc>
      </w:tr>
      <w:tr w:rsidR="00667A93" w:rsidRPr="00893A43" w14:paraId="005896D0" w14:textId="77777777" w:rsidTr="3C4B348C">
        <w:tc>
          <w:tcPr>
            <w:cnfStyle w:val="001000000000" w:firstRow="0" w:lastRow="0" w:firstColumn="1" w:lastColumn="0" w:oddVBand="0" w:evenVBand="0" w:oddHBand="0" w:evenHBand="0" w:firstRowFirstColumn="0" w:firstRowLastColumn="0" w:lastRowFirstColumn="0" w:lastRowLastColumn="0"/>
            <w:tcW w:w="2585" w:type="dxa"/>
            <w:hideMark/>
          </w:tcPr>
          <w:p w14:paraId="4E7931A7" w14:textId="77777777" w:rsidR="00667A93" w:rsidRPr="00893A43" w:rsidRDefault="00667A93" w:rsidP="00667A93">
            <w:pPr>
              <w:spacing w:after="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National Vulnerability Database (NVD)</w:t>
            </w:r>
          </w:p>
        </w:tc>
        <w:tc>
          <w:tcPr>
            <w:tcW w:w="1770" w:type="dxa"/>
            <w:hideMark/>
          </w:tcPr>
          <w:p w14:paraId="1A72A485" w14:textId="77777777" w:rsidR="00667A93" w:rsidRPr="00893A43" w:rsidRDefault="00667A93" w:rsidP="00667A93">
            <w:pPr>
              <w:spacing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Public (NIST)</w:t>
            </w:r>
          </w:p>
        </w:tc>
        <w:tc>
          <w:tcPr>
            <w:tcW w:w="2663" w:type="dxa"/>
            <w:hideMark/>
          </w:tcPr>
          <w:p w14:paraId="3B1E356B" w14:textId="77777777" w:rsidR="00667A93" w:rsidRPr="00893A43" w:rsidRDefault="00667A93" w:rsidP="00667A93">
            <w:pPr>
              <w:spacing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Empirical vulnerability analysis</w:t>
            </w:r>
          </w:p>
        </w:tc>
        <w:tc>
          <w:tcPr>
            <w:tcW w:w="2507" w:type="dxa"/>
            <w:hideMark/>
          </w:tcPr>
          <w:p w14:paraId="10F41F11" w14:textId="77777777" w:rsidR="00667A93" w:rsidRPr="00893A43" w:rsidRDefault="00667A93" w:rsidP="00667A93">
            <w:pPr>
              <w:spacing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CVE identification and CVSS scoring</w:t>
            </w:r>
          </w:p>
        </w:tc>
      </w:tr>
      <w:tr w:rsidR="00667A93" w:rsidRPr="00893A43" w14:paraId="2C054674" w14:textId="77777777" w:rsidTr="3C4B3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619E4F8D" w14:textId="77777777" w:rsidR="00667A93" w:rsidRPr="00893A43" w:rsidRDefault="00667A93" w:rsidP="00667A93">
            <w:pPr>
              <w:spacing w:after="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MITRE ATT&amp;CK for ICS</w:t>
            </w:r>
          </w:p>
        </w:tc>
        <w:tc>
          <w:tcPr>
            <w:tcW w:w="1770" w:type="dxa"/>
            <w:hideMark/>
          </w:tcPr>
          <w:p w14:paraId="115EB197" w14:textId="77777777" w:rsidR="00667A93" w:rsidRPr="00893A43" w:rsidRDefault="00667A93" w:rsidP="00667A93">
            <w:pPr>
              <w:spacing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Public framework</w:t>
            </w:r>
          </w:p>
        </w:tc>
        <w:tc>
          <w:tcPr>
            <w:tcW w:w="2663" w:type="dxa"/>
            <w:hideMark/>
          </w:tcPr>
          <w:p w14:paraId="78CF95CA" w14:textId="77777777" w:rsidR="00667A93" w:rsidRPr="00893A43" w:rsidRDefault="00667A93" w:rsidP="00667A93">
            <w:pPr>
              <w:spacing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Adversarial technique mapping</w:t>
            </w:r>
          </w:p>
        </w:tc>
        <w:tc>
          <w:tcPr>
            <w:tcW w:w="2507" w:type="dxa"/>
            <w:hideMark/>
          </w:tcPr>
          <w:p w14:paraId="4EB25F77" w14:textId="77777777" w:rsidR="00667A93" w:rsidRPr="00893A43" w:rsidRDefault="00667A93" w:rsidP="00667A93">
            <w:pPr>
              <w:spacing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Behavioural threat alignment</w:t>
            </w:r>
          </w:p>
        </w:tc>
      </w:tr>
      <w:tr w:rsidR="00667A93" w:rsidRPr="00893A43" w14:paraId="1BD6CC2C" w14:textId="77777777" w:rsidTr="3C4B348C">
        <w:tc>
          <w:tcPr>
            <w:cnfStyle w:val="001000000000" w:firstRow="0" w:lastRow="0" w:firstColumn="1" w:lastColumn="0" w:oddVBand="0" w:evenVBand="0" w:oddHBand="0" w:evenHBand="0" w:firstRowFirstColumn="0" w:firstRowLastColumn="0" w:lastRowFirstColumn="0" w:lastRowLastColumn="0"/>
            <w:tcW w:w="2585" w:type="dxa"/>
            <w:hideMark/>
          </w:tcPr>
          <w:p w14:paraId="5269B604" w14:textId="77777777" w:rsidR="00667A93" w:rsidRPr="00893A43" w:rsidRDefault="00667A93" w:rsidP="00667A93">
            <w:pPr>
              <w:spacing w:after="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HELICS</w:t>
            </w:r>
          </w:p>
        </w:tc>
        <w:tc>
          <w:tcPr>
            <w:tcW w:w="1770" w:type="dxa"/>
            <w:hideMark/>
          </w:tcPr>
          <w:p w14:paraId="3C78920B" w14:textId="77777777" w:rsidR="00667A93" w:rsidRPr="00893A43" w:rsidRDefault="00667A93" w:rsidP="00667A93">
            <w:pPr>
              <w:spacing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Open-source</w:t>
            </w:r>
          </w:p>
        </w:tc>
        <w:tc>
          <w:tcPr>
            <w:tcW w:w="2663" w:type="dxa"/>
            <w:hideMark/>
          </w:tcPr>
          <w:p w14:paraId="78877A9F" w14:textId="77777777" w:rsidR="00667A93" w:rsidRPr="00893A43" w:rsidRDefault="00667A93" w:rsidP="00667A93">
            <w:pPr>
              <w:spacing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Cyber–physical federation</w:t>
            </w:r>
          </w:p>
        </w:tc>
        <w:tc>
          <w:tcPr>
            <w:tcW w:w="2507" w:type="dxa"/>
            <w:hideMark/>
          </w:tcPr>
          <w:p w14:paraId="007822AC" w14:textId="77777777" w:rsidR="00667A93" w:rsidRPr="00893A43" w:rsidRDefault="00667A93" w:rsidP="00667A93">
            <w:pPr>
              <w:spacing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EVSE–grid co-simulation orchestration</w:t>
            </w:r>
          </w:p>
        </w:tc>
      </w:tr>
      <w:tr w:rsidR="00667A93" w:rsidRPr="00893A43" w14:paraId="3ED3308A" w14:textId="77777777" w:rsidTr="3C4B3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A63637E" w14:textId="77777777" w:rsidR="00667A93" w:rsidRPr="00893A43" w:rsidRDefault="00667A93" w:rsidP="00667A93">
            <w:pPr>
              <w:spacing w:after="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OpenDSS</w:t>
            </w:r>
          </w:p>
        </w:tc>
        <w:tc>
          <w:tcPr>
            <w:tcW w:w="1770" w:type="dxa"/>
            <w:hideMark/>
          </w:tcPr>
          <w:p w14:paraId="71EC9DE4" w14:textId="77777777" w:rsidR="00667A93" w:rsidRPr="00893A43" w:rsidRDefault="00667A93" w:rsidP="00667A93">
            <w:pPr>
              <w:spacing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Open-source</w:t>
            </w:r>
          </w:p>
        </w:tc>
        <w:tc>
          <w:tcPr>
            <w:tcW w:w="2663" w:type="dxa"/>
            <w:hideMark/>
          </w:tcPr>
          <w:p w14:paraId="1D723678" w14:textId="77777777" w:rsidR="00667A93" w:rsidRPr="00893A43" w:rsidRDefault="00667A93" w:rsidP="00667A93">
            <w:pPr>
              <w:spacing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Distribution network modelling</w:t>
            </w:r>
          </w:p>
        </w:tc>
        <w:tc>
          <w:tcPr>
            <w:tcW w:w="2507" w:type="dxa"/>
            <w:hideMark/>
          </w:tcPr>
          <w:p w14:paraId="41A0546A" w14:textId="77777777" w:rsidR="00667A93" w:rsidRPr="00893A43" w:rsidRDefault="00667A93" w:rsidP="00667A93">
            <w:pPr>
              <w:spacing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Voltage, load, and stability simulation</w:t>
            </w:r>
          </w:p>
        </w:tc>
      </w:tr>
      <w:tr w:rsidR="43D53B74" w14:paraId="1FB6C8FA" w14:textId="77777777" w:rsidTr="3C4B348C">
        <w:trPr>
          <w:trHeight w:val="300"/>
        </w:trPr>
        <w:tc>
          <w:tcPr>
            <w:cnfStyle w:val="001000000000" w:firstRow="0" w:lastRow="0" w:firstColumn="1" w:lastColumn="0" w:oddVBand="0" w:evenVBand="0" w:oddHBand="0" w:evenHBand="0" w:firstRowFirstColumn="0" w:firstRowLastColumn="0" w:lastRowFirstColumn="0" w:lastRowLastColumn="0"/>
            <w:tcW w:w="2585" w:type="dxa"/>
            <w:hideMark/>
          </w:tcPr>
          <w:p w14:paraId="35902A32" w14:textId="1EE96F78" w:rsidR="43D53B74" w:rsidRDefault="2E5E1927" w:rsidP="43D53B74">
            <w:pPr>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GridL</w:t>
            </w:r>
            <w:r w:rsidR="7D3E49CE" w:rsidRPr="3C9E86E5">
              <w:rPr>
                <w:rFonts w:asciiTheme="minorHAnsi" w:eastAsiaTheme="minorEastAsia" w:hAnsiTheme="minorHAnsi" w:cstheme="minorBidi"/>
                <w:sz w:val="18"/>
                <w:szCs w:val="18"/>
              </w:rPr>
              <w:t>AB</w:t>
            </w:r>
            <w:r w:rsidRPr="3C9E86E5">
              <w:rPr>
                <w:rFonts w:asciiTheme="minorHAnsi" w:eastAsiaTheme="minorEastAsia" w:hAnsiTheme="minorHAnsi" w:cstheme="minorBidi"/>
                <w:sz w:val="18"/>
                <w:szCs w:val="18"/>
              </w:rPr>
              <w:t>-D</w:t>
            </w:r>
          </w:p>
        </w:tc>
        <w:tc>
          <w:tcPr>
            <w:tcW w:w="1770" w:type="dxa"/>
            <w:hideMark/>
          </w:tcPr>
          <w:p w14:paraId="38302A94" w14:textId="3E4525C2" w:rsidR="43D53B74" w:rsidRDefault="43DB9E95" w:rsidP="2241AB51">
            <w:pPr>
              <w:spacing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Open-source</w:t>
            </w:r>
          </w:p>
        </w:tc>
        <w:tc>
          <w:tcPr>
            <w:tcW w:w="2663" w:type="dxa"/>
            <w:hideMark/>
          </w:tcPr>
          <w:p w14:paraId="6FCACE7B" w14:textId="42975736" w:rsidR="43D53B74" w:rsidRDefault="43DB9E95" w:rsidP="43D53B74">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EV charge scheduling</w:t>
            </w:r>
          </w:p>
        </w:tc>
        <w:tc>
          <w:tcPr>
            <w:tcW w:w="2507" w:type="dxa"/>
            <w:hideMark/>
          </w:tcPr>
          <w:p w14:paraId="19D4EA91" w14:textId="5E313BE9" w:rsidR="43D53B74" w:rsidRDefault="43DB9E95" w:rsidP="43D53B74">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EV load profiling, session management</w:t>
            </w:r>
          </w:p>
        </w:tc>
      </w:tr>
      <w:tr w:rsidR="00667A93" w:rsidRPr="00893A43" w14:paraId="53679E03" w14:textId="77777777" w:rsidTr="3C4B3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6F9E34B" w14:textId="77777777" w:rsidR="00667A93" w:rsidRPr="00893A43" w:rsidRDefault="00667A93" w:rsidP="00667A93">
            <w:pPr>
              <w:spacing w:after="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Python (NumPy, Pandas, Matplotlib)</w:t>
            </w:r>
          </w:p>
        </w:tc>
        <w:tc>
          <w:tcPr>
            <w:tcW w:w="1770" w:type="dxa"/>
            <w:hideMark/>
          </w:tcPr>
          <w:p w14:paraId="7B9180D2" w14:textId="77777777" w:rsidR="00667A93" w:rsidRPr="00893A43" w:rsidRDefault="00667A93" w:rsidP="00667A93">
            <w:pPr>
              <w:spacing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Open-source</w:t>
            </w:r>
          </w:p>
        </w:tc>
        <w:tc>
          <w:tcPr>
            <w:tcW w:w="2663" w:type="dxa"/>
            <w:hideMark/>
          </w:tcPr>
          <w:p w14:paraId="1807EA8F" w14:textId="77777777" w:rsidR="00667A93" w:rsidRPr="00893A43" w:rsidRDefault="00667A93" w:rsidP="00667A93">
            <w:pPr>
              <w:spacing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Data analysis and visualisation</w:t>
            </w:r>
          </w:p>
        </w:tc>
        <w:tc>
          <w:tcPr>
            <w:tcW w:w="2507" w:type="dxa"/>
            <w:hideMark/>
          </w:tcPr>
          <w:p w14:paraId="02BE2394" w14:textId="77777777" w:rsidR="00667A93" w:rsidRPr="00893A43" w:rsidRDefault="00667A93" w:rsidP="00667A93">
            <w:pPr>
              <w:spacing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Stability metric computation</w:t>
            </w:r>
          </w:p>
        </w:tc>
      </w:tr>
      <w:tr w:rsidR="00667A93" w:rsidRPr="00893A43" w14:paraId="1B7BBC73" w14:textId="77777777" w:rsidTr="3C4B348C">
        <w:tc>
          <w:tcPr>
            <w:cnfStyle w:val="001000000000" w:firstRow="0" w:lastRow="0" w:firstColumn="1" w:lastColumn="0" w:oddVBand="0" w:evenVBand="0" w:oddHBand="0" w:evenHBand="0" w:firstRowFirstColumn="0" w:firstRowLastColumn="0" w:lastRowFirstColumn="0" w:lastRowLastColumn="0"/>
            <w:tcW w:w="2585" w:type="dxa"/>
            <w:hideMark/>
          </w:tcPr>
          <w:p w14:paraId="4925AA3D" w14:textId="77777777" w:rsidR="00667A93" w:rsidRPr="00893A43" w:rsidRDefault="00667A93" w:rsidP="00667A93">
            <w:pPr>
              <w:spacing w:after="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Python Cryptographic Libraries</w:t>
            </w:r>
          </w:p>
        </w:tc>
        <w:tc>
          <w:tcPr>
            <w:tcW w:w="1770" w:type="dxa"/>
            <w:hideMark/>
          </w:tcPr>
          <w:p w14:paraId="4500CC23" w14:textId="77777777" w:rsidR="00667A93" w:rsidRPr="00893A43" w:rsidRDefault="00667A93" w:rsidP="00667A93">
            <w:pPr>
              <w:spacing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Open-source</w:t>
            </w:r>
          </w:p>
        </w:tc>
        <w:tc>
          <w:tcPr>
            <w:tcW w:w="2663" w:type="dxa"/>
            <w:hideMark/>
          </w:tcPr>
          <w:p w14:paraId="4AA43CB9" w14:textId="77777777" w:rsidR="00667A93" w:rsidRPr="00893A43" w:rsidRDefault="00667A93" w:rsidP="00667A93">
            <w:pPr>
              <w:spacing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Firmware validation modelling</w:t>
            </w:r>
          </w:p>
        </w:tc>
        <w:tc>
          <w:tcPr>
            <w:tcW w:w="2507" w:type="dxa"/>
            <w:hideMark/>
          </w:tcPr>
          <w:p w14:paraId="19BA4F2A" w14:textId="77777777" w:rsidR="00667A93" w:rsidRPr="00893A43" w:rsidRDefault="00667A93" w:rsidP="00667A93">
            <w:pPr>
              <w:spacing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Signature and admission checks</w:t>
            </w:r>
          </w:p>
        </w:tc>
      </w:tr>
      <w:tr w:rsidR="00893A43" w:rsidRPr="00893A43" w14:paraId="3594C9ED" w14:textId="77777777" w:rsidTr="3C4B3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tcPr>
          <w:p w14:paraId="37826E71" w14:textId="5449ED8F" w:rsidR="00893A43" w:rsidRPr="00893A43" w:rsidRDefault="00893A43" w:rsidP="00893A43">
            <w:pPr>
              <w:spacing w:after="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PyPSA (Python for Power System Analysis)</w:t>
            </w:r>
          </w:p>
        </w:tc>
        <w:tc>
          <w:tcPr>
            <w:tcW w:w="1770" w:type="dxa"/>
          </w:tcPr>
          <w:p w14:paraId="1C5851D3" w14:textId="77777777" w:rsidR="00893A43" w:rsidRPr="00893A43" w:rsidRDefault="4B0C55B5" w:rsidP="3C4B348C">
            <w:pPr>
              <w:spacing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Open-source</w:t>
            </w:r>
          </w:p>
          <w:p w14:paraId="21D3C63C" w14:textId="10B70D3D" w:rsidR="00893A43" w:rsidRPr="00893A43" w:rsidRDefault="00893A43" w:rsidP="00893A43">
            <w:pPr>
              <w:spacing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p>
        </w:tc>
        <w:tc>
          <w:tcPr>
            <w:tcW w:w="2663" w:type="dxa"/>
          </w:tcPr>
          <w:p w14:paraId="5468B5D3" w14:textId="76856213" w:rsidR="00893A43" w:rsidRPr="00893A43" w:rsidRDefault="4B0C55B5" w:rsidP="6DEA5F5A">
            <w:pPr>
              <w:spacing w:after="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Control layer between physical and communication layers</w:t>
            </w:r>
          </w:p>
        </w:tc>
        <w:tc>
          <w:tcPr>
            <w:tcW w:w="2507" w:type="dxa"/>
          </w:tcPr>
          <w:p w14:paraId="50144B2C" w14:textId="49007B59" w:rsidR="00893A43" w:rsidRPr="00893A43" w:rsidRDefault="00893A43" w:rsidP="00893A43">
            <w:pPr>
              <w:spacing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PyPSA (Python for Power System Analysis)</w:t>
            </w:r>
          </w:p>
        </w:tc>
      </w:tr>
    </w:tbl>
    <w:p w14:paraId="5E87D0A8" w14:textId="77777777" w:rsidR="00667A93" w:rsidRDefault="00667A93" w:rsidP="00A77C69">
      <w:pPr>
        <w:spacing w:after="160" w:line="259" w:lineRule="auto"/>
        <w:rPr>
          <w:rFonts w:asciiTheme="minorHAnsi" w:eastAsiaTheme="minorEastAsia" w:hAnsiTheme="minorHAnsi" w:cstheme="minorBidi"/>
        </w:rPr>
      </w:pPr>
    </w:p>
    <w:p w14:paraId="12197E18" w14:textId="5F58C02C" w:rsidR="00C0606C" w:rsidRPr="00C0606C" w:rsidRDefault="00C0606C" w:rsidP="004265B6">
      <w:pPr>
        <w:pStyle w:val="Heading2"/>
        <w:rPr>
          <w:rFonts w:asciiTheme="minorHAnsi" w:eastAsiaTheme="minorEastAsia" w:hAnsiTheme="minorHAnsi" w:cstheme="minorBidi"/>
          <w:b/>
          <w:color w:val="auto"/>
        </w:rPr>
      </w:pPr>
      <w:bookmarkStart w:id="52" w:name="_Toc222954406"/>
      <w:bookmarkStart w:id="53" w:name="_Toc223022310"/>
      <w:bookmarkStart w:id="54" w:name="_Toc234310788"/>
      <w:r w:rsidRPr="7D1DDD1F">
        <w:rPr>
          <w:b/>
          <w:color w:val="auto"/>
        </w:rPr>
        <w:t>Reproducibility and Data Transparency</w:t>
      </w:r>
      <w:bookmarkEnd w:id="52"/>
      <w:bookmarkEnd w:id="53"/>
      <w:bookmarkEnd w:id="54"/>
    </w:p>
    <w:p w14:paraId="64914280" w14:textId="57CDA654" w:rsidR="00C0606C" w:rsidRPr="00C0606C" w:rsidRDefault="00C0606C" w:rsidP="005641B9">
      <w:pPr>
        <w:spacing w:after="160" w:line="259" w:lineRule="auto"/>
        <w:jc w:val="both"/>
        <w:rPr>
          <w:rFonts w:asciiTheme="minorHAnsi" w:eastAsiaTheme="minorEastAsia" w:hAnsiTheme="minorHAnsi" w:cstheme="minorBidi"/>
          <w:sz w:val="28"/>
          <w:szCs w:val="28"/>
        </w:rPr>
      </w:pPr>
      <w:r w:rsidRPr="7D1DDD1F">
        <w:rPr>
          <w:sz w:val="24"/>
          <w:szCs w:val="24"/>
        </w:rPr>
        <w:t>All cyber–physical modelling components were implemented using open-source simulation frameworks and standard scientific computing libraries. Vulnerability data were sourced from publicly accessible repositories (e.g., NVD, MITRE ATT&amp;CK,). No confidential OEM firmware or proprietary datasets were incorporated.</w:t>
      </w:r>
      <w:r w:rsidR="004265B6" w:rsidRPr="7D1DDD1F">
        <w:rPr>
          <w:sz w:val="24"/>
          <w:szCs w:val="24"/>
        </w:rPr>
        <w:t xml:space="preserve"> </w:t>
      </w:r>
      <w:r w:rsidRPr="7D1DDD1F">
        <w:rPr>
          <w:sz w:val="24"/>
          <w:szCs w:val="24"/>
        </w:rPr>
        <w:t>The modelling parameters, simulation configurations, and experimental procedures are documented in the associated technical reports and appendices, enabling independent replication by researchers with access to the listed platform</w:t>
      </w:r>
    </w:p>
    <w:p w14:paraId="68CF6774" w14:textId="4368A69B" w:rsidR="00D44A7F" w:rsidRDefault="00C71DE1" w:rsidP="00100074">
      <w:pPr>
        <w:pStyle w:val="Heading2"/>
        <w:rPr>
          <w:rFonts w:asciiTheme="minorHAnsi" w:eastAsiaTheme="minorEastAsia" w:hAnsiTheme="minorHAnsi" w:cstheme="minorBidi"/>
          <w:b/>
          <w:color w:val="auto"/>
        </w:rPr>
      </w:pPr>
      <w:bookmarkStart w:id="55" w:name="_Toc222954407"/>
      <w:bookmarkStart w:id="56" w:name="_Toc223022311"/>
      <w:bookmarkStart w:id="57" w:name="_Toc234310789"/>
      <w:r w:rsidRPr="7D1DDD1F">
        <w:rPr>
          <w:b/>
          <w:color w:val="auto"/>
        </w:rPr>
        <w:t>Project</w:t>
      </w:r>
      <w:r w:rsidR="00D44A7F" w:rsidRPr="7D1DDD1F">
        <w:rPr>
          <w:b/>
          <w:color w:val="auto"/>
        </w:rPr>
        <w:t xml:space="preserve"> </w:t>
      </w:r>
      <w:r w:rsidRPr="7D1DDD1F">
        <w:rPr>
          <w:b/>
          <w:color w:val="auto"/>
        </w:rPr>
        <w:t>Structure</w:t>
      </w:r>
      <w:bookmarkEnd w:id="55"/>
      <w:bookmarkEnd w:id="56"/>
      <w:bookmarkEnd w:id="57"/>
      <w:r w:rsidR="00D44A7F" w:rsidRPr="7D1DDD1F">
        <w:rPr>
          <w:b/>
          <w:color w:val="auto"/>
        </w:rPr>
        <w:t xml:space="preserve"> </w:t>
      </w:r>
    </w:p>
    <w:p w14:paraId="409C09A8" w14:textId="77777777" w:rsidR="00B022E3" w:rsidRPr="00BA4EF3" w:rsidRDefault="00D639DC" w:rsidP="005641B9">
      <w:pPr>
        <w:pStyle w:val="BodyText"/>
        <w:jc w:val="both"/>
        <w:rPr>
          <w:rFonts w:asciiTheme="minorHAnsi" w:eastAsiaTheme="minorEastAsia" w:hAnsiTheme="minorHAnsi" w:cstheme="minorBidi"/>
        </w:rPr>
      </w:pPr>
      <w:r w:rsidRPr="7D1DDD1F">
        <w:rPr>
          <w:szCs w:val="24"/>
        </w:rPr>
        <w:t>Guided by the overarching scientific exploratory methodology described in Section 2.1, the project is structured into four interrelated phases. Each phase is not an isolated activity, but a progressively deepening layer of analysis and validation governed by the same evidence-based, cyber–physical, and stability-aware methodological framework.</w:t>
      </w:r>
      <w:r w:rsidR="00B022E3" w:rsidRPr="7D1DDD1F">
        <w:rPr>
          <w:szCs w:val="24"/>
        </w:rPr>
        <w:t xml:space="preserve"> The four phases are designed to move from analytical modelling to empirical validation, ensuring that architectural design decisions are grounded in measurable grid stability behaviour rather than theoretical cybersecurity assumptions.</w:t>
      </w:r>
    </w:p>
    <w:p w14:paraId="0C498C08" w14:textId="04F82CCE" w:rsidR="003A7BF4" w:rsidRDefault="003A7BF4" w:rsidP="0078020C">
      <w:pPr>
        <w:pStyle w:val="Heading3"/>
        <w:rPr>
          <w:rFonts w:asciiTheme="minorHAnsi" w:eastAsiaTheme="minorEastAsia" w:hAnsiTheme="minorHAnsi" w:cstheme="minorBidi"/>
        </w:rPr>
      </w:pPr>
      <w:bookmarkStart w:id="58" w:name="_Toc222954408"/>
      <w:bookmarkStart w:id="59" w:name="_Toc234310790"/>
      <w:r>
        <w:t>Phase 1- EVSE Threat Modelling</w:t>
      </w:r>
      <w:bookmarkEnd w:id="58"/>
      <w:bookmarkEnd w:id="59"/>
      <w:r>
        <w:t xml:space="preserve"> </w:t>
      </w:r>
    </w:p>
    <w:p w14:paraId="1898DC25" w14:textId="1ABBFB3C" w:rsidR="00D2796A" w:rsidRPr="00BA4EF3" w:rsidRDefault="001A6ACF" w:rsidP="005641B9">
      <w:pPr>
        <w:pStyle w:val="BodyText"/>
        <w:jc w:val="both"/>
        <w:rPr>
          <w:rFonts w:asciiTheme="minorHAnsi" w:eastAsiaTheme="minorEastAsia" w:hAnsiTheme="minorHAnsi" w:cstheme="minorBidi"/>
        </w:rPr>
      </w:pPr>
      <w:r w:rsidRPr="1FBF9603">
        <w:rPr>
          <w:szCs w:val="24"/>
        </w:rPr>
        <w:t>This phase established the analytical foundation of the overall methodology by conducting a structured, domain-driven threat modelling and risk assessment of Electric Vehicle Supply Equipment (EVSE) as a cyber–physical DER. The approach was not limited to conventional IT-centric vulnerability scanning; instead, it systematically decomposed EVSE architecture, modelled adversarial behaviour, and analysed cross-domain propagation pathways from cyber compromise to physical grid impact. It</w:t>
      </w:r>
      <w:r w:rsidR="00D2796A" w:rsidRPr="1FBF9603">
        <w:rPr>
          <w:szCs w:val="24"/>
        </w:rPr>
        <w:t xml:space="preserve"> involves systematic decomposition of EVSE components, hybrid threat modellin</w:t>
      </w:r>
      <w:r w:rsidR="004F6C4E" w:rsidRPr="1FBF9603">
        <w:rPr>
          <w:szCs w:val="24"/>
        </w:rPr>
        <w:t>g</w:t>
      </w:r>
      <w:r w:rsidR="00D2796A" w:rsidRPr="1FBF9603">
        <w:rPr>
          <w:szCs w:val="24"/>
        </w:rPr>
        <w:t xml:space="preserve"> </w:t>
      </w:r>
      <w:r w:rsidR="004F6C4E" w:rsidRPr="1FBF9603">
        <w:rPr>
          <w:szCs w:val="24"/>
        </w:rPr>
        <w:t xml:space="preserve">techniques mainly </w:t>
      </w:r>
      <w:r w:rsidR="00D2796A" w:rsidRPr="1FBF9603">
        <w:rPr>
          <w:szCs w:val="24"/>
        </w:rPr>
        <w:t xml:space="preserve">STRIDE </w:t>
      </w:r>
      <w:r w:rsidR="008247B6" w:rsidRPr="1FBF9603">
        <w:rPr>
          <w:szCs w:val="24"/>
        </w:rPr>
        <w:t>and MITRE</w:t>
      </w:r>
      <w:r w:rsidR="00D2796A" w:rsidRPr="1FBF9603">
        <w:rPr>
          <w:szCs w:val="24"/>
        </w:rPr>
        <w:t xml:space="preserve"> ATT&amp;CK, attack graph construction, scenario development, and risk assessment.</w:t>
      </w:r>
      <w:r w:rsidR="00AD0D65" w:rsidRPr="1FBF9603">
        <w:rPr>
          <w:szCs w:val="24"/>
        </w:rPr>
        <w:t xml:space="preserve"> </w:t>
      </w:r>
      <w:r w:rsidR="009C6AA3" w:rsidRPr="1FBF9603">
        <w:rPr>
          <w:szCs w:val="24"/>
        </w:rPr>
        <w:t>d</w:t>
      </w:r>
      <w:r w:rsidR="000E6193" w:rsidRPr="1FBF9603">
        <w:rPr>
          <w:szCs w:val="24"/>
        </w:rPr>
        <w:t xml:space="preserve">etailed threat modelling report is available in Appendix A. </w:t>
      </w:r>
      <w:r w:rsidR="006319A9" w:rsidRPr="1FBF9603">
        <w:rPr>
          <w:szCs w:val="24"/>
        </w:rPr>
        <w:t xml:space="preserve"> </w:t>
      </w:r>
      <w:r w:rsidR="005B356C" w:rsidRPr="1FBF9603">
        <w:rPr>
          <w:szCs w:val="24"/>
        </w:rPr>
        <w:t>Overall,</w:t>
      </w:r>
      <w:r w:rsidR="006319A9" w:rsidRPr="1FBF9603">
        <w:rPr>
          <w:szCs w:val="24"/>
        </w:rPr>
        <w:t xml:space="preserve"> </w:t>
      </w:r>
      <w:r w:rsidR="005B356C" w:rsidRPr="1FBF9603">
        <w:rPr>
          <w:szCs w:val="24"/>
        </w:rPr>
        <w:t xml:space="preserve">the </w:t>
      </w:r>
      <w:r w:rsidR="006319A9" w:rsidRPr="1FBF9603">
        <w:rPr>
          <w:szCs w:val="24"/>
        </w:rPr>
        <w:t xml:space="preserve">Threat </w:t>
      </w:r>
      <w:r w:rsidR="005713FD" w:rsidRPr="1FBF9603">
        <w:rPr>
          <w:szCs w:val="24"/>
        </w:rPr>
        <w:t>Modelling</w:t>
      </w:r>
      <w:r w:rsidR="006319A9" w:rsidRPr="1FBF9603">
        <w:rPr>
          <w:szCs w:val="24"/>
        </w:rPr>
        <w:t xml:space="preserve"> approach is depicted in the diagram below</w:t>
      </w:r>
      <w:r w:rsidR="00F8550B" w:rsidRPr="1FBF9603">
        <w:rPr>
          <w:szCs w:val="24"/>
        </w:rPr>
        <w:t xml:space="preserve"> in Figure 4</w:t>
      </w:r>
      <w:r w:rsidR="006319A9" w:rsidRPr="1FBF9603">
        <w:rPr>
          <w:szCs w:val="24"/>
        </w:rPr>
        <w:t xml:space="preserve">. </w:t>
      </w:r>
    </w:p>
    <w:p w14:paraId="13E79A2C" w14:textId="77777777" w:rsidR="00B7182C" w:rsidRPr="00B7182C" w:rsidRDefault="00B7182C" w:rsidP="00E13EFC">
      <w:pPr>
        <w:spacing w:before="100" w:beforeAutospacing="1" w:after="100" w:afterAutospacing="1"/>
        <w:jc w:val="center"/>
        <w:rPr>
          <w:rFonts w:ascii="Times New Roman" w:eastAsia="Times New Roman" w:hAnsi="Times New Roman"/>
          <w:color w:val="auto"/>
          <w:sz w:val="24"/>
          <w:szCs w:val="24"/>
        </w:rPr>
      </w:pPr>
      <w:r w:rsidRPr="00B7182C">
        <w:rPr>
          <w:rFonts w:ascii="Times New Roman" w:eastAsia="Times New Roman" w:hAnsi="Times New Roman"/>
          <w:noProof/>
          <w:color w:val="auto"/>
          <w:sz w:val="24"/>
          <w:szCs w:val="24"/>
        </w:rPr>
        <w:drawing>
          <wp:inline distT="0" distB="0" distL="0" distR="0" wp14:anchorId="37123D16" wp14:editId="7DF2467C">
            <wp:extent cx="6305549" cy="1454150"/>
            <wp:effectExtent l="0" t="0" r="635" b="0"/>
            <wp:docPr id="2" name="Picture 1"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diagram of a process&#10;&#10;AI-generated content may be incorrect."/>
                    <pic:cNvPicPr>
                      <a:picLocks noChangeAspect="1" noChangeArrowheads="1"/>
                    </pic:cNvPicPr>
                  </pic:nvPicPr>
                  <pic:blipFill rotWithShape="1">
                    <a:blip r:embed="rId21">
                      <a:extLst>
                        <a:ext uri="{28A0092B-C50C-407E-A947-70E740481C1C}">
                          <a14:useLocalDpi xmlns:a14="http://schemas.microsoft.com/office/drawing/2010/main" val="0"/>
                        </a:ext>
                      </a:extLst>
                    </a:blip>
                    <a:srcRect t="17949" b="23332"/>
                    <a:stretch>
                      <a:fillRect/>
                    </a:stretch>
                  </pic:blipFill>
                  <pic:spPr bwMode="auto">
                    <a:xfrm>
                      <a:off x="0" y="0"/>
                      <a:ext cx="6353047" cy="1465104"/>
                    </a:xfrm>
                    <a:prstGeom prst="rect">
                      <a:avLst/>
                    </a:prstGeom>
                    <a:noFill/>
                    <a:ln>
                      <a:noFill/>
                    </a:ln>
                    <a:extLst>
                      <a:ext uri="{53640926-AAD7-44D8-BBD7-CCE9431645EC}">
                        <a14:shadowObscured xmlns:a14="http://schemas.microsoft.com/office/drawing/2010/main"/>
                      </a:ext>
                    </a:extLst>
                  </pic:spPr>
                </pic:pic>
              </a:graphicData>
            </a:graphic>
          </wp:inline>
        </w:drawing>
      </w:r>
    </w:p>
    <w:p w14:paraId="04996124" w14:textId="38B376E9" w:rsidR="71D78D7B" w:rsidRDefault="00640012" w:rsidP="005713FD">
      <w:pPr>
        <w:spacing w:after="160" w:line="257" w:lineRule="auto"/>
        <w:rPr>
          <w:rFonts w:asciiTheme="minorHAnsi" w:eastAsiaTheme="minorEastAsia" w:hAnsiTheme="minorHAnsi" w:cstheme="minorBidi"/>
          <w:i/>
          <w:color w:val="0E2841"/>
          <w:szCs w:val="20"/>
          <w:lang w:val="en-GB"/>
        </w:rPr>
      </w:pPr>
      <w:bookmarkStart w:id="60" w:name="_Toc233112210"/>
      <w:r w:rsidRPr="00960EEA">
        <w:rPr>
          <w:b/>
          <w:bCs/>
          <w:color w:val="757579" w:themeColor="accent3"/>
          <w:sz w:val="20"/>
          <w:szCs w:val="18"/>
        </w:rPr>
        <w:t xml:space="preserve">Figure </w:t>
      </w:r>
      <w:r w:rsidR="00113348" w:rsidRPr="005713FD">
        <w:rPr>
          <w:b/>
          <w:bCs/>
          <w:color w:val="757579" w:themeColor="accent3"/>
          <w:sz w:val="20"/>
          <w:szCs w:val="18"/>
        </w:rPr>
        <w:fldChar w:fldCharType="begin"/>
      </w:r>
      <w:r w:rsidR="00113348" w:rsidRPr="00960EEA">
        <w:rPr>
          <w:b/>
          <w:bCs/>
          <w:color w:val="757579" w:themeColor="accent3"/>
          <w:sz w:val="20"/>
          <w:szCs w:val="18"/>
        </w:rPr>
        <w:instrText xml:space="preserve"> SEQ Figure \* ARABIC </w:instrText>
      </w:r>
      <w:r w:rsidR="00113348" w:rsidRPr="005713FD">
        <w:rPr>
          <w:b/>
          <w:bCs/>
          <w:color w:val="757579" w:themeColor="accent3"/>
          <w:sz w:val="20"/>
          <w:szCs w:val="18"/>
        </w:rPr>
        <w:fldChar w:fldCharType="separate"/>
      </w:r>
      <w:r w:rsidR="00F8092D">
        <w:rPr>
          <w:b/>
          <w:bCs/>
          <w:noProof/>
          <w:color w:val="757579" w:themeColor="accent3"/>
          <w:sz w:val="20"/>
          <w:szCs w:val="18"/>
        </w:rPr>
        <w:t>4</w:t>
      </w:r>
      <w:r w:rsidR="00113348" w:rsidRPr="005713FD">
        <w:rPr>
          <w:b/>
          <w:bCs/>
          <w:color w:val="757579" w:themeColor="accent3"/>
          <w:sz w:val="20"/>
          <w:szCs w:val="18"/>
        </w:rPr>
        <w:fldChar w:fldCharType="end"/>
      </w:r>
      <w:r w:rsidR="71D78D7B" w:rsidRPr="1FBF9603">
        <w:rPr>
          <w:rFonts w:ascii="Aptos" w:eastAsia="Aptos" w:hAnsi="Aptos" w:cs="Aptos"/>
          <w:i/>
          <w:color w:val="0E2841"/>
          <w:szCs w:val="20"/>
          <w:lang w:val="en-GB"/>
        </w:rPr>
        <w:t xml:space="preserve">: </w:t>
      </w:r>
      <w:r w:rsidR="71D78D7B" w:rsidRPr="00960EEA">
        <w:rPr>
          <w:rFonts w:ascii="Aptos" w:eastAsia="Aptos" w:hAnsi="Aptos" w:cs="Aptos"/>
          <w:b/>
          <w:bCs/>
          <w:i/>
          <w:color w:val="0E2841"/>
          <w:sz w:val="20"/>
          <w:szCs w:val="20"/>
          <w:lang w:val="en-GB"/>
        </w:rPr>
        <w:t>Threat Modelling Approach</w:t>
      </w:r>
      <w:bookmarkEnd w:id="60"/>
    </w:p>
    <w:p w14:paraId="776EFED8" w14:textId="0C130A2E" w:rsidR="2424318D" w:rsidRDefault="2424318D" w:rsidP="2424318D">
      <w:pPr>
        <w:pStyle w:val="BodyText"/>
        <w:rPr>
          <w:rFonts w:asciiTheme="minorHAnsi" w:eastAsiaTheme="minorEastAsia" w:hAnsiTheme="minorHAnsi" w:cstheme="minorBidi"/>
        </w:rPr>
      </w:pPr>
    </w:p>
    <w:p w14:paraId="475F91DC" w14:textId="46258328" w:rsidR="00563657" w:rsidRPr="004359DC" w:rsidRDefault="00A55786" w:rsidP="004359DC">
      <w:pPr>
        <w:pStyle w:val="BodyText"/>
        <w:rPr>
          <w:rFonts w:asciiTheme="minorHAnsi" w:eastAsiaTheme="minorEastAsia" w:hAnsiTheme="minorHAnsi" w:cstheme="minorBidi"/>
          <w:b/>
          <w:bCs/>
        </w:rPr>
      </w:pPr>
      <w:r w:rsidRPr="004359DC">
        <w:rPr>
          <w:b/>
          <w:bCs/>
        </w:rPr>
        <w:t xml:space="preserve">EVSE </w:t>
      </w:r>
      <w:r w:rsidR="00563657" w:rsidRPr="004359DC">
        <w:rPr>
          <w:b/>
          <w:bCs/>
        </w:rPr>
        <w:t>Architecture Decomposition</w:t>
      </w:r>
    </w:p>
    <w:p w14:paraId="4195AB57" w14:textId="02E2439C" w:rsidR="00563657" w:rsidRPr="003B256A" w:rsidRDefault="00563657" w:rsidP="00B12357">
      <w:pPr>
        <w:pStyle w:val="BodyText"/>
        <w:jc w:val="both"/>
        <w:rPr>
          <w:rFonts w:asciiTheme="minorHAnsi" w:eastAsiaTheme="minorEastAsia" w:hAnsiTheme="minorHAnsi" w:cstheme="minorBidi"/>
        </w:rPr>
      </w:pPr>
      <w:r w:rsidRPr="4D9D5C89">
        <w:rPr>
          <w:szCs w:val="24"/>
        </w:rPr>
        <w:t>For structured threat modelling, the EV charging ecosystem was systematically organised and decomposed into functional domains, control pathways, and trust boundaries. The Electric Vehicle Supply Equipment (EVSE) operates as a cyber–physical system divided into two primary paths: the Power Path (high-voltage energy transfer) and the Control/Data Path (safety, communication, and session governance). Four interacting domains were identified: the EV User Domain (vehicle systems and driver applications), the CPO Domain (EVSE hardware and CSMS operations), the eMSP Domain (customer and billing services), and the DSO Domain (grid monitoring and control).</w:t>
      </w:r>
      <w:r w:rsidR="000D12E2">
        <w:rPr>
          <w:szCs w:val="24"/>
        </w:rPr>
        <w:t xml:space="preserve"> For detailed architectural view please refer to figure 5.</w:t>
      </w:r>
    </w:p>
    <w:p w14:paraId="5DF9A116" w14:textId="3C944DB4" w:rsidR="00563657" w:rsidRDefault="00563657" w:rsidP="00B12357">
      <w:pPr>
        <w:pStyle w:val="BodyText"/>
        <w:jc w:val="both"/>
        <w:rPr>
          <w:rFonts w:asciiTheme="minorHAnsi" w:eastAsiaTheme="minorEastAsia" w:hAnsiTheme="minorHAnsi" w:cstheme="minorBidi"/>
        </w:rPr>
      </w:pPr>
      <w:r w:rsidRPr="4D9D5C89">
        <w:rPr>
          <w:szCs w:val="24"/>
        </w:rPr>
        <w:t>The Power Path conducts three-phase AC from the grid through power electronics to the vehicle’s charge port, where onboard charging systems regulate battery intake. In parallel, the Control/Data Path, anchored by the Main Control Board and Communication Module, manages authentication, interlocks, charge-rate algorithms, metering, and transaction processing. Standardised interfaces define cross-domain interactions, including IEC 61851/J1772 (control pilot), ISO 15118 (PLC), Modbus/SunSpec (local energy coordination), OCPP (EVSE–CSMS), and REST APIs (external services).</w:t>
      </w:r>
    </w:p>
    <w:p w14:paraId="1BC90082" w14:textId="6FE2153A" w:rsidR="2424318D" w:rsidRDefault="2424318D" w:rsidP="2424318D">
      <w:pPr>
        <w:pStyle w:val="BodyText"/>
        <w:jc w:val="both"/>
        <w:rPr>
          <w:rFonts w:asciiTheme="minorHAnsi" w:eastAsiaTheme="minorEastAsia" w:hAnsiTheme="minorHAnsi" w:cstheme="minorBidi"/>
          <w:sz w:val="22"/>
        </w:rPr>
      </w:pPr>
    </w:p>
    <w:p w14:paraId="0083CD91" w14:textId="3E89D7BD" w:rsidR="4A355E51" w:rsidRDefault="007B442F" w:rsidP="00E13EFC">
      <w:pPr>
        <w:spacing w:after="160" w:line="257" w:lineRule="auto"/>
        <w:jc w:val="center"/>
        <w:rPr>
          <w:rFonts w:asciiTheme="minorHAnsi" w:eastAsiaTheme="minorEastAsia" w:hAnsiTheme="minorHAnsi" w:cstheme="minorBidi"/>
        </w:rPr>
      </w:pPr>
      <w:r>
        <w:rPr>
          <w:rFonts w:asciiTheme="minorHAnsi" w:eastAsiaTheme="minorEastAsia" w:hAnsiTheme="minorHAnsi" w:cstheme="minorBidi"/>
          <w:noProof/>
        </w:rPr>
        <w:drawing>
          <wp:inline distT="0" distB="0" distL="0" distR="0" wp14:anchorId="3A2C918A" wp14:editId="6D80D4C6">
            <wp:extent cx="5807401" cy="2915759"/>
            <wp:effectExtent l="0" t="0" r="3175" b="0"/>
            <wp:docPr id="2762933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15023" cy="2919586"/>
                    </a:xfrm>
                    <a:prstGeom prst="rect">
                      <a:avLst/>
                    </a:prstGeom>
                    <a:noFill/>
                    <a:ln>
                      <a:noFill/>
                    </a:ln>
                  </pic:spPr>
                </pic:pic>
              </a:graphicData>
            </a:graphic>
          </wp:inline>
        </w:drawing>
      </w:r>
    </w:p>
    <w:p w14:paraId="77090AB4" w14:textId="7CC970C4" w:rsidR="4A355E51" w:rsidRDefault="00640012" w:rsidP="00640012">
      <w:pPr>
        <w:pStyle w:val="Caption"/>
        <w:rPr>
          <w:rFonts w:asciiTheme="minorHAnsi" w:eastAsiaTheme="minorEastAsia" w:hAnsiTheme="minorHAnsi" w:cstheme="minorBidi"/>
          <w:i/>
          <w:color w:val="0E2841"/>
          <w:szCs w:val="20"/>
          <w:lang w:val="en-GB"/>
        </w:rPr>
      </w:pPr>
      <w:bookmarkStart w:id="61" w:name="_Toc233112211"/>
      <w:r>
        <w:t xml:space="preserve">Figure </w:t>
      </w:r>
      <w:r w:rsidR="00113348">
        <w:fldChar w:fldCharType="begin"/>
      </w:r>
      <w:r w:rsidR="00113348">
        <w:instrText xml:space="preserve"> SEQ Figure \* ARABIC </w:instrText>
      </w:r>
      <w:r w:rsidR="00113348">
        <w:fldChar w:fldCharType="separate"/>
      </w:r>
      <w:r w:rsidR="00F8092D">
        <w:rPr>
          <w:noProof/>
        </w:rPr>
        <w:t>5</w:t>
      </w:r>
      <w:r w:rsidR="00113348">
        <w:rPr>
          <w:noProof/>
        </w:rPr>
        <w:fldChar w:fldCharType="end"/>
      </w:r>
      <w:r w:rsidR="4A355E51" w:rsidRPr="4D9D5C89">
        <w:rPr>
          <w:rFonts w:ascii="Aptos" w:eastAsia="Aptos" w:hAnsi="Aptos" w:cs="Aptos"/>
          <w:i/>
          <w:color w:val="0E2841"/>
          <w:szCs w:val="20"/>
          <w:lang w:val="en-GB"/>
        </w:rPr>
        <w:t>: EVSE Eco-System Architectural view</w:t>
      </w:r>
      <w:bookmarkEnd w:id="61"/>
    </w:p>
    <w:p w14:paraId="4CF710A1" w14:textId="750B58E8" w:rsidR="2424318D" w:rsidRDefault="2424318D" w:rsidP="2424318D">
      <w:pPr>
        <w:pStyle w:val="BodyText"/>
        <w:rPr>
          <w:rFonts w:asciiTheme="minorHAnsi" w:eastAsiaTheme="minorEastAsia" w:hAnsiTheme="minorHAnsi" w:cstheme="minorBidi"/>
        </w:rPr>
      </w:pPr>
    </w:p>
    <w:p w14:paraId="05838A39" w14:textId="7ECBBB0F" w:rsidR="00E906C7" w:rsidRDefault="005D36EA" w:rsidP="4D9D5C89">
      <w:pPr>
        <w:pStyle w:val="BodyText"/>
        <w:jc w:val="both"/>
        <w:rPr>
          <w:rFonts w:asciiTheme="minorHAnsi" w:eastAsiaTheme="minorEastAsia" w:hAnsiTheme="minorHAnsi" w:cstheme="minorBidi"/>
        </w:rPr>
      </w:pPr>
      <w:r w:rsidRPr="3157ABF7">
        <w:rPr>
          <w:szCs w:val="24"/>
        </w:rPr>
        <w:t>T</w:t>
      </w:r>
      <w:r w:rsidR="00E906C7" w:rsidRPr="3157ABF7">
        <w:rPr>
          <w:szCs w:val="24"/>
        </w:rPr>
        <w:t xml:space="preserve">he </w:t>
      </w:r>
      <w:r w:rsidR="00CF0265" w:rsidRPr="3157ABF7">
        <w:rPr>
          <w:szCs w:val="24"/>
        </w:rPr>
        <w:t xml:space="preserve">Table </w:t>
      </w:r>
      <w:r w:rsidR="000B1095" w:rsidRPr="3157ABF7">
        <w:rPr>
          <w:szCs w:val="24"/>
        </w:rPr>
        <w:t>2</w:t>
      </w:r>
      <w:r w:rsidR="00E906C7" w:rsidRPr="3157ABF7">
        <w:rPr>
          <w:szCs w:val="24"/>
        </w:rPr>
        <w:t xml:space="preserve"> summarises the core EVSE components identified during the architectural decomposition phase of threat modelling. It consolidates hardware, firmware/software, and external interface elements, highlighting their primary operational roles and associated security relevance. This structured view enables clear identification of critical </w:t>
      </w:r>
      <w:r w:rsidR="009824C2" w:rsidRPr="3157ABF7">
        <w:rPr>
          <w:szCs w:val="24"/>
        </w:rPr>
        <w:t xml:space="preserve">EVSE assets and </w:t>
      </w:r>
      <w:r w:rsidR="00E906C7" w:rsidRPr="3157ABF7">
        <w:rPr>
          <w:szCs w:val="24"/>
        </w:rPr>
        <w:t>trust boundaries</w:t>
      </w:r>
      <w:r w:rsidR="009824C2" w:rsidRPr="3157ABF7">
        <w:rPr>
          <w:szCs w:val="24"/>
        </w:rPr>
        <w:t>.</w:t>
      </w:r>
    </w:p>
    <w:p w14:paraId="075628FF" w14:textId="2503EE87" w:rsidR="005F24A6" w:rsidRDefault="005F24A6" w:rsidP="00AE250A">
      <w:pPr>
        <w:pStyle w:val="BodyText"/>
        <w:rPr>
          <w:rFonts w:asciiTheme="minorHAnsi" w:eastAsiaTheme="minorEastAsia" w:hAnsiTheme="minorHAnsi" w:cstheme="minorBidi"/>
          <w:sz w:val="22"/>
        </w:rPr>
      </w:pPr>
    </w:p>
    <w:p w14:paraId="68CE43B1" w14:textId="4D6CBE74" w:rsidR="1E2180E9" w:rsidRDefault="00946632" w:rsidP="00946632">
      <w:pPr>
        <w:pStyle w:val="Caption"/>
        <w:rPr>
          <w:rFonts w:asciiTheme="minorHAnsi" w:eastAsiaTheme="minorEastAsia" w:hAnsiTheme="minorHAnsi" w:cstheme="minorBidi"/>
          <w:i/>
          <w:color w:val="0E2841"/>
          <w:szCs w:val="20"/>
          <w:lang w:val="en-GB"/>
        </w:rPr>
      </w:pPr>
      <w:bookmarkStart w:id="62" w:name="_Toc233112256"/>
      <w:r>
        <w:t xml:space="preserve">Table </w:t>
      </w:r>
      <w:r w:rsidR="00113348">
        <w:fldChar w:fldCharType="begin"/>
      </w:r>
      <w:r w:rsidR="00113348">
        <w:instrText xml:space="preserve"> SEQ Table \* ARABIC </w:instrText>
      </w:r>
      <w:r w:rsidR="00113348">
        <w:fldChar w:fldCharType="separate"/>
      </w:r>
      <w:r w:rsidR="00F8092D">
        <w:rPr>
          <w:noProof/>
        </w:rPr>
        <w:t>2</w:t>
      </w:r>
      <w:r w:rsidR="00113348">
        <w:rPr>
          <w:noProof/>
        </w:rPr>
        <w:fldChar w:fldCharType="end"/>
      </w:r>
      <w:r w:rsidR="1E2180E9" w:rsidRPr="3157ABF7">
        <w:rPr>
          <w:rFonts w:ascii="Aptos" w:eastAsia="Aptos" w:hAnsi="Aptos" w:cs="Aptos"/>
          <w:i/>
          <w:color w:val="0E2841"/>
          <w:szCs w:val="20"/>
          <w:lang w:val="en-GB"/>
        </w:rPr>
        <w:t>: EVSE Core Architectural Components and their Security Relevance</w:t>
      </w:r>
      <w:bookmarkEnd w:id="62"/>
    </w:p>
    <w:tbl>
      <w:tblPr>
        <w:tblStyle w:val="TableCSIRO"/>
        <w:tblW w:w="0" w:type="auto"/>
        <w:tblInd w:w="0" w:type="dxa"/>
        <w:tblLayout w:type="fixed"/>
        <w:tblLook w:val="04A0" w:firstRow="1" w:lastRow="0" w:firstColumn="1" w:lastColumn="0" w:noHBand="0" w:noVBand="1"/>
      </w:tblPr>
      <w:tblGrid>
        <w:gridCol w:w="1701"/>
        <w:gridCol w:w="2097"/>
        <w:gridCol w:w="2900"/>
        <w:gridCol w:w="2940"/>
      </w:tblGrid>
      <w:tr w:rsidR="007376CD" w:rsidRPr="001D06DF" w14:paraId="5EADCFA4" w14:textId="77777777" w:rsidTr="007157A7">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701" w:type="dxa"/>
            <w:hideMark/>
          </w:tcPr>
          <w:p w14:paraId="3149C4E8" w14:textId="77777777" w:rsidR="00E906C7" w:rsidRPr="001D06DF" w:rsidRDefault="00E906C7" w:rsidP="001D06DF">
            <w:pPr>
              <w:pStyle w:val="BodyText"/>
              <w:spacing w:before="0" w:after="0"/>
              <w:rPr>
                <w:rFonts w:asciiTheme="minorHAnsi" w:eastAsiaTheme="minorEastAsia" w:hAnsiTheme="minorHAnsi" w:cstheme="minorBidi"/>
                <w:color w:val="FFFFFF" w:themeColor="background2"/>
                <w:sz w:val="18"/>
                <w:szCs w:val="18"/>
              </w:rPr>
            </w:pPr>
            <w:bookmarkStart w:id="63" w:name="_Toc222954410"/>
            <w:bookmarkStart w:id="64" w:name="_Toc223022313"/>
            <w:r w:rsidRPr="3C9E86E5">
              <w:rPr>
                <w:rFonts w:asciiTheme="minorHAnsi" w:eastAsiaTheme="minorEastAsia" w:hAnsiTheme="minorHAnsi" w:cstheme="minorBidi"/>
                <w:color w:val="FFFFFF" w:themeColor="background2"/>
                <w:sz w:val="18"/>
                <w:szCs w:val="18"/>
              </w:rPr>
              <w:t>Category</w:t>
            </w:r>
            <w:bookmarkEnd w:id="63"/>
            <w:bookmarkEnd w:id="64"/>
          </w:p>
        </w:tc>
        <w:tc>
          <w:tcPr>
            <w:tcW w:w="2097" w:type="dxa"/>
            <w:hideMark/>
          </w:tcPr>
          <w:p w14:paraId="7613D2B7" w14:textId="77777777" w:rsidR="00E906C7" w:rsidRPr="001D06DF" w:rsidRDefault="00E906C7" w:rsidP="001D06DF">
            <w:pPr>
              <w:pStyle w:val="BodyText"/>
              <w:spacing w:before="0" w:after="0"/>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2"/>
                <w:sz w:val="18"/>
                <w:szCs w:val="18"/>
              </w:rPr>
            </w:pPr>
            <w:bookmarkStart w:id="65" w:name="_Toc222954411"/>
            <w:bookmarkStart w:id="66" w:name="_Toc223022314"/>
            <w:r w:rsidRPr="3C9E86E5">
              <w:rPr>
                <w:rFonts w:asciiTheme="minorHAnsi" w:eastAsiaTheme="minorEastAsia" w:hAnsiTheme="minorHAnsi" w:cstheme="minorBidi"/>
                <w:color w:val="FFFFFF" w:themeColor="background2"/>
                <w:sz w:val="18"/>
                <w:szCs w:val="18"/>
              </w:rPr>
              <w:t>Component</w:t>
            </w:r>
            <w:bookmarkEnd w:id="65"/>
            <w:bookmarkEnd w:id="66"/>
          </w:p>
        </w:tc>
        <w:tc>
          <w:tcPr>
            <w:tcW w:w="2900" w:type="dxa"/>
            <w:hideMark/>
          </w:tcPr>
          <w:p w14:paraId="7187BFE5" w14:textId="77777777" w:rsidR="00E906C7" w:rsidRPr="001D06DF" w:rsidRDefault="00E906C7" w:rsidP="001D06DF">
            <w:pPr>
              <w:pStyle w:val="BodyText"/>
              <w:spacing w:before="0" w:after="0"/>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2"/>
                <w:sz w:val="18"/>
                <w:szCs w:val="18"/>
              </w:rPr>
            </w:pPr>
            <w:bookmarkStart w:id="67" w:name="_Toc222954412"/>
            <w:bookmarkStart w:id="68" w:name="_Toc223022315"/>
            <w:r w:rsidRPr="3C9E86E5">
              <w:rPr>
                <w:rFonts w:asciiTheme="minorHAnsi" w:eastAsiaTheme="minorEastAsia" w:hAnsiTheme="minorHAnsi" w:cstheme="minorBidi"/>
                <w:color w:val="FFFFFF" w:themeColor="background2"/>
                <w:sz w:val="18"/>
                <w:szCs w:val="18"/>
              </w:rPr>
              <w:t>Primary Function</w:t>
            </w:r>
            <w:bookmarkEnd w:id="67"/>
            <w:bookmarkEnd w:id="68"/>
          </w:p>
        </w:tc>
        <w:tc>
          <w:tcPr>
            <w:tcW w:w="2940" w:type="dxa"/>
            <w:hideMark/>
          </w:tcPr>
          <w:p w14:paraId="7FD9B97C" w14:textId="77777777" w:rsidR="00E906C7" w:rsidRPr="001D06DF" w:rsidRDefault="00E906C7" w:rsidP="001D06DF">
            <w:pPr>
              <w:pStyle w:val="BodyText"/>
              <w:spacing w:before="0" w:after="0"/>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2"/>
                <w:sz w:val="18"/>
                <w:szCs w:val="18"/>
              </w:rPr>
            </w:pPr>
            <w:bookmarkStart w:id="69" w:name="_Toc222954413"/>
            <w:bookmarkStart w:id="70" w:name="_Toc223022316"/>
            <w:r w:rsidRPr="3C9E86E5">
              <w:rPr>
                <w:rFonts w:asciiTheme="minorHAnsi" w:eastAsiaTheme="minorEastAsia" w:hAnsiTheme="minorHAnsi" w:cstheme="minorBidi"/>
                <w:color w:val="FFFFFF" w:themeColor="background2"/>
                <w:sz w:val="18"/>
                <w:szCs w:val="18"/>
              </w:rPr>
              <w:t>Security Relevance</w:t>
            </w:r>
            <w:bookmarkEnd w:id="69"/>
            <w:bookmarkEnd w:id="70"/>
          </w:p>
        </w:tc>
      </w:tr>
      <w:tr w:rsidR="007376CD" w:rsidRPr="001D06DF" w14:paraId="3FAADAE3" w14:textId="77777777" w:rsidTr="007157A7">
        <w:trPr>
          <w:cnfStyle w:val="000000100000" w:firstRow="0" w:lastRow="0" w:firstColumn="0" w:lastColumn="0" w:oddVBand="0" w:evenVBand="0" w:oddHBand="1" w:evenHBand="0"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1701" w:type="dxa"/>
            <w:hideMark/>
          </w:tcPr>
          <w:p w14:paraId="4D03C1AF" w14:textId="77777777" w:rsidR="00E906C7" w:rsidRPr="001D06DF" w:rsidRDefault="00E906C7" w:rsidP="001D06DF">
            <w:pPr>
              <w:pStyle w:val="BodyText"/>
              <w:spacing w:before="0" w:after="0"/>
              <w:rPr>
                <w:rFonts w:asciiTheme="minorHAnsi" w:eastAsiaTheme="minorEastAsia" w:hAnsiTheme="minorHAnsi" w:cstheme="minorBidi"/>
                <w:sz w:val="18"/>
                <w:szCs w:val="18"/>
              </w:rPr>
            </w:pPr>
            <w:bookmarkStart w:id="71" w:name="_Toc222954414"/>
            <w:bookmarkStart w:id="72" w:name="_Toc223022317"/>
            <w:r w:rsidRPr="3C9E86E5">
              <w:rPr>
                <w:rFonts w:asciiTheme="minorHAnsi" w:eastAsiaTheme="minorEastAsia" w:hAnsiTheme="minorHAnsi" w:cstheme="minorBidi"/>
                <w:sz w:val="18"/>
                <w:szCs w:val="18"/>
              </w:rPr>
              <w:t>Hardware</w:t>
            </w:r>
            <w:bookmarkEnd w:id="71"/>
            <w:bookmarkEnd w:id="72"/>
          </w:p>
        </w:tc>
        <w:tc>
          <w:tcPr>
            <w:tcW w:w="2097" w:type="dxa"/>
            <w:hideMark/>
          </w:tcPr>
          <w:p w14:paraId="242A4120" w14:textId="77777777" w:rsidR="00E906C7" w:rsidRPr="001D06DF" w:rsidRDefault="00E906C7" w:rsidP="001D06DF">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bookmarkStart w:id="73" w:name="_Toc222954415"/>
            <w:bookmarkStart w:id="74" w:name="_Toc223022318"/>
            <w:r w:rsidRPr="3C9E86E5">
              <w:rPr>
                <w:rFonts w:asciiTheme="minorHAnsi" w:eastAsiaTheme="minorEastAsia" w:hAnsiTheme="minorHAnsi" w:cstheme="minorBidi"/>
                <w:sz w:val="18"/>
                <w:szCs w:val="18"/>
              </w:rPr>
              <w:t>Power Electronics Module</w:t>
            </w:r>
            <w:bookmarkEnd w:id="73"/>
            <w:bookmarkEnd w:id="74"/>
          </w:p>
        </w:tc>
        <w:tc>
          <w:tcPr>
            <w:tcW w:w="2900" w:type="dxa"/>
            <w:hideMark/>
          </w:tcPr>
          <w:p w14:paraId="04112758" w14:textId="77777777" w:rsidR="00E906C7" w:rsidRPr="001D06DF" w:rsidRDefault="00E906C7" w:rsidP="001D06DF">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bookmarkStart w:id="75" w:name="_Toc222954416"/>
            <w:bookmarkStart w:id="76" w:name="_Toc223022319"/>
            <w:r w:rsidRPr="3C9E86E5">
              <w:rPr>
                <w:rFonts w:asciiTheme="minorHAnsi" w:eastAsiaTheme="minorEastAsia" w:hAnsiTheme="minorHAnsi" w:cstheme="minorBidi"/>
                <w:sz w:val="18"/>
                <w:szCs w:val="18"/>
              </w:rPr>
              <w:t>AC/DC conversion, DC/DC regulation, high-voltage switching, thermal control</w:t>
            </w:r>
            <w:bookmarkEnd w:id="75"/>
            <w:bookmarkEnd w:id="76"/>
          </w:p>
        </w:tc>
        <w:tc>
          <w:tcPr>
            <w:tcW w:w="2940" w:type="dxa"/>
            <w:hideMark/>
          </w:tcPr>
          <w:p w14:paraId="211F0FB8" w14:textId="77777777" w:rsidR="00E906C7" w:rsidRPr="001D06DF" w:rsidRDefault="00E906C7" w:rsidP="001D06DF">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bookmarkStart w:id="77" w:name="_Toc222954417"/>
            <w:bookmarkStart w:id="78" w:name="_Toc223022320"/>
            <w:r w:rsidRPr="3C9E86E5">
              <w:rPr>
                <w:rFonts w:asciiTheme="minorHAnsi" w:eastAsiaTheme="minorEastAsia" w:hAnsiTheme="minorHAnsi" w:cstheme="minorBidi"/>
                <w:sz w:val="18"/>
                <w:szCs w:val="18"/>
              </w:rPr>
              <w:t>High-impact safety asset; potential manipulation affects grid and battery integrity</w:t>
            </w:r>
            <w:bookmarkEnd w:id="77"/>
            <w:bookmarkEnd w:id="78"/>
          </w:p>
        </w:tc>
      </w:tr>
      <w:tr w:rsidR="007376CD" w:rsidRPr="001D06DF" w14:paraId="2932D402" w14:textId="77777777" w:rsidTr="007157A7">
        <w:tc>
          <w:tcPr>
            <w:cnfStyle w:val="001000000000" w:firstRow="0" w:lastRow="0" w:firstColumn="1" w:lastColumn="0" w:oddVBand="0" w:evenVBand="0" w:oddHBand="0" w:evenHBand="0" w:firstRowFirstColumn="0" w:firstRowLastColumn="0" w:lastRowFirstColumn="0" w:lastRowLastColumn="0"/>
            <w:tcW w:w="1701" w:type="dxa"/>
            <w:hideMark/>
          </w:tcPr>
          <w:p w14:paraId="189C1687" w14:textId="77777777" w:rsidR="00E906C7" w:rsidRPr="001D06DF" w:rsidRDefault="00E906C7" w:rsidP="001D06DF">
            <w:pPr>
              <w:pStyle w:val="BodyText"/>
              <w:spacing w:before="0" w:after="0"/>
              <w:rPr>
                <w:rFonts w:asciiTheme="minorHAnsi" w:eastAsiaTheme="minorEastAsia" w:hAnsiTheme="minorHAnsi" w:cstheme="minorBidi"/>
                <w:sz w:val="18"/>
                <w:szCs w:val="18"/>
              </w:rPr>
            </w:pPr>
            <w:bookmarkStart w:id="79" w:name="_Toc222954418"/>
            <w:bookmarkStart w:id="80" w:name="_Toc223022321"/>
            <w:r w:rsidRPr="3C9E86E5">
              <w:rPr>
                <w:rFonts w:asciiTheme="minorHAnsi" w:eastAsiaTheme="minorEastAsia" w:hAnsiTheme="minorHAnsi" w:cstheme="minorBidi"/>
                <w:sz w:val="18"/>
                <w:szCs w:val="18"/>
              </w:rPr>
              <w:t>Hardware</w:t>
            </w:r>
            <w:bookmarkEnd w:id="79"/>
            <w:bookmarkEnd w:id="80"/>
          </w:p>
        </w:tc>
        <w:tc>
          <w:tcPr>
            <w:tcW w:w="2097" w:type="dxa"/>
            <w:hideMark/>
          </w:tcPr>
          <w:p w14:paraId="3718E746" w14:textId="77777777" w:rsidR="00E906C7" w:rsidRPr="001D06DF" w:rsidRDefault="00E906C7" w:rsidP="001D06DF">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bookmarkStart w:id="81" w:name="_Toc222954419"/>
            <w:bookmarkStart w:id="82" w:name="_Toc223022322"/>
            <w:r w:rsidRPr="3C9E86E5">
              <w:rPr>
                <w:rFonts w:asciiTheme="minorHAnsi" w:eastAsiaTheme="minorEastAsia" w:hAnsiTheme="minorHAnsi" w:cstheme="minorBidi"/>
                <w:sz w:val="18"/>
                <w:szCs w:val="18"/>
              </w:rPr>
              <w:t>Control &amp; Logic Unit (SoC/MCU)</w:t>
            </w:r>
            <w:bookmarkEnd w:id="81"/>
            <w:bookmarkEnd w:id="82"/>
          </w:p>
        </w:tc>
        <w:tc>
          <w:tcPr>
            <w:tcW w:w="2900" w:type="dxa"/>
            <w:hideMark/>
          </w:tcPr>
          <w:p w14:paraId="516D450A" w14:textId="77777777" w:rsidR="00E906C7" w:rsidRPr="001D06DF" w:rsidRDefault="00E906C7" w:rsidP="001D06DF">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bookmarkStart w:id="83" w:name="_Toc222954420"/>
            <w:bookmarkStart w:id="84" w:name="_Toc223022323"/>
            <w:r w:rsidRPr="3C9E86E5">
              <w:rPr>
                <w:rFonts w:asciiTheme="minorHAnsi" w:eastAsiaTheme="minorEastAsia" w:hAnsiTheme="minorHAnsi" w:cstheme="minorBidi"/>
                <w:sz w:val="18"/>
                <w:szCs w:val="18"/>
              </w:rPr>
              <w:t>Executes firmware, charging logic, safety checks</w:t>
            </w:r>
            <w:bookmarkEnd w:id="83"/>
            <w:bookmarkEnd w:id="84"/>
          </w:p>
        </w:tc>
        <w:tc>
          <w:tcPr>
            <w:tcW w:w="2940" w:type="dxa"/>
            <w:hideMark/>
          </w:tcPr>
          <w:p w14:paraId="67FE7DF3" w14:textId="77777777" w:rsidR="00E906C7" w:rsidRPr="001D06DF" w:rsidRDefault="00E906C7" w:rsidP="001D06DF">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bookmarkStart w:id="85" w:name="_Toc222954421"/>
            <w:bookmarkStart w:id="86" w:name="_Toc223022324"/>
            <w:r w:rsidRPr="3C9E86E5">
              <w:rPr>
                <w:rFonts w:asciiTheme="minorHAnsi" w:eastAsiaTheme="minorEastAsia" w:hAnsiTheme="minorHAnsi" w:cstheme="minorBidi"/>
                <w:sz w:val="18"/>
                <w:szCs w:val="18"/>
              </w:rPr>
              <w:t>Root of trust; firmware integrity and secure boot critical</w:t>
            </w:r>
            <w:bookmarkEnd w:id="85"/>
            <w:bookmarkEnd w:id="86"/>
          </w:p>
        </w:tc>
      </w:tr>
      <w:tr w:rsidR="007376CD" w:rsidRPr="001D06DF" w14:paraId="481DE639" w14:textId="77777777" w:rsidTr="00715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1DFC0674" w14:textId="77777777" w:rsidR="00E906C7" w:rsidRPr="001D06DF" w:rsidRDefault="00E906C7" w:rsidP="001D06DF">
            <w:pPr>
              <w:pStyle w:val="BodyText"/>
              <w:spacing w:before="0" w:after="0"/>
              <w:rPr>
                <w:rFonts w:asciiTheme="minorHAnsi" w:eastAsiaTheme="minorEastAsia" w:hAnsiTheme="minorHAnsi" w:cstheme="minorBidi"/>
                <w:sz w:val="18"/>
                <w:szCs w:val="18"/>
              </w:rPr>
            </w:pPr>
            <w:bookmarkStart w:id="87" w:name="_Toc222954422"/>
            <w:bookmarkStart w:id="88" w:name="_Toc223022325"/>
            <w:r w:rsidRPr="3C9E86E5">
              <w:rPr>
                <w:rFonts w:asciiTheme="minorHAnsi" w:eastAsiaTheme="minorEastAsia" w:hAnsiTheme="minorHAnsi" w:cstheme="minorBidi"/>
                <w:sz w:val="18"/>
                <w:szCs w:val="18"/>
              </w:rPr>
              <w:t>Hardware</w:t>
            </w:r>
            <w:bookmarkEnd w:id="87"/>
            <w:bookmarkEnd w:id="88"/>
          </w:p>
        </w:tc>
        <w:tc>
          <w:tcPr>
            <w:tcW w:w="2097" w:type="dxa"/>
            <w:hideMark/>
          </w:tcPr>
          <w:p w14:paraId="68904CAE" w14:textId="77777777" w:rsidR="00E906C7" w:rsidRPr="001D06DF" w:rsidRDefault="00E906C7" w:rsidP="001D06DF">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bookmarkStart w:id="89" w:name="_Toc222954423"/>
            <w:bookmarkStart w:id="90" w:name="_Toc223022326"/>
            <w:r w:rsidRPr="3C9E86E5">
              <w:rPr>
                <w:rFonts w:asciiTheme="minorHAnsi" w:eastAsiaTheme="minorEastAsia" w:hAnsiTheme="minorHAnsi" w:cstheme="minorBidi"/>
                <w:sz w:val="18"/>
                <w:szCs w:val="18"/>
              </w:rPr>
              <w:t>HMI (Display/Indicators)</w:t>
            </w:r>
            <w:bookmarkEnd w:id="89"/>
            <w:bookmarkEnd w:id="90"/>
          </w:p>
        </w:tc>
        <w:tc>
          <w:tcPr>
            <w:tcW w:w="2900" w:type="dxa"/>
            <w:hideMark/>
          </w:tcPr>
          <w:p w14:paraId="02DAA66D" w14:textId="77777777" w:rsidR="00E906C7" w:rsidRPr="001D06DF" w:rsidRDefault="00E906C7" w:rsidP="001D06DF">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bookmarkStart w:id="91" w:name="_Toc222954424"/>
            <w:bookmarkStart w:id="92" w:name="_Toc223022327"/>
            <w:r w:rsidRPr="3C9E86E5">
              <w:rPr>
                <w:rFonts w:asciiTheme="minorHAnsi" w:eastAsiaTheme="minorEastAsia" w:hAnsiTheme="minorHAnsi" w:cstheme="minorBidi"/>
                <w:sz w:val="18"/>
                <w:szCs w:val="18"/>
              </w:rPr>
              <w:t>User interaction, session monitoring</w:t>
            </w:r>
            <w:bookmarkEnd w:id="91"/>
            <w:bookmarkEnd w:id="92"/>
          </w:p>
        </w:tc>
        <w:tc>
          <w:tcPr>
            <w:tcW w:w="2940" w:type="dxa"/>
            <w:hideMark/>
          </w:tcPr>
          <w:p w14:paraId="192F56B4" w14:textId="77777777" w:rsidR="00E906C7" w:rsidRPr="001D06DF" w:rsidRDefault="00E906C7" w:rsidP="001D06DF">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bookmarkStart w:id="93" w:name="_Toc222954425"/>
            <w:bookmarkStart w:id="94" w:name="_Toc223022328"/>
            <w:r w:rsidRPr="3C9E86E5">
              <w:rPr>
                <w:rFonts w:asciiTheme="minorHAnsi" w:eastAsiaTheme="minorEastAsia" w:hAnsiTheme="minorHAnsi" w:cstheme="minorBidi"/>
                <w:sz w:val="18"/>
                <w:szCs w:val="18"/>
              </w:rPr>
              <w:t>Potential physical access attack vector</w:t>
            </w:r>
            <w:bookmarkEnd w:id="93"/>
            <w:bookmarkEnd w:id="94"/>
          </w:p>
        </w:tc>
      </w:tr>
      <w:tr w:rsidR="007376CD" w:rsidRPr="001D06DF" w14:paraId="048E5E7C" w14:textId="77777777" w:rsidTr="007157A7">
        <w:tc>
          <w:tcPr>
            <w:cnfStyle w:val="001000000000" w:firstRow="0" w:lastRow="0" w:firstColumn="1" w:lastColumn="0" w:oddVBand="0" w:evenVBand="0" w:oddHBand="0" w:evenHBand="0" w:firstRowFirstColumn="0" w:firstRowLastColumn="0" w:lastRowFirstColumn="0" w:lastRowLastColumn="0"/>
            <w:tcW w:w="1701" w:type="dxa"/>
            <w:hideMark/>
          </w:tcPr>
          <w:p w14:paraId="3E15F758" w14:textId="77777777" w:rsidR="00E906C7" w:rsidRPr="001D06DF" w:rsidRDefault="00E906C7" w:rsidP="001D06DF">
            <w:pPr>
              <w:pStyle w:val="BodyText"/>
              <w:spacing w:before="0" w:after="0"/>
              <w:rPr>
                <w:rFonts w:asciiTheme="minorHAnsi" w:eastAsiaTheme="minorEastAsia" w:hAnsiTheme="minorHAnsi" w:cstheme="minorBidi"/>
                <w:sz w:val="18"/>
                <w:szCs w:val="18"/>
              </w:rPr>
            </w:pPr>
            <w:bookmarkStart w:id="95" w:name="_Toc222954426"/>
            <w:bookmarkStart w:id="96" w:name="_Toc223022329"/>
            <w:r w:rsidRPr="3C9E86E5">
              <w:rPr>
                <w:rFonts w:asciiTheme="minorHAnsi" w:eastAsiaTheme="minorEastAsia" w:hAnsiTheme="minorHAnsi" w:cstheme="minorBidi"/>
                <w:sz w:val="18"/>
                <w:szCs w:val="18"/>
              </w:rPr>
              <w:t>Hardware</w:t>
            </w:r>
            <w:bookmarkEnd w:id="95"/>
            <w:bookmarkEnd w:id="96"/>
          </w:p>
        </w:tc>
        <w:tc>
          <w:tcPr>
            <w:tcW w:w="2097" w:type="dxa"/>
            <w:hideMark/>
          </w:tcPr>
          <w:p w14:paraId="6BBEAE41" w14:textId="77777777" w:rsidR="00E906C7" w:rsidRPr="001D06DF" w:rsidRDefault="00E906C7" w:rsidP="001D06DF">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bookmarkStart w:id="97" w:name="_Toc222954427"/>
            <w:bookmarkStart w:id="98" w:name="_Toc223022330"/>
            <w:r w:rsidRPr="3C9E86E5">
              <w:rPr>
                <w:rFonts w:asciiTheme="minorHAnsi" w:eastAsiaTheme="minorEastAsia" w:hAnsiTheme="minorHAnsi" w:cstheme="minorBidi"/>
                <w:sz w:val="18"/>
                <w:szCs w:val="18"/>
              </w:rPr>
              <w:t>Authentication &amp; Payment Module</w:t>
            </w:r>
            <w:bookmarkEnd w:id="97"/>
            <w:bookmarkEnd w:id="98"/>
          </w:p>
        </w:tc>
        <w:tc>
          <w:tcPr>
            <w:tcW w:w="2900" w:type="dxa"/>
            <w:hideMark/>
          </w:tcPr>
          <w:p w14:paraId="0D2FD1CD" w14:textId="77777777" w:rsidR="00E906C7" w:rsidRPr="001D06DF" w:rsidRDefault="00E906C7" w:rsidP="001D06DF">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bookmarkStart w:id="99" w:name="_Toc222954428"/>
            <w:bookmarkStart w:id="100" w:name="_Toc223022331"/>
            <w:r w:rsidRPr="3C9E86E5">
              <w:rPr>
                <w:rFonts w:asciiTheme="minorHAnsi" w:eastAsiaTheme="minorEastAsia" w:hAnsiTheme="minorHAnsi" w:cstheme="minorBidi"/>
                <w:sz w:val="18"/>
                <w:szCs w:val="18"/>
              </w:rPr>
              <w:t>RFID/NFC processing, EMV transactions</w:t>
            </w:r>
            <w:bookmarkEnd w:id="99"/>
            <w:bookmarkEnd w:id="100"/>
          </w:p>
        </w:tc>
        <w:tc>
          <w:tcPr>
            <w:tcW w:w="2940" w:type="dxa"/>
            <w:hideMark/>
          </w:tcPr>
          <w:p w14:paraId="7E906562" w14:textId="77777777" w:rsidR="00E906C7" w:rsidRPr="001D06DF" w:rsidRDefault="00E906C7" w:rsidP="001D06DF">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bookmarkStart w:id="101" w:name="_Toc222954429"/>
            <w:bookmarkStart w:id="102" w:name="_Toc223022332"/>
            <w:r w:rsidRPr="3C9E86E5">
              <w:rPr>
                <w:rFonts w:asciiTheme="minorHAnsi" w:eastAsiaTheme="minorEastAsia" w:hAnsiTheme="minorHAnsi" w:cstheme="minorBidi"/>
                <w:sz w:val="18"/>
                <w:szCs w:val="18"/>
              </w:rPr>
              <w:t>Sensitive financial data; PCI-DSS compliance required</w:t>
            </w:r>
            <w:bookmarkEnd w:id="101"/>
            <w:bookmarkEnd w:id="102"/>
          </w:p>
        </w:tc>
      </w:tr>
      <w:tr w:rsidR="007376CD" w:rsidRPr="001D06DF" w14:paraId="79E7A17C" w14:textId="77777777" w:rsidTr="00715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64CB7484" w14:textId="77777777" w:rsidR="00E906C7" w:rsidRPr="001D06DF" w:rsidRDefault="00E906C7" w:rsidP="001D06DF">
            <w:pPr>
              <w:pStyle w:val="BodyText"/>
              <w:spacing w:before="0" w:after="0"/>
              <w:rPr>
                <w:rFonts w:asciiTheme="minorHAnsi" w:eastAsiaTheme="minorEastAsia" w:hAnsiTheme="minorHAnsi" w:cstheme="minorBidi"/>
                <w:sz w:val="18"/>
                <w:szCs w:val="18"/>
              </w:rPr>
            </w:pPr>
            <w:bookmarkStart w:id="103" w:name="_Toc222954430"/>
            <w:bookmarkStart w:id="104" w:name="_Toc223022333"/>
            <w:r w:rsidRPr="3C9E86E5">
              <w:rPr>
                <w:rFonts w:asciiTheme="minorHAnsi" w:eastAsiaTheme="minorEastAsia" w:hAnsiTheme="minorHAnsi" w:cstheme="minorBidi"/>
                <w:sz w:val="18"/>
                <w:szCs w:val="18"/>
              </w:rPr>
              <w:t>Hardware</w:t>
            </w:r>
            <w:bookmarkEnd w:id="103"/>
            <w:bookmarkEnd w:id="104"/>
          </w:p>
        </w:tc>
        <w:tc>
          <w:tcPr>
            <w:tcW w:w="2097" w:type="dxa"/>
            <w:hideMark/>
          </w:tcPr>
          <w:p w14:paraId="6C41D201" w14:textId="77777777" w:rsidR="00E906C7" w:rsidRPr="001D06DF" w:rsidRDefault="00E906C7" w:rsidP="001D06DF">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bookmarkStart w:id="105" w:name="_Toc222954431"/>
            <w:bookmarkStart w:id="106" w:name="_Toc223022334"/>
            <w:r w:rsidRPr="3C9E86E5">
              <w:rPr>
                <w:rFonts w:asciiTheme="minorHAnsi" w:eastAsiaTheme="minorEastAsia" w:hAnsiTheme="minorHAnsi" w:cstheme="minorBidi"/>
                <w:sz w:val="18"/>
                <w:szCs w:val="18"/>
              </w:rPr>
              <w:t>Connectivity Module (4G/5G, Wi-Fi, Ethernet)</w:t>
            </w:r>
            <w:bookmarkEnd w:id="105"/>
            <w:bookmarkEnd w:id="106"/>
          </w:p>
        </w:tc>
        <w:tc>
          <w:tcPr>
            <w:tcW w:w="2900" w:type="dxa"/>
            <w:hideMark/>
          </w:tcPr>
          <w:p w14:paraId="34225957" w14:textId="77777777" w:rsidR="00E906C7" w:rsidRPr="001D06DF" w:rsidRDefault="00E906C7" w:rsidP="001D06DF">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bookmarkStart w:id="107" w:name="_Toc222954432"/>
            <w:bookmarkStart w:id="108" w:name="_Toc223022335"/>
            <w:r w:rsidRPr="3C9E86E5">
              <w:rPr>
                <w:rFonts w:asciiTheme="minorHAnsi" w:eastAsiaTheme="minorEastAsia" w:hAnsiTheme="minorHAnsi" w:cstheme="minorBidi"/>
                <w:sz w:val="18"/>
                <w:szCs w:val="18"/>
              </w:rPr>
              <w:t>WAN/backend communication</w:t>
            </w:r>
            <w:bookmarkEnd w:id="107"/>
            <w:bookmarkEnd w:id="108"/>
          </w:p>
        </w:tc>
        <w:tc>
          <w:tcPr>
            <w:tcW w:w="2940" w:type="dxa"/>
            <w:hideMark/>
          </w:tcPr>
          <w:p w14:paraId="24CA2484" w14:textId="77777777" w:rsidR="00E906C7" w:rsidRPr="001D06DF" w:rsidRDefault="00E906C7" w:rsidP="001D06DF">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bookmarkStart w:id="109" w:name="_Toc222954433"/>
            <w:bookmarkStart w:id="110" w:name="_Toc223022336"/>
            <w:r w:rsidRPr="3C9E86E5">
              <w:rPr>
                <w:rFonts w:asciiTheme="minorHAnsi" w:eastAsiaTheme="minorEastAsia" w:hAnsiTheme="minorHAnsi" w:cstheme="minorBidi"/>
                <w:sz w:val="18"/>
                <w:szCs w:val="18"/>
              </w:rPr>
              <w:t>Primary remote attack surface</w:t>
            </w:r>
            <w:bookmarkEnd w:id="109"/>
            <w:bookmarkEnd w:id="110"/>
          </w:p>
        </w:tc>
      </w:tr>
      <w:tr w:rsidR="007376CD" w:rsidRPr="001D06DF" w14:paraId="5C6B923C" w14:textId="77777777" w:rsidTr="007157A7">
        <w:tc>
          <w:tcPr>
            <w:cnfStyle w:val="001000000000" w:firstRow="0" w:lastRow="0" w:firstColumn="1" w:lastColumn="0" w:oddVBand="0" w:evenVBand="0" w:oddHBand="0" w:evenHBand="0" w:firstRowFirstColumn="0" w:firstRowLastColumn="0" w:lastRowFirstColumn="0" w:lastRowLastColumn="0"/>
            <w:tcW w:w="1701" w:type="dxa"/>
            <w:hideMark/>
          </w:tcPr>
          <w:p w14:paraId="462B0177" w14:textId="77777777" w:rsidR="00E906C7" w:rsidRPr="001D06DF" w:rsidRDefault="00E906C7" w:rsidP="001D06DF">
            <w:pPr>
              <w:pStyle w:val="BodyText"/>
              <w:spacing w:before="0" w:after="0"/>
              <w:rPr>
                <w:rFonts w:asciiTheme="minorHAnsi" w:eastAsiaTheme="minorEastAsia" w:hAnsiTheme="minorHAnsi" w:cstheme="minorBidi"/>
                <w:sz w:val="18"/>
                <w:szCs w:val="18"/>
              </w:rPr>
            </w:pPr>
            <w:bookmarkStart w:id="111" w:name="_Toc222954434"/>
            <w:bookmarkStart w:id="112" w:name="_Toc223022337"/>
            <w:r w:rsidRPr="3C9E86E5">
              <w:rPr>
                <w:rFonts w:asciiTheme="minorHAnsi" w:eastAsiaTheme="minorEastAsia" w:hAnsiTheme="minorHAnsi" w:cstheme="minorBidi"/>
                <w:sz w:val="18"/>
                <w:szCs w:val="18"/>
              </w:rPr>
              <w:t>Hardware</w:t>
            </w:r>
            <w:bookmarkEnd w:id="111"/>
            <w:bookmarkEnd w:id="112"/>
          </w:p>
        </w:tc>
        <w:tc>
          <w:tcPr>
            <w:tcW w:w="2097" w:type="dxa"/>
            <w:hideMark/>
          </w:tcPr>
          <w:p w14:paraId="7AE40FF6" w14:textId="77777777" w:rsidR="00E906C7" w:rsidRPr="001D06DF" w:rsidRDefault="00E906C7" w:rsidP="001D06DF">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bookmarkStart w:id="113" w:name="_Toc222954435"/>
            <w:bookmarkStart w:id="114" w:name="_Toc223022338"/>
            <w:r w:rsidRPr="3C9E86E5">
              <w:rPr>
                <w:rFonts w:asciiTheme="minorHAnsi" w:eastAsiaTheme="minorEastAsia" w:hAnsiTheme="minorHAnsi" w:cstheme="minorBidi"/>
                <w:sz w:val="18"/>
                <w:szCs w:val="18"/>
              </w:rPr>
              <w:t>Metering &amp; Safety Systems</w:t>
            </w:r>
            <w:bookmarkEnd w:id="113"/>
            <w:bookmarkEnd w:id="114"/>
          </w:p>
        </w:tc>
        <w:tc>
          <w:tcPr>
            <w:tcW w:w="2900" w:type="dxa"/>
            <w:hideMark/>
          </w:tcPr>
          <w:p w14:paraId="1A45597D" w14:textId="2CE5775D" w:rsidR="00E906C7" w:rsidRPr="001D06DF" w:rsidRDefault="00E906C7" w:rsidP="001D06DF">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bookmarkStart w:id="115" w:name="_Toc222954436"/>
            <w:bookmarkStart w:id="116" w:name="_Toc223022339"/>
            <w:r w:rsidRPr="3C9E86E5">
              <w:rPr>
                <w:rFonts w:asciiTheme="minorHAnsi" w:eastAsiaTheme="minorEastAsia" w:hAnsiTheme="minorHAnsi" w:cstheme="minorBidi"/>
                <w:sz w:val="18"/>
                <w:szCs w:val="18"/>
              </w:rPr>
              <w:t xml:space="preserve">Energy measurement, RCD, breakers, </w:t>
            </w:r>
            <w:r w:rsidR="007376CD" w:rsidRPr="3C9E86E5">
              <w:rPr>
                <w:rFonts w:asciiTheme="minorHAnsi" w:eastAsiaTheme="minorEastAsia" w:hAnsiTheme="minorHAnsi" w:cstheme="minorBidi"/>
                <w:sz w:val="18"/>
                <w:szCs w:val="18"/>
              </w:rPr>
              <w:t xml:space="preserve">and </w:t>
            </w:r>
            <w:r w:rsidRPr="3C9E86E5">
              <w:rPr>
                <w:rFonts w:asciiTheme="minorHAnsi" w:eastAsiaTheme="minorEastAsia" w:hAnsiTheme="minorHAnsi" w:cstheme="minorBidi"/>
                <w:sz w:val="18"/>
                <w:szCs w:val="18"/>
              </w:rPr>
              <w:t>insulation monitoring</w:t>
            </w:r>
            <w:bookmarkEnd w:id="115"/>
            <w:bookmarkEnd w:id="116"/>
          </w:p>
        </w:tc>
        <w:tc>
          <w:tcPr>
            <w:tcW w:w="2940" w:type="dxa"/>
            <w:hideMark/>
          </w:tcPr>
          <w:p w14:paraId="7186D378" w14:textId="77777777" w:rsidR="00E906C7" w:rsidRPr="001D06DF" w:rsidRDefault="00E906C7" w:rsidP="001D06DF">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bookmarkStart w:id="117" w:name="_Toc222954437"/>
            <w:bookmarkStart w:id="118" w:name="_Toc223022340"/>
            <w:r w:rsidRPr="3C9E86E5">
              <w:rPr>
                <w:rFonts w:asciiTheme="minorHAnsi" w:eastAsiaTheme="minorEastAsia" w:hAnsiTheme="minorHAnsi" w:cstheme="minorBidi"/>
                <w:sz w:val="18"/>
                <w:szCs w:val="18"/>
              </w:rPr>
              <w:t>Billing integrity; electrical fault protection</w:t>
            </w:r>
            <w:bookmarkEnd w:id="117"/>
            <w:bookmarkEnd w:id="118"/>
          </w:p>
        </w:tc>
      </w:tr>
      <w:tr w:rsidR="007376CD" w:rsidRPr="001D06DF" w14:paraId="78316847" w14:textId="77777777" w:rsidTr="00715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25D5FA84" w14:textId="77777777" w:rsidR="00E906C7" w:rsidRPr="001D06DF" w:rsidRDefault="00E906C7" w:rsidP="001D06DF">
            <w:pPr>
              <w:pStyle w:val="BodyText"/>
              <w:spacing w:before="0" w:after="0"/>
              <w:rPr>
                <w:rFonts w:asciiTheme="minorHAnsi" w:eastAsiaTheme="minorEastAsia" w:hAnsiTheme="minorHAnsi" w:cstheme="minorBidi"/>
                <w:sz w:val="18"/>
                <w:szCs w:val="18"/>
              </w:rPr>
            </w:pPr>
            <w:bookmarkStart w:id="119" w:name="_Toc222954438"/>
            <w:bookmarkStart w:id="120" w:name="_Toc223022341"/>
            <w:r w:rsidRPr="3C9E86E5">
              <w:rPr>
                <w:rFonts w:asciiTheme="minorHAnsi" w:eastAsiaTheme="minorEastAsia" w:hAnsiTheme="minorHAnsi" w:cstheme="minorBidi"/>
                <w:sz w:val="18"/>
                <w:szCs w:val="18"/>
              </w:rPr>
              <w:t>Firmware/Software</w:t>
            </w:r>
            <w:bookmarkEnd w:id="119"/>
            <w:bookmarkEnd w:id="120"/>
          </w:p>
        </w:tc>
        <w:tc>
          <w:tcPr>
            <w:tcW w:w="2097" w:type="dxa"/>
            <w:hideMark/>
          </w:tcPr>
          <w:p w14:paraId="1CF850F4" w14:textId="77777777" w:rsidR="00E906C7" w:rsidRPr="001D06DF" w:rsidRDefault="00E906C7" w:rsidP="001D06DF">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bookmarkStart w:id="121" w:name="_Toc222954439"/>
            <w:bookmarkStart w:id="122" w:name="_Toc223022342"/>
            <w:r w:rsidRPr="3C9E86E5">
              <w:rPr>
                <w:rFonts w:asciiTheme="minorHAnsi" w:eastAsiaTheme="minorEastAsia" w:hAnsiTheme="minorHAnsi" w:cstheme="minorBidi"/>
                <w:sz w:val="18"/>
                <w:szCs w:val="18"/>
              </w:rPr>
              <w:t>Embedded OS (Linux/RTOS)</w:t>
            </w:r>
            <w:bookmarkEnd w:id="121"/>
            <w:bookmarkEnd w:id="122"/>
          </w:p>
        </w:tc>
        <w:tc>
          <w:tcPr>
            <w:tcW w:w="2900" w:type="dxa"/>
            <w:hideMark/>
          </w:tcPr>
          <w:p w14:paraId="7D46608D" w14:textId="77777777" w:rsidR="00E906C7" w:rsidRPr="001D06DF" w:rsidRDefault="00E906C7" w:rsidP="001D06DF">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bookmarkStart w:id="123" w:name="_Toc222954440"/>
            <w:bookmarkStart w:id="124" w:name="_Toc223022343"/>
            <w:r w:rsidRPr="3C9E86E5">
              <w:rPr>
                <w:rFonts w:asciiTheme="minorHAnsi" w:eastAsiaTheme="minorEastAsia" w:hAnsiTheme="minorHAnsi" w:cstheme="minorBidi"/>
                <w:sz w:val="18"/>
                <w:szCs w:val="18"/>
              </w:rPr>
              <w:t>Resource management, process isolation</w:t>
            </w:r>
            <w:bookmarkEnd w:id="123"/>
            <w:bookmarkEnd w:id="124"/>
          </w:p>
        </w:tc>
        <w:tc>
          <w:tcPr>
            <w:tcW w:w="2940" w:type="dxa"/>
            <w:hideMark/>
          </w:tcPr>
          <w:p w14:paraId="0FF2FF1B" w14:textId="77777777" w:rsidR="00E906C7" w:rsidRPr="001D06DF" w:rsidRDefault="00E906C7" w:rsidP="001D06DF">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bookmarkStart w:id="125" w:name="_Toc222954441"/>
            <w:bookmarkStart w:id="126" w:name="_Toc223022344"/>
            <w:r w:rsidRPr="3C9E86E5">
              <w:rPr>
                <w:rFonts w:asciiTheme="minorHAnsi" w:eastAsiaTheme="minorEastAsia" w:hAnsiTheme="minorHAnsi" w:cstheme="minorBidi"/>
                <w:sz w:val="18"/>
                <w:szCs w:val="18"/>
              </w:rPr>
              <w:t>Vulnerability exposure via unpatched OS</w:t>
            </w:r>
            <w:bookmarkEnd w:id="125"/>
            <w:bookmarkEnd w:id="126"/>
          </w:p>
        </w:tc>
      </w:tr>
      <w:tr w:rsidR="007376CD" w:rsidRPr="001D06DF" w14:paraId="646D1781" w14:textId="77777777" w:rsidTr="007157A7">
        <w:tc>
          <w:tcPr>
            <w:cnfStyle w:val="001000000000" w:firstRow="0" w:lastRow="0" w:firstColumn="1" w:lastColumn="0" w:oddVBand="0" w:evenVBand="0" w:oddHBand="0" w:evenHBand="0" w:firstRowFirstColumn="0" w:firstRowLastColumn="0" w:lastRowFirstColumn="0" w:lastRowLastColumn="0"/>
            <w:tcW w:w="1701" w:type="dxa"/>
            <w:hideMark/>
          </w:tcPr>
          <w:p w14:paraId="1A7A51D9" w14:textId="77777777" w:rsidR="00E906C7" w:rsidRPr="001D06DF" w:rsidRDefault="00E906C7" w:rsidP="001D06DF">
            <w:pPr>
              <w:pStyle w:val="BodyText"/>
              <w:spacing w:before="0" w:after="0"/>
              <w:rPr>
                <w:rFonts w:asciiTheme="minorHAnsi" w:eastAsiaTheme="minorEastAsia" w:hAnsiTheme="minorHAnsi" w:cstheme="minorBidi"/>
                <w:sz w:val="18"/>
                <w:szCs w:val="18"/>
              </w:rPr>
            </w:pPr>
            <w:bookmarkStart w:id="127" w:name="_Toc222954442"/>
            <w:bookmarkStart w:id="128" w:name="_Toc223022345"/>
            <w:r w:rsidRPr="3C9E86E5">
              <w:rPr>
                <w:rFonts w:asciiTheme="minorHAnsi" w:eastAsiaTheme="minorEastAsia" w:hAnsiTheme="minorHAnsi" w:cstheme="minorBidi"/>
                <w:sz w:val="18"/>
                <w:szCs w:val="18"/>
              </w:rPr>
              <w:t>Firmware/Software</w:t>
            </w:r>
            <w:bookmarkEnd w:id="127"/>
            <w:bookmarkEnd w:id="128"/>
          </w:p>
        </w:tc>
        <w:tc>
          <w:tcPr>
            <w:tcW w:w="2097" w:type="dxa"/>
            <w:hideMark/>
          </w:tcPr>
          <w:p w14:paraId="61A2B497" w14:textId="77777777" w:rsidR="00E906C7" w:rsidRPr="001D06DF" w:rsidRDefault="00E906C7" w:rsidP="001D06DF">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bookmarkStart w:id="129" w:name="_Toc222954443"/>
            <w:bookmarkStart w:id="130" w:name="_Toc223022346"/>
            <w:r w:rsidRPr="3C9E86E5">
              <w:rPr>
                <w:rFonts w:asciiTheme="minorHAnsi" w:eastAsiaTheme="minorEastAsia" w:hAnsiTheme="minorHAnsi" w:cstheme="minorBidi"/>
                <w:sz w:val="18"/>
                <w:szCs w:val="18"/>
              </w:rPr>
              <w:t>Device Management Logic</w:t>
            </w:r>
            <w:bookmarkEnd w:id="129"/>
            <w:bookmarkEnd w:id="130"/>
          </w:p>
        </w:tc>
        <w:tc>
          <w:tcPr>
            <w:tcW w:w="2900" w:type="dxa"/>
            <w:hideMark/>
          </w:tcPr>
          <w:p w14:paraId="39F6FEFD" w14:textId="77777777" w:rsidR="00E906C7" w:rsidRPr="001D06DF" w:rsidRDefault="00E906C7" w:rsidP="001D06DF">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bookmarkStart w:id="131" w:name="_Toc222954444"/>
            <w:bookmarkStart w:id="132" w:name="_Toc223022347"/>
            <w:r w:rsidRPr="3C9E86E5">
              <w:rPr>
                <w:rFonts w:asciiTheme="minorHAnsi" w:eastAsiaTheme="minorEastAsia" w:hAnsiTheme="minorHAnsi" w:cstheme="minorBidi"/>
                <w:sz w:val="18"/>
                <w:szCs w:val="18"/>
              </w:rPr>
              <w:t>Charging state machine, diagnostics, logging</w:t>
            </w:r>
            <w:bookmarkEnd w:id="131"/>
            <w:bookmarkEnd w:id="132"/>
          </w:p>
        </w:tc>
        <w:tc>
          <w:tcPr>
            <w:tcW w:w="2940" w:type="dxa"/>
            <w:hideMark/>
          </w:tcPr>
          <w:p w14:paraId="53A10C98" w14:textId="77777777" w:rsidR="00E906C7" w:rsidRPr="001D06DF" w:rsidRDefault="00E906C7" w:rsidP="001D06DF">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bookmarkStart w:id="133" w:name="_Toc222954445"/>
            <w:bookmarkStart w:id="134" w:name="_Toc223022348"/>
            <w:r w:rsidRPr="3C9E86E5">
              <w:rPr>
                <w:rFonts w:asciiTheme="minorHAnsi" w:eastAsiaTheme="minorEastAsia" w:hAnsiTheme="minorHAnsi" w:cstheme="minorBidi"/>
                <w:sz w:val="18"/>
                <w:szCs w:val="18"/>
              </w:rPr>
              <w:t>Controls session lifecycle and safety interlocks</w:t>
            </w:r>
            <w:bookmarkEnd w:id="133"/>
            <w:bookmarkEnd w:id="134"/>
          </w:p>
        </w:tc>
      </w:tr>
      <w:tr w:rsidR="007376CD" w:rsidRPr="001D06DF" w14:paraId="044D81DE" w14:textId="77777777" w:rsidTr="00715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482BAC78" w14:textId="77777777" w:rsidR="00E906C7" w:rsidRPr="001D06DF" w:rsidRDefault="00E906C7" w:rsidP="001D06DF">
            <w:pPr>
              <w:pStyle w:val="BodyText"/>
              <w:spacing w:before="0" w:after="0"/>
              <w:rPr>
                <w:rFonts w:asciiTheme="minorHAnsi" w:eastAsiaTheme="minorEastAsia" w:hAnsiTheme="minorHAnsi" w:cstheme="minorBidi"/>
                <w:sz w:val="18"/>
                <w:szCs w:val="18"/>
              </w:rPr>
            </w:pPr>
            <w:bookmarkStart w:id="135" w:name="_Toc222954446"/>
            <w:bookmarkStart w:id="136" w:name="_Toc223022349"/>
            <w:r w:rsidRPr="3C9E86E5">
              <w:rPr>
                <w:rFonts w:asciiTheme="minorHAnsi" w:eastAsiaTheme="minorEastAsia" w:hAnsiTheme="minorHAnsi" w:cstheme="minorBidi"/>
                <w:sz w:val="18"/>
                <w:szCs w:val="18"/>
              </w:rPr>
              <w:t>Firmware/Software</w:t>
            </w:r>
            <w:bookmarkEnd w:id="135"/>
            <w:bookmarkEnd w:id="136"/>
          </w:p>
        </w:tc>
        <w:tc>
          <w:tcPr>
            <w:tcW w:w="2097" w:type="dxa"/>
            <w:hideMark/>
          </w:tcPr>
          <w:p w14:paraId="4E84540E" w14:textId="77777777" w:rsidR="00E906C7" w:rsidRPr="001D06DF" w:rsidRDefault="00E906C7" w:rsidP="001D06DF">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bookmarkStart w:id="137" w:name="_Toc222954447"/>
            <w:bookmarkStart w:id="138" w:name="_Toc223022350"/>
            <w:r w:rsidRPr="3C9E86E5">
              <w:rPr>
                <w:rFonts w:asciiTheme="minorHAnsi" w:eastAsiaTheme="minorEastAsia" w:hAnsiTheme="minorHAnsi" w:cstheme="minorBidi"/>
                <w:sz w:val="18"/>
                <w:szCs w:val="18"/>
              </w:rPr>
              <w:t>Communication Stacks (ISO 15118, OCPP, Modbus)</w:t>
            </w:r>
            <w:bookmarkEnd w:id="137"/>
            <w:bookmarkEnd w:id="138"/>
          </w:p>
        </w:tc>
        <w:tc>
          <w:tcPr>
            <w:tcW w:w="2900" w:type="dxa"/>
            <w:hideMark/>
          </w:tcPr>
          <w:p w14:paraId="45997C78" w14:textId="77777777" w:rsidR="00E906C7" w:rsidRPr="001D06DF" w:rsidRDefault="00E906C7" w:rsidP="001D06DF">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bookmarkStart w:id="139" w:name="_Toc222954448"/>
            <w:bookmarkStart w:id="140" w:name="_Toc223022351"/>
            <w:r w:rsidRPr="3C9E86E5">
              <w:rPr>
                <w:rFonts w:asciiTheme="minorHAnsi" w:eastAsiaTheme="minorEastAsia" w:hAnsiTheme="minorHAnsi" w:cstheme="minorBidi"/>
                <w:sz w:val="18"/>
                <w:szCs w:val="18"/>
              </w:rPr>
              <w:t>Protocol handling and interoperability</w:t>
            </w:r>
            <w:bookmarkEnd w:id="139"/>
            <w:bookmarkEnd w:id="140"/>
          </w:p>
        </w:tc>
        <w:tc>
          <w:tcPr>
            <w:tcW w:w="2940" w:type="dxa"/>
            <w:hideMark/>
          </w:tcPr>
          <w:p w14:paraId="2C48EA33" w14:textId="77777777" w:rsidR="00E906C7" w:rsidRPr="001D06DF" w:rsidRDefault="00E906C7" w:rsidP="001D06DF">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bookmarkStart w:id="141" w:name="_Toc222954449"/>
            <w:bookmarkStart w:id="142" w:name="_Toc223022352"/>
            <w:r w:rsidRPr="3C9E86E5">
              <w:rPr>
                <w:rFonts w:asciiTheme="minorHAnsi" w:eastAsiaTheme="minorEastAsia" w:hAnsiTheme="minorHAnsi" w:cstheme="minorBidi"/>
                <w:sz w:val="18"/>
                <w:szCs w:val="18"/>
              </w:rPr>
              <w:t>Protocol exploitation risk (MitM, spoofing)</w:t>
            </w:r>
            <w:bookmarkEnd w:id="141"/>
            <w:bookmarkEnd w:id="142"/>
          </w:p>
        </w:tc>
      </w:tr>
      <w:tr w:rsidR="007376CD" w:rsidRPr="001D06DF" w14:paraId="09420E3C" w14:textId="77777777" w:rsidTr="007157A7">
        <w:tc>
          <w:tcPr>
            <w:cnfStyle w:val="001000000000" w:firstRow="0" w:lastRow="0" w:firstColumn="1" w:lastColumn="0" w:oddVBand="0" w:evenVBand="0" w:oddHBand="0" w:evenHBand="0" w:firstRowFirstColumn="0" w:firstRowLastColumn="0" w:lastRowFirstColumn="0" w:lastRowLastColumn="0"/>
            <w:tcW w:w="1701" w:type="dxa"/>
            <w:hideMark/>
          </w:tcPr>
          <w:p w14:paraId="2C7BE53C" w14:textId="77777777" w:rsidR="00E906C7" w:rsidRPr="001D06DF" w:rsidRDefault="00E906C7" w:rsidP="001D06DF">
            <w:pPr>
              <w:pStyle w:val="BodyText"/>
              <w:spacing w:before="0" w:after="0"/>
              <w:rPr>
                <w:rFonts w:asciiTheme="minorHAnsi" w:eastAsiaTheme="minorEastAsia" w:hAnsiTheme="minorHAnsi" w:cstheme="minorBidi"/>
                <w:sz w:val="18"/>
                <w:szCs w:val="18"/>
              </w:rPr>
            </w:pPr>
            <w:bookmarkStart w:id="143" w:name="_Toc222954450"/>
            <w:bookmarkStart w:id="144" w:name="_Toc223022353"/>
            <w:r w:rsidRPr="3C9E86E5">
              <w:rPr>
                <w:rFonts w:asciiTheme="minorHAnsi" w:eastAsiaTheme="minorEastAsia" w:hAnsiTheme="minorHAnsi" w:cstheme="minorBidi"/>
                <w:sz w:val="18"/>
                <w:szCs w:val="18"/>
              </w:rPr>
              <w:t>Firmware/Software</w:t>
            </w:r>
            <w:bookmarkEnd w:id="143"/>
            <w:bookmarkEnd w:id="144"/>
          </w:p>
        </w:tc>
        <w:tc>
          <w:tcPr>
            <w:tcW w:w="2097" w:type="dxa"/>
            <w:hideMark/>
          </w:tcPr>
          <w:p w14:paraId="2816027E" w14:textId="77777777" w:rsidR="00E906C7" w:rsidRPr="001D06DF" w:rsidRDefault="00E906C7" w:rsidP="001D06DF">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bookmarkStart w:id="145" w:name="_Toc222954451"/>
            <w:bookmarkStart w:id="146" w:name="_Toc223022354"/>
            <w:r w:rsidRPr="3C9E86E5">
              <w:rPr>
                <w:rFonts w:asciiTheme="minorHAnsi" w:eastAsiaTheme="minorEastAsia" w:hAnsiTheme="minorHAnsi" w:cstheme="minorBidi"/>
                <w:sz w:val="18"/>
                <w:szCs w:val="18"/>
              </w:rPr>
              <w:t>Business Logic Layer</w:t>
            </w:r>
            <w:bookmarkEnd w:id="145"/>
            <w:bookmarkEnd w:id="146"/>
          </w:p>
        </w:tc>
        <w:tc>
          <w:tcPr>
            <w:tcW w:w="2900" w:type="dxa"/>
            <w:hideMark/>
          </w:tcPr>
          <w:p w14:paraId="6F6A717D" w14:textId="21518FB4" w:rsidR="00E906C7" w:rsidRPr="001D06DF" w:rsidRDefault="00E906C7" w:rsidP="001D06DF">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bookmarkStart w:id="147" w:name="_Toc222954452"/>
            <w:bookmarkStart w:id="148" w:name="_Toc223022355"/>
            <w:r w:rsidRPr="3C9E86E5">
              <w:rPr>
                <w:rFonts w:asciiTheme="minorHAnsi" w:eastAsiaTheme="minorEastAsia" w:hAnsiTheme="minorHAnsi" w:cstheme="minorBidi"/>
                <w:sz w:val="18"/>
                <w:szCs w:val="18"/>
              </w:rPr>
              <w:t xml:space="preserve">Tariff control, load balancing, </w:t>
            </w:r>
            <w:r w:rsidR="007376CD" w:rsidRPr="3C9E86E5">
              <w:rPr>
                <w:rFonts w:asciiTheme="minorHAnsi" w:eastAsiaTheme="minorEastAsia" w:hAnsiTheme="minorHAnsi" w:cstheme="minorBidi"/>
                <w:sz w:val="18"/>
                <w:szCs w:val="18"/>
              </w:rPr>
              <w:t xml:space="preserve">and </w:t>
            </w:r>
            <w:r w:rsidRPr="3C9E86E5">
              <w:rPr>
                <w:rFonts w:asciiTheme="minorHAnsi" w:eastAsiaTheme="minorEastAsia" w:hAnsiTheme="minorHAnsi" w:cstheme="minorBidi"/>
                <w:sz w:val="18"/>
                <w:szCs w:val="18"/>
              </w:rPr>
              <w:t>reservations</w:t>
            </w:r>
            <w:bookmarkEnd w:id="147"/>
            <w:bookmarkEnd w:id="148"/>
          </w:p>
        </w:tc>
        <w:tc>
          <w:tcPr>
            <w:tcW w:w="2940" w:type="dxa"/>
            <w:hideMark/>
          </w:tcPr>
          <w:p w14:paraId="6190C0D1" w14:textId="77777777" w:rsidR="00E906C7" w:rsidRPr="001D06DF" w:rsidRDefault="00E906C7" w:rsidP="001D06DF">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bookmarkStart w:id="149" w:name="_Toc222954453"/>
            <w:bookmarkStart w:id="150" w:name="_Toc223022356"/>
            <w:r w:rsidRPr="3C9E86E5">
              <w:rPr>
                <w:rFonts w:asciiTheme="minorHAnsi" w:eastAsiaTheme="minorEastAsia" w:hAnsiTheme="minorHAnsi" w:cstheme="minorBidi"/>
                <w:sz w:val="18"/>
                <w:szCs w:val="18"/>
              </w:rPr>
              <w:t>Policy manipulation risk; grid coordination impact</w:t>
            </w:r>
            <w:bookmarkEnd w:id="149"/>
            <w:bookmarkEnd w:id="150"/>
          </w:p>
        </w:tc>
      </w:tr>
      <w:tr w:rsidR="007376CD" w:rsidRPr="001D06DF" w14:paraId="737F627E" w14:textId="77777777" w:rsidTr="00715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4628D463" w14:textId="77777777" w:rsidR="00E906C7" w:rsidRPr="001D06DF" w:rsidRDefault="00E906C7" w:rsidP="001D06DF">
            <w:pPr>
              <w:pStyle w:val="BodyText"/>
              <w:spacing w:before="0" w:after="0"/>
              <w:rPr>
                <w:rFonts w:asciiTheme="minorHAnsi" w:eastAsiaTheme="minorEastAsia" w:hAnsiTheme="minorHAnsi" w:cstheme="minorBidi"/>
                <w:sz w:val="18"/>
                <w:szCs w:val="18"/>
              </w:rPr>
            </w:pPr>
            <w:bookmarkStart w:id="151" w:name="_Toc222954454"/>
            <w:bookmarkStart w:id="152" w:name="_Toc223022357"/>
            <w:r w:rsidRPr="3C9E86E5">
              <w:rPr>
                <w:rFonts w:asciiTheme="minorHAnsi" w:eastAsiaTheme="minorEastAsia" w:hAnsiTheme="minorHAnsi" w:cstheme="minorBidi"/>
                <w:sz w:val="18"/>
                <w:szCs w:val="18"/>
              </w:rPr>
              <w:t>Interface</w:t>
            </w:r>
            <w:bookmarkEnd w:id="151"/>
            <w:bookmarkEnd w:id="152"/>
          </w:p>
        </w:tc>
        <w:tc>
          <w:tcPr>
            <w:tcW w:w="2097" w:type="dxa"/>
            <w:hideMark/>
          </w:tcPr>
          <w:p w14:paraId="2768A379" w14:textId="77777777" w:rsidR="00E906C7" w:rsidRPr="001D06DF" w:rsidRDefault="00E906C7" w:rsidP="001D06DF">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bookmarkStart w:id="153" w:name="_Toc222954455"/>
            <w:bookmarkStart w:id="154" w:name="_Toc223022358"/>
            <w:r w:rsidRPr="3C9E86E5">
              <w:rPr>
                <w:rFonts w:asciiTheme="minorHAnsi" w:eastAsiaTheme="minorEastAsia" w:hAnsiTheme="minorHAnsi" w:cstheme="minorBidi"/>
                <w:sz w:val="18"/>
                <w:szCs w:val="18"/>
              </w:rPr>
              <w:t>Vehicle Interface (IEC 61851, ISO 15118)</w:t>
            </w:r>
            <w:bookmarkEnd w:id="153"/>
            <w:bookmarkEnd w:id="154"/>
          </w:p>
        </w:tc>
        <w:tc>
          <w:tcPr>
            <w:tcW w:w="2900" w:type="dxa"/>
            <w:hideMark/>
          </w:tcPr>
          <w:p w14:paraId="745413B3" w14:textId="77777777" w:rsidR="00E906C7" w:rsidRPr="001D06DF" w:rsidRDefault="00E906C7" w:rsidP="001D06DF">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bookmarkStart w:id="155" w:name="_Toc222954456"/>
            <w:bookmarkStart w:id="156" w:name="_Toc223022359"/>
            <w:r w:rsidRPr="3C9E86E5">
              <w:rPr>
                <w:rFonts w:asciiTheme="minorHAnsi" w:eastAsiaTheme="minorEastAsia" w:hAnsiTheme="minorHAnsi" w:cstheme="minorBidi"/>
                <w:sz w:val="18"/>
                <w:szCs w:val="18"/>
              </w:rPr>
              <w:t>EV–EVSE negotiation and authentication</w:t>
            </w:r>
            <w:bookmarkEnd w:id="155"/>
            <w:bookmarkEnd w:id="156"/>
          </w:p>
        </w:tc>
        <w:tc>
          <w:tcPr>
            <w:tcW w:w="2940" w:type="dxa"/>
            <w:hideMark/>
          </w:tcPr>
          <w:p w14:paraId="5884A373" w14:textId="77777777" w:rsidR="00E906C7" w:rsidRPr="001D06DF" w:rsidRDefault="00E906C7" w:rsidP="001D06DF">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bookmarkStart w:id="157" w:name="_Toc222954457"/>
            <w:bookmarkStart w:id="158" w:name="_Toc223022360"/>
            <w:r w:rsidRPr="3C9E86E5">
              <w:rPr>
                <w:rFonts w:asciiTheme="minorHAnsi" w:eastAsiaTheme="minorEastAsia" w:hAnsiTheme="minorHAnsi" w:cstheme="minorBidi"/>
                <w:sz w:val="18"/>
                <w:szCs w:val="18"/>
              </w:rPr>
              <w:t>Certificate validation, TLS enforcement critical</w:t>
            </w:r>
            <w:bookmarkEnd w:id="157"/>
            <w:bookmarkEnd w:id="158"/>
          </w:p>
        </w:tc>
      </w:tr>
      <w:tr w:rsidR="007376CD" w:rsidRPr="001D06DF" w14:paraId="01614642" w14:textId="77777777" w:rsidTr="007157A7">
        <w:tc>
          <w:tcPr>
            <w:cnfStyle w:val="001000000000" w:firstRow="0" w:lastRow="0" w:firstColumn="1" w:lastColumn="0" w:oddVBand="0" w:evenVBand="0" w:oddHBand="0" w:evenHBand="0" w:firstRowFirstColumn="0" w:firstRowLastColumn="0" w:lastRowFirstColumn="0" w:lastRowLastColumn="0"/>
            <w:tcW w:w="1701" w:type="dxa"/>
            <w:hideMark/>
          </w:tcPr>
          <w:p w14:paraId="78F2754E" w14:textId="77777777" w:rsidR="00E906C7" w:rsidRPr="001D06DF" w:rsidRDefault="00E906C7" w:rsidP="001D06DF">
            <w:pPr>
              <w:pStyle w:val="BodyText"/>
              <w:spacing w:before="0" w:after="0"/>
              <w:rPr>
                <w:rFonts w:asciiTheme="minorHAnsi" w:eastAsiaTheme="minorEastAsia" w:hAnsiTheme="minorHAnsi" w:cstheme="minorBidi"/>
                <w:sz w:val="18"/>
                <w:szCs w:val="18"/>
              </w:rPr>
            </w:pPr>
            <w:bookmarkStart w:id="159" w:name="_Toc222954458"/>
            <w:bookmarkStart w:id="160" w:name="_Toc223022361"/>
            <w:r w:rsidRPr="3C9E86E5">
              <w:rPr>
                <w:rFonts w:asciiTheme="minorHAnsi" w:eastAsiaTheme="minorEastAsia" w:hAnsiTheme="minorHAnsi" w:cstheme="minorBidi"/>
                <w:sz w:val="18"/>
                <w:szCs w:val="18"/>
              </w:rPr>
              <w:t>Interface</w:t>
            </w:r>
            <w:bookmarkEnd w:id="159"/>
            <w:bookmarkEnd w:id="160"/>
          </w:p>
        </w:tc>
        <w:tc>
          <w:tcPr>
            <w:tcW w:w="2097" w:type="dxa"/>
            <w:hideMark/>
          </w:tcPr>
          <w:p w14:paraId="088B2328" w14:textId="77777777" w:rsidR="00E906C7" w:rsidRPr="001D06DF" w:rsidRDefault="00E906C7" w:rsidP="001D06DF">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bookmarkStart w:id="161" w:name="_Toc222954459"/>
            <w:bookmarkStart w:id="162" w:name="_Toc223022362"/>
            <w:r w:rsidRPr="3C9E86E5">
              <w:rPr>
                <w:rFonts w:asciiTheme="minorHAnsi" w:eastAsiaTheme="minorEastAsia" w:hAnsiTheme="minorHAnsi" w:cstheme="minorBidi"/>
                <w:sz w:val="18"/>
                <w:szCs w:val="18"/>
              </w:rPr>
              <w:t>Backend Interface (OCPP)</w:t>
            </w:r>
            <w:bookmarkEnd w:id="161"/>
            <w:bookmarkEnd w:id="162"/>
          </w:p>
        </w:tc>
        <w:tc>
          <w:tcPr>
            <w:tcW w:w="2900" w:type="dxa"/>
            <w:hideMark/>
          </w:tcPr>
          <w:p w14:paraId="5CD065B5" w14:textId="77777777" w:rsidR="00E906C7" w:rsidRPr="001D06DF" w:rsidRDefault="00E906C7" w:rsidP="001D06DF">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bookmarkStart w:id="163" w:name="_Toc222954460"/>
            <w:bookmarkStart w:id="164" w:name="_Toc223022363"/>
            <w:r w:rsidRPr="3C9E86E5">
              <w:rPr>
                <w:rFonts w:asciiTheme="minorHAnsi" w:eastAsiaTheme="minorEastAsia" w:hAnsiTheme="minorHAnsi" w:cstheme="minorBidi"/>
                <w:sz w:val="18"/>
                <w:szCs w:val="18"/>
              </w:rPr>
              <w:t>EVSE–CSMS communication</w:t>
            </w:r>
            <w:bookmarkEnd w:id="163"/>
            <w:bookmarkEnd w:id="164"/>
          </w:p>
        </w:tc>
        <w:tc>
          <w:tcPr>
            <w:tcW w:w="2940" w:type="dxa"/>
            <w:hideMark/>
          </w:tcPr>
          <w:p w14:paraId="41DAC917" w14:textId="77777777" w:rsidR="00E906C7" w:rsidRPr="001D06DF" w:rsidRDefault="00E906C7" w:rsidP="001D06DF">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bookmarkStart w:id="165" w:name="_Toc222954461"/>
            <w:bookmarkStart w:id="166" w:name="_Toc223022364"/>
            <w:r w:rsidRPr="3C9E86E5">
              <w:rPr>
                <w:rFonts w:asciiTheme="minorHAnsi" w:eastAsiaTheme="minorEastAsia" w:hAnsiTheme="minorHAnsi" w:cstheme="minorBidi"/>
                <w:sz w:val="18"/>
                <w:szCs w:val="18"/>
              </w:rPr>
              <w:t>Firmware update channel; command injection risk</w:t>
            </w:r>
            <w:bookmarkEnd w:id="165"/>
            <w:bookmarkEnd w:id="166"/>
          </w:p>
        </w:tc>
      </w:tr>
      <w:tr w:rsidR="007376CD" w:rsidRPr="001D06DF" w14:paraId="52F89E1B" w14:textId="77777777" w:rsidTr="007157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0BD10FB9" w14:textId="77777777" w:rsidR="00E906C7" w:rsidRPr="001D06DF" w:rsidRDefault="00E906C7" w:rsidP="001D06DF">
            <w:pPr>
              <w:pStyle w:val="BodyText"/>
              <w:spacing w:before="0" w:after="0"/>
              <w:rPr>
                <w:rFonts w:asciiTheme="minorHAnsi" w:eastAsiaTheme="minorEastAsia" w:hAnsiTheme="minorHAnsi" w:cstheme="minorBidi"/>
                <w:sz w:val="18"/>
                <w:szCs w:val="18"/>
              </w:rPr>
            </w:pPr>
            <w:bookmarkStart w:id="167" w:name="_Toc222954462"/>
            <w:bookmarkStart w:id="168" w:name="_Toc223022365"/>
            <w:r w:rsidRPr="3C9E86E5">
              <w:rPr>
                <w:rFonts w:asciiTheme="minorHAnsi" w:eastAsiaTheme="minorEastAsia" w:hAnsiTheme="minorHAnsi" w:cstheme="minorBidi"/>
                <w:sz w:val="18"/>
                <w:szCs w:val="18"/>
              </w:rPr>
              <w:t>Interface</w:t>
            </w:r>
            <w:bookmarkEnd w:id="167"/>
            <w:bookmarkEnd w:id="168"/>
          </w:p>
        </w:tc>
        <w:tc>
          <w:tcPr>
            <w:tcW w:w="2097" w:type="dxa"/>
            <w:hideMark/>
          </w:tcPr>
          <w:p w14:paraId="6E54D318" w14:textId="77777777" w:rsidR="00E906C7" w:rsidRPr="001D06DF" w:rsidRDefault="00E906C7" w:rsidP="001D06DF">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bookmarkStart w:id="169" w:name="_Toc222954463"/>
            <w:bookmarkStart w:id="170" w:name="_Toc223022366"/>
            <w:r w:rsidRPr="3C9E86E5">
              <w:rPr>
                <w:rFonts w:asciiTheme="minorHAnsi" w:eastAsiaTheme="minorEastAsia" w:hAnsiTheme="minorHAnsi" w:cstheme="minorBidi"/>
                <w:sz w:val="18"/>
                <w:szCs w:val="18"/>
              </w:rPr>
              <w:t>Roaming Interface (OCPI)</w:t>
            </w:r>
            <w:bookmarkEnd w:id="169"/>
            <w:bookmarkEnd w:id="170"/>
          </w:p>
        </w:tc>
        <w:tc>
          <w:tcPr>
            <w:tcW w:w="2900" w:type="dxa"/>
            <w:hideMark/>
          </w:tcPr>
          <w:p w14:paraId="47332F79" w14:textId="77777777" w:rsidR="00E906C7" w:rsidRPr="001D06DF" w:rsidRDefault="00E906C7" w:rsidP="001D06DF">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bookmarkStart w:id="171" w:name="_Toc222954464"/>
            <w:bookmarkStart w:id="172" w:name="_Toc223022367"/>
            <w:r w:rsidRPr="3C9E86E5">
              <w:rPr>
                <w:rFonts w:asciiTheme="minorHAnsi" w:eastAsiaTheme="minorEastAsia" w:hAnsiTheme="minorHAnsi" w:cstheme="minorBidi"/>
                <w:sz w:val="18"/>
                <w:szCs w:val="18"/>
              </w:rPr>
              <w:t>CPO–eMSP session &amp; billing exchange</w:t>
            </w:r>
            <w:bookmarkEnd w:id="171"/>
            <w:bookmarkEnd w:id="172"/>
          </w:p>
        </w:tc>
        <w:tc>
          <w:tcPr>
            <w:tcW w:w="2940" w:type="dxa"/>
            <w:hideMark/>
          </w:tcPr>
          <w:p w14:paraId="11B11ED5" w14:textId="77777777" w:rsidR="00E906C7" w:rsidRPr="001D06DF" w:rsidRDefault="00E906C7" w:rsidP="001D06DF">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bookmarkStart w:id="173" w:name="_Toc222954465"/>
            <w:bookmarkStart w:id="174" w:name="_Toc223022368"/>
            <w:r w:rsidRPr="3C9E86E5">
              <w:rPr>
                <w:rFonts w:asciiTheme="minorHAnsi" w:eastAsiaTheme="minorEastAsia" w:hAnsiTheme="minorHAnsi" w:cstheme="minorBidi"/>
                <w:sz w:val="18"/>
                <w:szCs w:val="18"/>
              </w:rPr>
              <w:t>Data integrity and settlement risk</w:t>
            </w:r>
            <w:bookmarkEnd w:id="173"/>
            <w:bookmarkEnd w:id="174"/>
          </w:p>
        </w:tc>
      </w:tr>
      <w:tr w:rsidR="007376CD" w:rsidRPr="001D06DF" w14:paraId="6577DB38" w14:textId="77777777" w:rsidTr="007157A7">
        <w:trPr>
          <w:trHeight w:val="80"/>
        </w:trPr>
        <w:tc>
          <w:tcPr>
            <w:cnfStyle w:val="001000000000" w:firstRow="0" w:lastRow="0" w:firstColumn="1" w:lastColumn="0" w:oddVBand="0" w:evenVBand="0" w:oddHBand="0" w:evenHBand="0" w:firstRowFirstColumn="0" w:firstRowLastColumn="0" w:lastRowFirstColumn="0" w:lastRowLastColumn="0"/>
            <w:tcW w:w="1701" w:type="dxa"/>
            <w:hideMark/>
          </w:tcPr>
          <w:p w14:paraId="26D64BA6" w14:textId="77777777" w:rsidR="00E906C7" w:rsidRPr="001D06DF" w:rsidRDefault="00E906C7" w:rsidP="001D06DF">
            <w:pPr>
              <w:pStyle w:val="BodyText"/>
              <w:spacing w:before="0" w:after="0"/>
              <w:rPr>
                <w:rFonts w:asciiTheme="minorHAnsi" w:eastAsiaTheme="minorEastAsia" w:hAnsiTheme="minorHAnsi" w:cstheme="minorBidi"/>
                <w:sz w:val="18"/>
                <w:szCs w:val="18"/>
              </w:rPr>
            </w:pPr>
            <w:bookmarkStart w:id="175" w:name="_Toc222954466"/>
            <w:bookmarkStart w:id="176" w:name="_Toc223022369"/>
            <w:r w:rsidRPr="3C9E86E5">
              <w:rPr>
                <w:rFonts w:asciiTheme="minorHAnsi" w:eastAsiaTheme="minorEastAsia" w:hAnsiTheme="minorHAnsi" w:cstheme="minorBidi"/>
                <w:sz w:val="18"/>
                <w:szCs w:val="18"/>
              </w:rPr>
              <w:t>Interface</w:t>
            </w:r>
            <w:bookmarkEnd w:id="175"/>
            <w:bookmarkEnd w:id="176"/>
          </w:p>
        </w:tc>
        <w:tc>
          <w:tcPr>
            <w:tcW w:w="2097" w:type="dxa"/>
            <w:hideMark/>
          </w:tcPr>
          <w:p w14:paraId="0620F0FB" w14:textId="77777777" w:rsidR="00E906C7" w:rsidRPr="001D06DF" w:rsidRDefault="00E906C7" w:rsidP="001D06DF">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bookmarkStart w:id="177" w:name="_Toc222954467"/>
            <w:bookmarkStart w:id="178" w:name="_Toc223022370"/>
            <w:r w:rsidRPr="3C9E86E5">
              <w:rPr>
                <w:rFonts w:asciiTheme="minorHAnsi" w:eastAsiaTheme="minorEastAsia" w:hAnsiTheme="minorHAnsi" w:cstheme="minorBidi"/>
                <w:sz w:val="18"/>
                <w:szCs w:val="18"/>
              </w:rPr>
              <w:t>Grid/DSO Interface (OpenADR, IEEE 2030.5)</w:t>
            </w:r>
            <w:bookmarkEnd w:id="177"/>
            <w:bookmarkEnd w:id="178"/>
          </w:p>
        </w:tc>
        <w:tc>
          <w:tcPr>
            <w:tcW w:w="2900" w:type="dxa"/>
            <w:hideMark/>
          </w:tcPr>
          <w:p w14:paraId="38C98036" w14:textId="77777777" w:rsidR="00E906C7" w:rsidRPr="001D06DF" w:rsidRDefault="00E906C7" w:rsidP="001D06DF">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bookmarkStart w:id="179" w:name="_Toc222954468"/>
            <w:bookmarkStart w:id="180" w:name="_Toc223022371"/>
            <w:r w:rsidRPr="3C9E86E5">
              <w:rPr>
                <w:rFonts w:asciiTheme="minorHAnsi" w:eastAsiaTheme="minorEastAsia" w:hAnsiTheme="minorHAnsi" w:cstheme="minorBidi"/>
                <w:sz w:val="18"/>
                <w:szCs w:val="18"/>
              </w:rPr>
              <w:t>Demand response, DER coordination</w:t>
            </w:r>
            <w:bookmarkEnd w:id="179"/>
            <w:bookmarkEnd w:id="180"/>
          </w:p>
        </w:tc>
        <w:tc>
          <w:tcPr>
            <w:tcW w:w="2940" w:type="dxa"/>
            <w:hideMark/>
          </w:tcPr>
          <w:p w14:paraId="254865D8" w14:textId="77777777" w:rsidR="00E906C7" w:rsidRPr="001D06DF" w:rsidRDefault="00E906C7" w:rsidP="001D06DF">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bookmarkStart w:id="181" w:name="_Toc222954469"/>
            <w:bookmarkStart w:id="182" w:name="_Toc223022372"/>
            <w:r w:rsidRPr="3C9E86E5">
              <w:rPr>
                <w:rFonts w:asciiTheme="minorHAnsi" w:eastAsiaTheme="minorEastAsia" w:hAnsiTheme="minorHAnsi" w:cstheme="minorBidi"/>
                <w:sz w:val="18"/>
                <w:szCs w:val="18"/>
              </w:rPr>
              <w:t>Fleet-level control risk; grid stability impact</w:t>
            </w:r>
            <w:bookmarkEnd w:id="181"/>
            <w:bookmarkEnd w:id="182"/>
          </w:p>
        </w:tc>
      </w:tr>
    </w:tbl>
    <w:p w14:paraId="71D415F6" w14:textId="451E78D9" w:rsidR="00EC4AEB" w:rsidRPr="00D76387" w:rsidRDefault="005F3EA3" w:rsidP="00D76387">
      <w:pPr>
        <w:pStyle w:val="BodyText"/>
        <w:rPr>
          <w:rFonts w:asciiTheme="minorHAnsi" w:eastAsiaTheme="minorEastAsia" w:hAnsiTheme="minorHAnsi" w:cstheme="minorBidi"/>
          <w:b/>
          <w:bCs/>
        </w:rPr>
      </w:pPr>
      <w:bookmarkStart w:id="183" w:name="_Toc222954470"/>
      <w:r w:rsidRPr="00D76387">
        <w:rPr>
          <w:b/>
          <w:bCs/>
        </w:rPr>
        <w:t xml:space="preserve">EVSE </w:t>
      </w:r>
      <w:r w:rsidR="00AB2F2F" w:rsidRPr="00D76387">
        <w:rPr>
          <w:b/>
          <w:bCs/>
        </w:rPr>
        <w:t xml:space="preserve">Vulnerability </w:t>
      </w:r>
      <w:bookmarkEnd w:id="183"/>
      <w:r w:rsidR="004112FA" w:rsidRPr="00D76387">
        <w:rPr>
          <w:b/>
          <w:bCs/>
        </w:rPr>
        <w:t>Modelling</w:t>
      </w:r>
    </w:p>
    <w:p w14:paraId="5C3FEF8C" w14:textId="11D2760E" w:rsidR="005F3EA3" w:rsidRDefault="005F3EA3" w:rsidP="005F24A6">
      <w:pPr>
        <w:pStyle w:val="NoSpacing"/>
        <w:rPr>
          <w:rFonts w:asciiTheme="minorHAnsi" w:eastAsiaTheme="minorEastAsia" w:hAnsiTheme="minorHAnsi" w:cstheme="minorBidi"/>
          <w:color w:val="000000"/>
          <w:sz w:val="24"/>
          <w:szCs w:val="24"/>
          <w:lang w:val="en-AU" w:eastAsia="en-AU"/>
        </w:rPr>
      </w:pPr>
      <w:r w:rsidRPr="3157ABF7">
        <w:rPr>
          <w:rFonts w:ascii="Calibri" w:eastAsia="Calibri" w:hAnsi="Calibri" w:cs="Times New Roman"/>
          <w:color w:val="000000" w:themeColor="text2"/>
          <w:sz w:val="24"/>
          <w:szCs w:val="24"/>
          <w:lang w:val="en-AU" w:eastAsia="en-AU"/>
        </w:rPr>
        <w:t xml:space="preserve">Following the detailed architectural analysis, we </w:t>
      </w:r>
      <w:r w:rsidR="00AB2F2F" w:rsidRPr="3157ABF7">
        <w:rPr>
          <w:rFonts w:ascii="Calibri" w:eastAsia="Calibri" w:hAnsi="Calibri" w:cs="Times New Roman"/>
          <w:color w:val="000000" w:themeColor="text2"/>
          <w:sz w:val="24"/>
          <w:szCs w:val="24"/>
          <w:lang w:val="en-AU" w:eastAsia="en-AU"/>
        </w:rPr>
        <w:t>develop</w:t>
      </w:r>
      <w:r w:rsidRPr="3157ABF7">
        <w:rPr>
          <w:rFonts w:ascii="Calibri" w:eastAsia="Calibri" w:hAnsi="Calibri" w:cs="Times New Roman"/>
          <w:color w:val="000000" w:themeColor="text2"/>
          <w:sz w:val="24"/>
          <w:szCs w:val="24"/>
          <w:lang w:val="en-AU" w:eastAsia="en-AU"/>
        </w:rPr>
        <w:t xml:space="preserve"> a formal analysis of the inherent weaknesses within </w:t>
      </w:r>
      <w:r w:rsidR="00621D2D" w:rsidRPr="3157ABF7">
        <w:rPr>
          <w:rFonts w:ascii="Calibri" w:eastAsia="Calibri" w:hAnsi="Calibri" w:cs="Times New Roman"/>
          <w:color w:val="000000" w:themeColor="text2"/>
          <w:sz w:val="24"/>
          <w:szCs w:val="24"/>
          <w:lang w:val="en-AU" w:eastAsia="en-AU"/>
        </w:rPr>
        <w:t xml:space="preserve">the </w:t>
      </w:r>
      <w:r w:rsidRPr="3157ABF7">
        <w:rPr>
          <w:rFonts w:ascii="Calibri" w:eastAsia="Calibri" w:hAnsi="Calibri" w:cs="Times New Roman"/>
          <w:color w:val="000000" w:themeColor="text2"/>
          <w:sz w:val="24"/>
          <w:szCs w:val="24"/>
          <w:lang w:val="en-AU" w:eastAsia="en-AU"/>
        </w:rPr>
        <w:t xml:space="preserve">EVSE ecosystem. The previous </w:t>
      </w:r>
      <w:r w:rsidR="00AB2F2F" w:rsidRPr="3157ABF7">
        <w:rPr>
          <w:rFonts w:ascii="Calibri" w:eastAsia="Calibri" w:hAnsi="Calibri" w:cs="Times New Roman"/>
          <w:color w:val="000000" w:themeColor="text2"/>
          <w:sz w:val="24"/>
          <w:szCs w:val="24"/>
          <w:lang w:val="en-AU" w:eastAsia="en-AU"/>
        </w:rPr>
        <w:t>step</w:t>
      </w:r>
      <w:r w:rsidRPr="3157ABF7">
        <w:rPr>
          <w:rFonts w:ascii="Calibri" w:eastAsia="Calibri" w:hAnsi="Calibri" w:cs="Times New Roman"/>
          <w:color w:val="000000" w:themeColor="text2"/>
          <w:sz w:val="24"/>
          <w:szCs w:val="24"/>
          <w:lang w:val="en-AU" w:eastAsia="en-AU"/>
        </w:rPr>
        <w:t xml:space="preserve"> established the EVSE as a critical cyber-physical system operating at the convergence of Information and Operational Technology (IT/OT). This unique position means that its vulnerabilities can have cascading consequences, extending beyond data breaches to threaten the stability of the power grid and the safety of end-users. Therefore, a systematic and evidence-based vulnerability analysis is the essential first step toward developing a resilient security posture. </w:t>
      </w:r>
    </w:p>
    <w:p w14:paraId="7C277A16" w14:textId="77777777" w:rsidR="008B75C6" w:rsidRPr="00D50950" w:rsidRDefault="008B75C6" w:rsidP="00D50950">
      <w:pPr>
        <w:pStyle w:val="BodyText"/>
        <w:rPr>
          <w:rFonts w:asciiTheme="minorHAnsi" w:eastAsiaTheme="minorEastAsia" w:hAnsiTheme="minorHAnsi" w:cstheme="minorBidi"/>
          <w:b/>
        </w:rPr>
      </w:pPr>
      <w:r w:rsidRPr="00D50950">
        <w:rPr>
          <w:b/>
          <w:bCs/>
        </w:rPr>
        <w:t>Establishing the Threat–Vulnerability–Risk Relationship</w:t>
      </w:r>
    </w:p>
    <w:p w14:paraId="11839FC5" w14:textId="75DBF464" w:rsidR="008B75C6" w:rsidRPr="0050531F" w:rsidRDefault="00C23E5E" w:rsidP="1AFCB806">
      <w:pPr>
        <w:pStyle w:val="NoSpacing"/>
        <w:rPr>
          <w:rFonts w:ascii="Calibri" w:eastAsia="Calibri" w:hAnsi="Calibri" w:cs="Times New Roman"/>
          <w:color w:val="000000" w:themeColor="text2"/>
          <w:sz w:val="24"/>
          <w:szCs w:val="24"/>
          <w:lang w:val="en-AU" w:eastAsia="en-AU"/>
        </w:rPr>
      </w:pPr>
      <w:r w:rsidRPr="0050531F">
        <w:rPr>
          <w:rFonts w:ascii="Calibri" w:eastAsia="Calibri" w:hAnsi="Calibri" w:cs="Times New Roman"/>
          <w:color w:val="000000" w:themeColor="text2"/>
          <w:sz w:val="24"/>
          <w:szCs w:val="24"/>
          <w:lang w:val="en-AU" w:eastAsia="en-AU"/>
        </w:rPr>
        <w:t xml:space="preserve">A </w:t>
      </w:r>
      <w:r w:rsidR="008B75C6" w:rsidRPr="0050531F">
        <w:rPr>
          <w:rFonts w:ascii="Calibri" w:eastAsia="Calibri" w:hAnsi="Calibri" w:cs="Times New Roman"/>
          <w:color w:val="000000" w:themeColor="text2"/>
          <w:sz w:val="24"/>
          <w:szCs w:val="24"/>
          <w:lang w:val="en-AU" w:eastAsia="en-AU"/>
        </w:rPr>
        <w:t>conceptual framework</w:t>
      </w:r>
      <w:r w:rsidRPr="0050531F">
        <w:rPr>
          <w:rFonts w:ascii="Calibri" w:eastAsia="Calibri" w:hAnsi="Calibri" w:cs="Times New Roman"/>
          <w:color w:val="000000" w:themeColor="text2"/>
          <w:sz w:val="24"/>
          <w:szCs w:val="24"/>
          <w:lang w:val="en-AU" w:eastAsia="en-AU"/>
        </w:rPr>
        <w:t xml:space="preserve"> is established</w:t>
      </w:r>
      <w:r w:rsidR="008B75C6" w:rsidRPr="0050531F">
        <w:rPr>
          <w:rFonts w:ascii="Calibri" w:eastAsia="Calibri" w:hAnsi="Calibri" w:cs="Times New Roman"/>
          <w:color w:val="000000" w:themeColor="text2"/>
          <w:sz w:val="24"/>
          <w:szCs w:val="24"/>
          <w:lang w:val="en-AU" w:eastAsia="en-AU"/>
        </w:rPr>
        <w:t xml:space="preserve"> by defining threats, weaknesses, and potential harm, illustrating their interplay. This framework is crucial for </w:t>
      </w:r>
      <w:r w:rsidR="00DD14DA" w:rsidRPr="0050531F">
        <w:rPr>
          <w:rFonts w:ascii="Calibri" w:eastAsia="Calibri" w:hAnsi="Calibri" w:cs="Times New Roman"/>
          <w:color w:val="000000" w:themeColor="text2"/>
          <w:sz w:val="24"/>
          <w:szCs w:val="24"/>
          <w:lang w:val="en-AU" w:eastAsia="en-AU"/>
        </w:rPr>
        <w:t>analysing</w:t>
      </w:r>
      <w:r w:rsidR="008B75C6" w:rsidRPr="0050531F">
        <w:rPr>
          <w:rFonts w:ascii="Calibri" w:eastAsia="Calibri" w:hAnsi="Calibri" w:cs="Times New Roman"/>
          <w:color w:val="000000" w:themeColor="text2"/>
          <w:sz w:val="24"/>
          <w:szCs w:val="24"/>
          <w:lang w:val="en-AU" w:eastAsia="en-AU"/>
        </w:rPr>
        <w:t xml:space="preserve"> EVSE vulnerabilities, assessing security, and developing mitigation strategies.</w:t>
      </w:r>
    </w:p>
    <w:p w14:paraId="72A3242B" w14:textId="15B1CB86" w:rsidR="1FBB9B12" w:rsidRDefault="1FBB9B12" w:rsidP="2D4D66BB">
      <w:pPr>
        <w:pStyle w:val="NoSpacing"/>
        <w:widowControl w:val="0"/>
        <w:jc w:val="left"/>
        <w:rPr>
          <w:rFonts w:asciiTheme="minorHAnsi" w:eastAsiaTheme="minorEastAsia" w:hAnsiTheme="minorHAnsi" w:cstheme="minorBidi"/>
          <w:lang w:val="en-US"/>
        </w:rPr>
      </w:pPr>
    </w:p>
    <w:p w14:paraId="32CF990B" w14:textId="10DA6F48" w:rsidR="469FCE38" w:rsidRDefault="469FCE38" w:rsidP="7B165550">
      <w:pPr>
        <w:widowControl w:val="0"/>
        <w:spacing w:after="200"/>
        <w:jc w:val="center"/>
        <w:rPr>
          <w:rFonts w:asciiTheme="minorHAnsi" w:eastAsiaTheme="minorEastAsia" w:hAnsiTheme="minorHAnsi" w:cstheme="minorBidi"/>
        </w:rPr>
      </w:pPr>
      <w:r>
        <w:rPr>
          <w:noProof/>
        </w:rPr>
        <w:drawing>
          <wp:inline distT="0" distB="0" distL="0" distR="0" wp14:anchorId="73B61880" wp14:editId="321E580B">
            <wp:extent cx="3790950" cy="2778101"/>
            <wp:effectExtent l="19050" t="19050" r="19050" b="22860"/>
            <wp:docPr id="1514313475" name="drawing" title="A diagram of a risk manage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313475" name="Picture 1514313475"/>
                    <pic:cNvPicPr/>
                  </pic:nvPicPr>
                  <pic:blipFill>
                    <a:blip r:embed="rId23">
                      <a:extLst>
                        <a:ext uri="{28A0092B-C50C-407E-A947-70E740481C1C}">
                          <a14:useLocalDpi xmlns:a14="http://schemas.microsoft.com/office/drawing/2010/main"/>
                        </a:ext>
                      </a:extLst>
                    </a:blip>
                    <a:stretch>
                      <a:fillRect/>
                    </a:stretch>
                  </pic:blipFill>
                  <pic:spPr>
                    <a:xfrm>
                      <a:off x="0" y="0"/>
                      <a:ext cx="3790950" cy="2778101"/>
                    </a:xfrm>
                    <a:prstGeom prst="rect">
                      <a:avLst/>
                    </a:prstGeom>
                    <a:ln>
                      <a:solidFill>
                        <a:schemeClr val="tx1"/>
                      </a:solidFill>
                    </a:ln>
                  </pic:spPr>
                </pic:pic>
              </a:graphicData>
            </a:graphic>
          </wp:inline>
        </w:drawing>
      </w:r>
    </w:p>
    <w:p w14:paraId="76C688C2" w14:textId="1CED0AB0" w:rsidR="469FCE38" w:rsidRPr="00D50950" w:rsidRDefault="00640012" w:rsidP="00640012">
      <w:pPr>
        <w:pStyle w:val="Caption"/>
        <w:rPr>
          <w:rFonts w:asciiTheme="minorHAnsi" w:eastAsiaTheme="minorEastAsia" w:hAnsiTheme="minorHAnsi" w:cstheme="minorBidi"/>
        </w:rPr>
      </w:pPr>
      <w:bookmarkStart w:id="184" w:name="_Toc233112212"/>
      <w:r>
        <w:t xml:space="preserve">Figure </w:t>
      </w:r>
      <w:r w:rsidR="00113348">
        <w:fldChar w:fldCharType="begin"/>
      </w:r>
      <w:r w:rsidR="00113348">
        <w:instrText xml:space="preserve"> SEQ Figure \* ARABIC </w:instrText>
      </w:r>
      <w:r w:rsidR="00113348">
        <w:fldChar w:fldCharType="separate"/>
      </w:r>
      <w:r w:rsidR="00F8092D">
        <w:rPr>
          <w:noProof/>
        </w:rPr>
        <w:t>6</w:t>
      </w:r>
      <w:r w:rsidR="00113348">
        <w:rPr>
          <w:noProof/>
        </w:rPr>
        <w:fldChar w:fldCharType="end"/>
      </w:r>
      <w:r w:rsidR="469FCE38">
        <w:t xml:space="preserve">: </w:t>
      </w:r>
      <w:r w:rsidR="469FCE38" w:rsidRPr="00D50950">
        <w:t>Interplay of threat, vulnerability, and consequence in defining security risk</w:t>
      </w:r>
      <w:bookmarkEnd w:id="184"/>
    </w:p>
    <w:p w14:paraId="01CEF6D7" w14:textId="2A7450FD" w:rsidR="008B75C6" w:rsidRDefault="008B75C6" w:rsidP="008B75C6">
      <w:pPr>
        <w:widowControl w:val="0"/>
        <w:rPr>
          <w:rFonts w:asciiTheme="minorHAnsi" w:eastAsiaTheme="minorEastAsia" w:hAnsiTheme="minorHAnsi" w:cstheme="minorBidi"/>
          <w:lang w:val="en-US"/>
        </w:rPr>
      </w:pPr>
    </w:p>
    <w:p w14:paraId="13270849" w14:textId="77777777" w:rsidR="000D12E2" w:rsidRDefault="000D12E2" w:rsidP="008B75C6">
      <w:pPr>
        <w:widowControl w:val="0"/>
        <w:rPr>
          <w:rFonts w:asciiTheme="minorHAnsi" w:eastAsiaTheme="minorEastAsia" w:hAnsiTheme="minorHAnsi" w:cstheme="minorBidi"/>
          <w:lang w:val="en-US"/>
        </w:rPr>
      </w:pPr>
    </w:p>
    <w:p w14:paraId="2305C9AC" w14:textId="77777777" w:rsidR="000D12E2" w:rsidRPr="00BF3C76" w:rsidRDefault="000D12E2" w:rsidP="008B75C6">
      <w:pPr>
        <w:widowControl w:val="0"/>
        <w:rPr>
          <w:rFonts w:asciiTheme="minorHAnsi" w:eastAsiaTheme="minorEastAsia" w:hAnsiTheme="minorHAnsi" w:cstheme="minorBidi"/>
          <w:lang w:val="en-US"/>
        </w:rPr>
      </w:pPr>
    </w:p>
    <w:p w14:paraId="7BE049BA" w14:textId="32C53E5A" w:rsidR="008B75C6" w:rsidRPr="004047AC" w:rsidRDefault="008B75C6" w:rsidP="004047AC">
      <w:pPr>
        <w:pStyle w:val="BodyText"/>
        <w:rPr>
          <w:b/>
          <w:bCs/>
        </w:rPr>
      </w:pPr>
      <w:bookmarkStart w:id="185" w:name="_Toc213917866"/>
      <w:bookmarkStart w:id="186" w:name="_Toc222954471"/>
      <w:r w:rsidRPr="004047AC">
        <w:rPr>
          <w:rStyle w:val="BodyTextChar"/>
          <w:rFonts w:asciiTheme="minorHAnsi" w:hAnsiTheme="minorHAnsi" w:cstheme="minorBidi"/>
          <w:b/>
          <w:bCs/>
        </w:rPr>
        <w:t>Definitions</w:t>
      </w:r>
      <w:r w:rsidRPr="004047AC">
        <w:rPr>
          <w:b/>
          <w:bCs/>
        </w:rPr>
        <w:t xml:space="preserve"> and Rationale</w:t>
      </w:r>
      <w:bookmarkEnd w:id="185"/>
      <w:bookmarkEnd w:id="186"/>
    </w:p>
    <w:p w14:paraId="66796A8B" w14:textId="123B937F" w:rsidR="008B75C6" w:rsidRPr="0050531F" w:rsidRDefault="008B75C6" w:rsidP="008B75C6">
      <w:pPr>
        <w:pStyle w:val="NoSpacing"/>
        <w:rPr>
          <w:rFonts w:ascii="Calibri" w:eastAsia="Calibri" w:hAnsi="Calibri" w:cs="Times New Roman"/>
          <w:color w:val="000000" w:themeColor="text2"/>
          <w:sz w:val="24"/>
          <w:szCs w:val="24"/>
          <w:lang w:val="en-AU" w:eastAsia="en-AU"/>
        </w:rPr>
      </w:pPr>
      <w:r w:rsidRPr="0050531F">
        <w:rPr>
          <w:rFonts w:ascii="Calibri" w:eastAsia="Calibri" w:hAnsi="Calibri" w:cs="Times New Roman"/>
          <w:color w:val="000000" w:themeColor="text2"/>
          <w:sz w:val="24"/>
          <w:szCs w:val="24"/>
          <w:lang w:val="en-AU" w:eastAsia="en-AU"/>
        </w:rPr>
        <w:t xml:space="preserve">As depicted in Figure </w:t>
      </w:r>
      <w:r w:rsidR="00DD14DA" w:rsidRPr="0050531F">
        <w:rPr>
          <w:rFonts w:ascii="Calibri" w:eastAsia="Calibri" w:hAnsi="Calibri" w:cs="Times New Roman"/>
          <w:color w:val="000000" w:themeColor="text2"/>
          <w:sz w:val="24"/>
          <w:szCs w:val="24"/>
          <w:lang w:val="en-AU" w:eastAsia="en-AU"/>
        </w:rPr>
        <w:t>6</w:t>
      </w:r>
      <w:r w:rsidRPr="0050531F">
        <w:rPr>
          <w:rFonts w:ascii="Calibri" w:eastAsia="Calibri" w:hAnsi="Calibri" w:cs="Times New Roman"/>
          <w:color w:val="000000" w:themeColor="text2"/>
          <w:sz w:val="24"/>
          <w:szCs w:val="24"/>
          <w:lang w:val="en-AU" w:eastAsia="en-AU"/>
        </w:rPr>
        <w:t>, risk only materializes where a credible threat overlaps with an exploitable vulnerability and produces a consequence. Understanding this triad lets us dissect complex security challenges into discrete, actionable elements.</w:t>
      </w:r>
    </w:p>
    <w:p w14:paraId="5AF93EB8" w14:textId="77777777" w:rsidR="008B75C6" w:rsidRPr="00D50950" w:rsidRDefault="008B75C6" w:rsidP="008B75C6">
      <w:pPr>
        <w:pStyle w:val="NoSpacing"/>
        <w:jc w:val="left"/>
        <w:rPr>
          <w:rFonts w:asciiTheme="minorHAnsi" w:eastAsiaTheme="minorEastAsia" w:hAnsiTheme="minorHAnsi" w:cstheme="minorBidi"/>
          <w:color w:val="000000"/>
          <w:sz w:val="24"/>
          <w:szCs w:val="24"/>
          <w:lang w:val="en-AU" w:eastAsia="en-AU"/>
        </w:rPr>
      </w:pPr>
      <w:r w:rsidRPr="4088681A">
        <w:rPr>
          <w:rFonts w:asciiTheme="minorHAnsi" w:eastAsiaTheme="minorEastAsia" w:hAnsiTheme="minorHAnsi" w:cstheme="minorBidi"/>
          <w:b/>
          <w:color w:val="000000" w:themeColor="text2"/>
          <w:sz w:val="24"/>
          <w:szCs w:val="24"/>
          <w:lang w:val="en-AU" w:eastAsia="en-AU"/>
        </w:rPr>
        <w:t>Threat (T)</w:t>
      </w:r>
      <w:r>
        <w:br/>
      </w:r>
      <w:r w:rsidRPr="0050531F">
        <w:rPr>
          <w:rFonts w:ascii="Calibri" w:eastAsia="Calibri" w:hAnsi="Calibri" w:cs="Times New Roman"/>
          <w:color w:val="000000" w:themeColor="text2"/>
          <w:sz w:val="24"/>
          <w:szCs w:val="24"/>
          <w:lang w:val="en-AU" w:eastAsia="en-AU"/>
        </w:rPr>
        <w:t>A potential cause of an undesirable incident that can harm a system or organization. In EVSE, this spans from opportunistic script-kiddies and financially motivated cybercriminals to sophisticated, state-sponsored APT groups targeting critical infrastructure</w:t>
      </w:r>
      <w:r w:rsidRPr="4088681A">
        <w:rPr>
          <w:rFonts w:asciiTheme="minorHAnsi" w:eastAsiaTheme="minorEastAsia" w:hAnsiTheme="minorHAnsi" w:cstheme="minorBidi"/>
          <w:color w:val="000000" w:themeColor="text2"/>
          <w:sz w:val="24"/>
          <w:szCs w:val="24"/>
          <w:lang w:val="en-AU" w:eastAsia="en-AU"/>
        </w:rPr>
        <w:t>.</w:t>
      </w:r>
    </w:p>
    <w:p w14:paraId="26E80C16" w14:textId="77777777" w:rsidR="008B75C6" w:rsidRPr="0050531F" w:rsidRDefault="008B75C6" w:rsidP="008B75C6">
      <w:pPr>
        <w:pStyle w:val="NoSpacing"/>
        <w:jc w:val="left"/>
        <w:rPr>
          <w:rFonts w:ascii="Calibri" w:eastAsia="Calibri" w:hAnsi="Calibri" w:cs="Times New Roman"/>
          <w:color w:val="000000" w:themeColor="text2"/>
          <w:sz w:val="24"/>
          <w:szCs w:val="24"/>
          <w:lang w:val="en-AU" w:eastAsia="en-AU"/>
        </w:rPr>
      </w:pPr>
      <w:r w:rsidRPr="4088681A">
        <w:rPr>
          <w:rFonts w:asciiTheme="minorHAnsi" w:eastAsiaTheme="minorEastAsia" w:hAnsiTheme="minorHAnsi" w:cstheme="minorBidi"/>
          <w:b/>
          <w:color w:val="000000" w:themeColor="text2"/>
          <w:sz w:val="24"/>
          <w:szCs w:val="24"/>
          <w:lang w:val="en-AU" w:eastAsia="en-AU"/>
        </w:rPr>
        <w:t>Vulnerability (V)</w:t>
      </w:r>
      <w:r>
        <w:br/>
      </w:r>
      <w:r w:rsidRPr="0050531F">
        <w:rPr>
          <w:rFonts w:ascii="Calibri" w:eastAsia="Calibri" w:hAnsi="Calibri" w:cs="Times New Roman"/>
          <w:color w:val="000000" w:themeColor="text2"/>
          <w:sz w:val="24"/>
          <w:szCs w:val="24"/>
          <w:lang w:val="en-AU" w:eastAsia="en-AU"/>
        </w:rPr>
        <w:t>A weakness in an asset or control, whether in design, implementation, or configuration, that a threat can exploit. An unencrypted communication channel between the charging station and central management is a classic example.</w:t>
      </w:r>
    </w:p>
    <w:p w14:paraId="2F246968" w14:textId="77777777" w:rsidR="008B75C6" w:rsidRPr="00D50950" w:rsidRDefault="008B75C6" w:rsidP="008B75C6">
      <w:pPr>
        <w:pStyle w:val="NoSpacing"/>
        <w:jc w:val="left"/>
        <w:rPr>
          <w:rFonts w:asciiTheme="minorHAnsi" w:eastAsiaTheme="minorEastAsia" w:hAnsiTheme="minorHAnsi" w:cstheme="minorBidi"/>
          <w:color w:val="000000"/>
          <w:sz w:val="24"/>
          <w:szCs w:val="24"/>
          <w:lang w:val="en-AU" w:eastAsia="en-AU"/>
        </w:rPr>
      </w:pPr>
      <w:r w:rsidRPr="4088681A">
        <w:rPr>
          <w:rFonts w:asciiTheme="minorHAnsi" w:eastAsiaTheme="minorEastAsia" w:hAnsiTheme="minorHAnsi" w:cstheme="minorBidi"/>
          <w:b/>
          <w:color w:val="000000" w:themeColor="text2"/>
          <w:sz w:val="24"/>
          <w:szCs w:val="24"/>
          <w:lang w:val="en-AU" w:eastAsia="en-AU"/>
        </w:rPr>
        <w:t>Impact (I)</w:t>
      </w:r>
      <w:r>
        <w:br/>
      </w:r>
      <w:r w:rsidRPr="0050531F">
        <w:rPr>
          <w:rFonts w:ascii="Calibri" w:eastAsia="Calibri" w:hAnsi="Calibri" w:cs="Times New Roman"/>
          <w:color w:val="000000" w:themeColor="text2"/>
          <w:sz w:val="24"/>
          <w:szCs w:val="24"/>
          <w:lang w:val="en-AU" w:eastAsia="en-AU"/>
        </w:rPr>
        <w:t>The adverse impact or harm resulting from a successful exploitation, such as service disruption, financial loss, or safety hazards</w:t>
      </w:r>
      <w:r w:rsidRPr="4088681A">
        <w:rPr>
          <w:rFonts w:asciiTheme="minorHAnsi" w:eastAsiaTheme="minorEastAsia" w:hAnsiTheme="minorHAnsi" w:cstheme="minorBidi"/>
          <w:color w:val="000000" w:themeColor="text2"/>
          <w:sz w:val="24"/>
          <w:szCs w:val="24"/>
          <w:lang w:val="en-AU" w:eastAsia="en-AU"/>
        </w:rPr>
        <w:t>.</w:t>
      </w:r>
    </w:p>
    <w:p w14:paraId="22EC8437" w14:textId="25C8E68D" w:rsidR="008B75C6" w:rsidRPr="003E6C5A" w:rsidRDefault="008B75C6" w:rsidP="008B75C6">
      <w:pPr>
        <w:pStyle w:val="NoSpacing"/>
        <w:jc w:val="left"/>
        <w:rPr>
          <w:rFonts w:asciiTheme="minorHAnsi" w:eastAsiaTheme="minorEastAsia" w:hAnsiTheme="minorHAnsi" w:cstheme="minorHAnsi"/>
          <w:color w:val="000000"/>
          <w:sz w:val="24"/>
          <w:szCs w:val="24"/>
          <w:lang w:val="en-AU" w:eastAsia="en-AU"/>
        </w:rPr>
      </w:pPr>
      <w:r w:rsidRPr="4088681A">
        <w:rPr>
          <w:rFonts w:asciiTheme="minorHAnsi" w:eastAsiaTheme="minorEastAsia" w:hAnsiTheme="minorHAnsi" w:cstheme="minorBidi"/>
          <w:b/>
          <w:color w:val="000000" w:themeColor="text2"/>
          <w:sz w:val="24"/>
          <w:szCs w:val="24"/>
          <w:lang w:val="en-AU" w:eastAsia="en-AU"/>
        </w:rPr>
        <w:t>Risk (R)</w:t>
      </w:r>
      <w:r>
        <w:br/>
      </w:r>
      <w:r w:rsidRPr="003E6C5A">
        <w:rPr>
          <w:rFonts w:asciiTheme="minorHAnsi" w:eastAsiaTheme="minorEastAsia" w:hAnsiTheme="minorHAnsi" w:cstheme="minorHAnsi"/>
          <w:color w:val="000000" w:themeColor="text2"/>
          <w:sz w:val="24"/>
          <w:szCs w:val="24"/>
          <w:lang w:val="en-AU" w:eastAsia="en-AU"/>
        </w:rPr>
        <w:t xml:space="preserve">The potential for loss or damage when a specific threat leverages a particular vulnerability to cause a consequence. As shown in </w:t>
      </w:r>
      <w:r w:rsidR="008F54CA" w:rsidRPr="003E6C5A">
        <w:rPr>
          <w:rFonts w:asciiTheme="minorHAnsi" w:eastAsiaTheme="minorEastAsia" w:hAnsiTheme="minorHAnsi" w:cstheme="minorHAnsi"/>
          <w:color w:val="000000" w:themeColor="text2"/>
          <w:sz w:val="24"/>
          <w:szCs w:val="24"/>
          <w:lang w:val="en-AU" w:eastAsia="en-AU"/>
        </w:rPr>
        <w:t xml:space="preserve">figure </w:t>
      </w:r>
      <w:r w:rsidR="00BA2E44" w:rsidRPr="003E6C5A">
        <w:rPr>
          <w:rFonts w:asciiTheme="minorHAnsi" w:eastAsiaTheme="minorEastAsia" w:hAnsiTheme="minorHAnsi" w:cstheme="minorHAnsi"/>
          <w:color w:val="000000" w:themeColor="text2"/>
          <w:sz w:val="24"/>
          <w:szCs w:val="24"/>
          <w:lang w:val="en-AU" w:eastAsia="en-AU"/>
        </w:rPr>
        <w:t>6</w:t>
      </w:r>
      <w:r w:rsidRPr="003E6C5A">
        <w:rPr>
          <w:rFonts w:asciiTheme="minorHAnsi" w:eastAsiaTheme="minorEastAsia" w:hAnsiTheme="minorHAnsi" w:cstheme="minorHAnsi"/>
          <w:color w:val="000000" w:themeColor="text2"/>
          <w:sz w:val="24"/>
          <w:szCs w:val="24"/>
          <w:lang w:val="en-AU" w:eastAsia="en-AU"/>
        </w:rPr>
        <w:t>, risk resides only in the intersection of all three circles.</w:t>
      </w:r>
    </w:p>
    <w:p w14:paraId="6698E5C1" w14:textId="77777777" w:rsidR="008B75C6" w:rsidRPr="003E6C5A" w:rsidRDefault="008B75C6" w:rsidP="008B75C6">
      <w:pPr>
        <w:widowControl w:val="0"/>
        <w:rPr>
          <w:rFonts w:asciiTheme="minorHAnsi" w:eastAsiaTheme="minorEastAsia" w:hAnsiTheme="minorHAnsi" w:cstheme="minorHAnsi"/>
          <w:sz w:val="24"/>
          <w:szCs w:val="24"/>
        </w:rPr>
      </w:pPr>
      <w:r w:rsidRPr="003E6C5A">
        <w:rPr>
          <w:rFonts w:asciiTheme="minorHAnsi" w:eastAsiaTheme="minorEastAsia" w:hAnsiTheme="minorHAnsi" w:cstheme="minorHAnsi"/>
          <w:sz w:val="24"/>
          <w:szCs w:val="24"/>
        </w:rPr>
        <w:t>To quantify how these elements combine into overall risk, we adopt the classic multiplicative model:</w:t>
      </w:r>
    </w:p>
    <w:p w14:paraId="12B30AA9" w14:textId="0B5F4305" w:rsidR="008B75C6" w:rsidRPr="00D50950" w:rsidRDefault="008B75C6" w:rsidP="008B75C6">
      <w:pPr>
        <w:pStyle w:val="NoSpacing"/>
        <w:jc w:val="center"/>
        <w:rPr>
          <w:rFonts w:asciiTheme="minorHAnsi" w:eastAsiaTheme="minorEastAsia" w:hAnsiTheme="minorHAnsi" w:cstheme="minorBidi"/>
          <w:color w:val="000000"/>
          <w:lang w:val="en-AU" w:eastAsia="en-AU"/>
        </w:rPr>
      </w:pPr>
      <m:oMath>
        <m:r>
          <m:rPr>
            <m:sty m:val="bi"/>
          </m:rPr>
          <w:rPr>
            <w:rFonts w:ascii="Cambria Math" w:eastAsia="Calibri" w:hAnsi="Cambria Math" w:cs="Times New Roman"/>
            <w:color w:val="000000"/>
            <w:lang w:val="en-AU" w:eastAsia="en-AU"/>
          </w:rPr>
          <m:t>R</m:t>
        </m:r>
        <m:r>
          <m:rPr>
            <m:sty m:val="p"/>
          </m:rPr>
          <w:rPr>
            <w:rFonts w:ascii="Cambria Math" w:eastAsia="Calibri" w:hAnsi="Cambria Math" w:cs="Times New Roman"/>
            <w:color w:val="000000"/>
            <w:lang w:val="en-AU" w:eastAsia="en-AU"/>
          </w:rPr>
          <m:t xml:space="preserve"> = </m:t>
        </m:r>
        <m:r>
          <m:rPr>
            <m:sty m:val="bi"/>
          </m:rPr>
          <w:rPr>
            <w:rFonts w:ascii="Cambria Math" w:eastAsia="Calibri" w:hAnsi="Cambria Math" w:cs="Times New Roman"/>
            <w:color w:val="000000"/>
            <w:lang w:val="en-AU" w:eastAsia="en-AU"/>
          </w:rPr>
          <m:t>T</m:t>
        </m:r>
        <m:r>
          <m:rPr>
            <m:sty m:val="p"/>
          </m:rPr>
          <w:rPr>
            <w:rFonts w:ascii="Cambria Math" w:eastAsia="Calibri" w:hAnsi="Cambria Math" w:cs="Times New Roman"/>
            <w:color w:val="000000"/>
            <w:lang w:val="en-AU" w:eastAsia="en-AU"/>
          </w:rPr>
          <m:t xml:space="preserve"> × </m:t>
        </m:r>
        <m:r>
          <m:rPr>
            <m:sty m:val="bi"/>
          </m:rPr>
          <w:rPr>
            <w:rFonts w:ascii="Cambria Math" w:eastAsia="Calibri" w:hAnsi="Cambria Math" w:cs="Times New Roman"/>
            <w:color w:val="000000"/>
            <w:lang w:val="en-AU" w:eastAsia="en-AU"/>
          </w:rPr>
          <m:t>V</m:t>
        </m:r>
        <m:r>
          <m:rPr>
            <m:sty m:val="p"/>
          </m:rPr>
          <w:rPr>
            <w:rFonts w:ascii="Cambria Math" w:eastAsia="Calibri" w:hAnsi="Cambria Math" w:cs="Times New Roman"/>
            <w:color w:val="000000"/>
            <w:lang w:val="en-AU" w:eastAsia="en-AU"/>
          </w:rPr>
          <m:t xml:space="preserve"> × </m:t>
        </m:r>
        <m:r>
          <m:rPr>
            <m:sty m:val="bi"/>
          </m:rPr>
          <w:rPr>
            <w:rFonts w:ascii="Cambria Math" w:eastAsia="Calibri" w:hAnsi="Cambria Math" w:cs="Times New Roman"/>
            <w:color w:val="000000"/>
            <w:lang w:val="en-AU" w:eastAsia="en-AU"/>
          </w:rPr>
          <m:t>I</m:t>
        </m:r>
      </m:oMath>
      <w:r w:rsidRPr="00D50950">
        <w:rPr>
          <w:rFonts w:ascii="Calibri" w:eastAsia="Calibri" w:hAnsi="Calibri" w:cs="Times New Roman"/>
          <w:color w:val="000000"/>
          <w:lang w:val="en-AU" w:eastAsia="en-AU"/>
        </w:rPr>
        <w:t xml:space="preserve">         </w:t>
      </w:r>
      <w:r w:rsidR="001C02C4">
        <w:rPr>
          <w:rFonts w:ascii="Calibri" w:eastAsia="Calibri" w:hAnsi="Calibri" w:cs="Times New Roman"/>
          <w:color w:val="000000"/>
          <w:lang w:val="en-AU" w:eastAsia="en-AU"/>
        </w:rPr>
        <w:t>(1)</w:t>
      </w:r>
    </w:p>
    <w:p w14:paraId="79ACBE4C" w14:textId="77777777" w:rsidR="008B75C6" w:rsidRPr="00D50950" w:rsidRDefault="008B75C6" w:rsidP="008B75C6">
      <w:pPr>
        <w:pStyle w:val="NoSpacing"/>
        <w:rPr>
          <w:rFonts w:asciiTheme="minorHAnsi" w:eastAsiaTheme="minorEastAsia" w:hAnsiTheme="minorHAnsi" w:cstheme="minorBidi"/>
          <w:color w:val="000000"/>
          <w:sz w:val="24"/>
          <w:szCs w:val="24"/>
          <w:lang w:val="en-AU" w:eastAsia="en-AU"/>
        </w:rPr>
      </w:pPr>
      <w:r w:rsidRPr="4088681A">
        <w:rPr>
          <w:rFonts w:ascii="Calibri" w:eastAsia="Calibri" w:hAnsi="Calibri" w:cs="Times New Roman"/>
          <w:color w:val="000000" w:themeColor="text2"/>
          <w:sz w:val="24"/>
          <w:szCs w:val="24"/>
          <w:lang w:val="en-AU" w:eastAsia="en-AU"/>
        </w:rPr>
        <w:t>Where:</w:t>
      </w:r>
    </w:p>
    <w:p w14:paraId="730D5FB2" w14:textId="77777777" w:rsidR="008B75C6" w:rsidRPr="00D50950" w:rsidRDefault="008B75C6" w:rsidP="008B75C6">
      <w:pPr>
        <w:pStyle w:val="NoSpacing"/>
        <w:rPr>
          <w:rFonts w:asciiTheme="minorHAnsi" w:eastAsiaTheme="minorEastAsia" w:hAnsiTheme="minorHAnsi" w:cstheme="minorBidi"/>
          <w:color w:val="000000"/>
          <w:sz w:val="24"/>
          <w:szCs w:val="24"/>
          <w:lang w:val="en-AU" w:eastAsia="en-AU"/>
        </w:rPr>
      </w:pPr>
      <w:r w:rsidRPr="005713FD">
        <w:rPr>
          <w:rFonts w:ascii="Calibri" w:eastAsia="Calibri" w:hAnsi="Calibri" w:cs="Times New Roman"/>
          <w:b/>
          <w:bCs/>
          <w:i/>
          <w:color w:val="000000" w:themeColor="text2"/>
          <w:sz w:val="24"/>
          <w:szCs w:val="24"/>
          <w:lang w:val="en-AU" w:eastAsia="en-AU"/>
        </w:rPr>
        <w:t>T</w:t>
      </w:r>
      <w:r w:rsidRPr="4088681A">
        <w:rPr>
          <w:rFonts w:ascii="Calibri" w:eastAsia="Calibri" w:hAnsi="Calibri" w:cs="Times New Roman"/>
          <w:color w:val="000000" w:themeColor="text2"/>
          <w:sz w:val="24"/>
          <w:szCs w:val="24"/>
          <w:lang w:val="en-AU" w:eastAsia="en-AU"/>
        </w:rPr>
        <w:t xml:space="preserve"> is the likelihood of a threat occurring </w:t>
      </w:r>
    </w:p>
    <w:p w14:paraId="631D13B1" w14:textId="77777777" w:rsidR="008B75C6" w:rsidRPr="00D50950" w:rsidRDefault="008B75C6" w:rsidP="008B75C6">
      <w:pPr>
        <w:pStyle w:val="NoSpacing"/>
        <w:rPr>
          <w:rFonts w:asciiTheme="minorHAnsi" w:eastAsiaTheme="minorEastAsia" w:hAnsiTheme="minorHAnsi" w:cstheme="minorBidi"/>
          <w:color w:val="000000"/>
          <w:sz w:val="24"/>
          <w:szCs w:val="24"/>
          <w:lang w:val="en-AU" w:eastAsia="en-AU"/>
        </w:rPr>
      </w:pPr>
      <w:r w:rsidRPr="005713FD">
        <w:rPr>
          <w:rFonts w:ascii="Calibri" w:eastAsia="Calibri" w:hAnsi="Calibri" w:cs="Times New Roman"/>
          <w:b/>
          <w:bCs/>
          <w:i/>
          <w:color w:val="000000" w:themeColor="text2"/>
          <w:sz w:val="24"/>
          <w:szCs w:val="24"/>
          <w:lang w:val="en-AU" w:eastAsia="en-AU"/>
        </w:rPr>
        <w:t>V</w:t>
      </w:r>
      <w:r w:rsidRPr="4088681A">
        <w:rPr>
          <w:rFonts w:ascii="Calibri" w:eastAsia="Calibri" w:hAnsi="Calibri" w:cs="Times New Roman"/>
          <w:color w:val="000000" w:themeColor="text2"/>
          <w:sz w:val="24"/>
          <w:szCs w:val="24"/>
          <w:lang w:val="en-AU" w:eastAsia="en-AU"/>
        </w:rPr>
        <w:t xml:space="preserve"> is the level of vulnerability exposure</w:t>
      </w:r>
    </w:p>
    <w:p w14:paraId="6D895A05" w14:textId="77777777" w:rsidR="008B75C6" w:rsidRPr="00D50950" w:rsidRDefault="008B75C6" w:rsidP="008B75C6">
      <w:pPr>
        <w:pStyle w:val="NoSpacing"/>
        <w:rPr>
          <w:rFonts w:asciiTheme="minorHAnsi" w:eastAsiaTheme="minorEastAsia" w:hAnsiTheme="minorHAnsi" w:cstheme="minorBidi"/>
          <w:color w:val="000000"/>
          <w:sz w:val="24"/>
          <w:szCs w:val="24"/>
          <w:lang w:val="en-AU" w:eastAsia="en-AU"/>
        </w:rPr>
      </w:pPr>
      <w:r w:rsidRPr="005713FD">
        <w:rPr>
          <w:rFonts w:ascii="Calibri" w:eastAsia="Calibri" w:hAnsi="Calibri" w:cs="Times New Roman"/>
          <w:b/>
          <w:bCs/>
          <w:i/>
          <w:color w:val="000000" w:themeColor="text2"/>
          <w:sz w:val="24"/>
          <w:szCs w:val="24"/>
          <w:lang w:val="en-AU" w:eastAsia="en-AU"/>
        </w:rPr>
        <w:t>I</w:t>
      </w:r>
      <w:r w:rsidRPr="4088681A">
        <w:rPr>
          <w:rFonts w:ascii="Calibri" w:eastAsia="Calibri" w:hAnsi="Calibri" w:cs="Times New Roman"/>
          <w:color w:val="000000" w:themeColor="text2"/>
          <w:sz w:val="24"/>
          <w:szCs w:val="24"/>
          <w:lang w:val="en-AU" w:eastAsia="en-AU"/>
        </w:rPr>
        <w:t xml:space="preserve"> is the potential impact of a successful attack</w:t>
      </w:r>
    </w:p>
    <w:p w14:paraId="3DD8E442" w14:textId="179303BB" w:rsidR="00AB2F2F" w:rsidRDefault="008B75C6" w:rsidP="005F3EA3">
      <w:pPr>
        <w:pStyle w:val="NoSpacing"/>
        <w:rPr>
          <w:rFonts w:asciiTheme="minorHAnsi" w:eastAsiaTheme="minorEastAsia" w:hAnsiTheme="minorHAnsi" w:cstheme="minorBidi"/>
          <w:color w:val="000000"/>
          <w:sz w:val="24"/>
          <w:szCs w:val="24"/>
          <w:lang w:val="en-AU" w:eastAsia="en-AU"/>
        </w:rPr>
      </w:pPr>
      <w:r w:rsidRPr="4088681A">
        <w:rPr>
          <w:rFonts w:ascii="Calibri" w:eastAsia="Calibri" w:hAnsi="Calibri" w:cs="Times New Roman"/>
          <w:color w:val="000000" w:themeColor="text2"/>
          <w:sz w:val="24"/>
          <w:szCs w:val="24"/>
          <w:lang w:val="en-AU" w:eastAsia="en-AU"/>
        </w:rPr>
        <w:t xml:space="preserve">Because the model multiplies all three factors, even a highly capable threat (high </w:t>
      </w:r>
      <w:r w:rsidRPr="005713FD">
        <w:rPr>
          <w:rFonts w:ascii="Calibri" w:eastAsia="Calibri" w:hAnsi="Calibri" w:cs="Times New Roman"/>
          <w:b/>
          <w:bCs/>
          <w:i/>
          <w:iCs/>
          <w:color w:val="000000" w:themeColor="text2"/>
          <w:sz w:val="24"/>
          <w:szCs w:val="24"/>
          <w:lang w:val="en-AU" w:eastAsia="en-AU"/>
        </w:rPr>
        <w:t>T</w:t>
      </w:r>
      <w:r w:rsidRPr="4088681A">
        <w:rPr>
          <w:rFonts w:ascii="Calibri" w:eastAsia="Calibri" w:hAnsi="Calibri" w:cs="Times New Roman"/>
          <w:color w:val="000000" w:themeColor="text2"/>
          <w:sz w:val="24"/>
          <w:szCs w:val="24"/>
          <w:lang w:val="en-AU" w:eastAsia="en-AU"/>
        </w:rPr>
        <w:t xml:space="preserve">) yields little risk if the vulnerability exposure </w:t>
      </w:r>
      <w:r w:rsidRPr="005713FD">
        <w:rPr>
          <w:rFonts w:ascii="Calibri" w:eastAsia="Calibri" w:hAnsi="Calibri" w:cs="Times New Roman"/>
          <w:b/>
          <w:bCs/>
          <w:i/>
          <w:iCs/>
          <w:color w:val="000000" w:themeColor="text2"/>
          <w:sz w:val="24"/>
          <w:szCs w:val="24"/>
          <w:lang w:val="en-AU" w:eastAsia="en-AU"/>
        </w:rPr>
        <w:t>(V</w:t>
      </w:r>
      <w:r w:rsidRPr="4088681A">
        <w:rPr>
          <w:rFonts w:ascii="Calibri" w:eastAsia="Calibri" w:hAnsi="Calibri" w:cs="Times New Roman"/>
          <w:color w:val="000000" w:themeColor="text2"/>
          <w:sz w:val="24"/>
          <w:szCs w:val="24"/>
          <w:lang w:val="en-AU" w:eastAsia="en-AU"/>
        </w:rPr>
        <w:t xml:space="preserve">) is near zero, or a severe vulnerability (high </w:t>
      </w:r>
      <w:r w:rsidRPr="005713FD">
        <w:rPr>
          <w:rFonts w:ascii="Calibri" w:eastAsia="Calibri" w:hAnsi="Calibri" w:cs="Times New Roman"/>
          <w:b/>
          <w:bCs/>
          <w:i/>
          <w:iCs/>
          <w:color w:val="000000" w:themeColor="text2"/>
          <w:sz w:val="24"/>
          <w:szCs w:val="24"/>
          <w:lang w:val="en-AU" w:eastAsia="en-AU"/>
        </w:rPr>
        <w:t>V</w:t>
      </w:r>
      <w:r w:rsidRPr="4088681A">
        <w:rPr>
          <w:rFonts w:ascii="Calibri" w:eastAsia="Calibri" w:hAnsi="Calibri" w:cs="Times New Roman"/>
          <w:color w:val="000000" w:themeColor="text2"/>
          <w:sz w:val="24"/>
          <w:szCs w:val="24"/>
          <w:lang w:val="en-AU" w:eastAsia="en-AU"/>
        </w:rPr>
        <w:t>) poses no risk without a credible threat (</w:t>
      </w:r>
      <w:r w:rsidRPr="005713FD">
        <w:rPr>
          <w:rFonts w:ascii="Calibri" w:eastAsia="Calibri" w:hAnsi="Calibri" w:cs="Times New Roman"/>
          <w:b/>
          <w:bCs/>
          <w:i/>
          <w:iCs/>
          <w:color w:val="000000" w:themeColor="text2"/>
          <w:sz w:val="24"/>
          <w:szCs w:val="24"/>
          <w:lang w:val="en-AU" w:eastAsia="en-AU"/>
        </w:rPr>
        <w:t>T</w:t>
      </w:r>
      <w:r w:rsidRPr="4088681A">
        <w:rPr>
          <w:rFonts w:ascii="Calibri" w:eastAsia="Calibri" w:hAnsi="Calibri" w:cs="Times New Roman"/>
          <w:color w:val="000000" w:themeColor="text2"/>
          <w:sz w:val="24"/>
          <w:szCs w:val="24"/>
          <w:lang w:val="en-AU" w:eastAsia="en-AU"/>
        </w:rPr>
        <w:t xml:space="preserve"> = 0). This mirrors </w:t>
      </w:r>
      <w:r w:rsidR="008F54CA">
        <w:rPr>
          <w:rFonts w:ascii="Calibri" w:eastAsia="Calibri" w:hAnsi="Calibri" w:cs="Times New Roman"/>
          <w:color w:val="000000" w:themeColor="text2"/>
          <w:sz w:val="24"/>
          <w:szCs w:val="24"/>
          <w:lang w:val="en-AU" w:eastAsia="en-AU"/>
        </w:rPr>
        <w:t>f</w:t>
      </w:r>
      <w:r w:rsidRPr="4088681A">
        <w:rPr>
          <w:rFonts w:ascii="Calibri" w:eastAsia="Calibri" w:hAnsi="Calibri" w:cs="Times New Roman"/>
          <w:color w:val="000000" w:themeColor="text2"/>
          <w:sz w:val="24"/>
          <w:szCs w:val="24"/>
          <w:lang w:val="en-AU" w:eastAsia="en-AU"/>
        </w:rPr>
        <w:t>igure</w:t>
      </w:r>
      <w:r w:rsidR="00782FEB">
        <w:rPr>
          <w:rFonts w:ascii="Calibri" w:eastAsia="Calibri" w:hAnsi="Calibri" w:cs="Times New Roman"/>
          <w:color w:val="000000" w:themeColor="text2"/>
          <w:sz w:val="24"/>
          <w:szCs w:val="24"/>
          <w:lang w:val="en-AU" w:eastAsia="en-AU"/>
        </w:rPr>
        <w:t xml:space="preserve"> 6</w:t>
      </w:r>
      <w:r w:rsidRPr="4088681A">
        <w:rPr>
          <w:rFonts w:ascii="Calibri" w:eastAsia="Calibri" w:hAnsi="Calibri" w:cs="Times New Roman"/>
          <w:color w:val="000000" w:themeColor="text2"/>
          <w:sz w:val="24"/>
          <w:szCs w:val="24"/>
          <w:lang w:val="en-AU" w:eastAsia="en-AU"/>
        </w:rPr>
        <w:t xml:space="preserve"> </w:t>
      </w:r>
      <w:r w:rsidR="006333DD" w:rsidRPr="4088681A">
        <w:rPr>
          <w:rFonts w:ascii="Calibri" w:eastAsia="Calibri" w:hAnsi="Calibri" w:cs="Times New Roman"/>
          <w:color w:val="000000" w:themeColor="text2"/>
          <w:sz w:val="24"/>
          <w:szCs w:val="24"/>
          <w:lang w:val="en-AU" w:eastAsia="en-AU"/>
        </w:rPr>
        <w:t xml:space="preserve">with </w:t>
      </w:r>
      <w:r w:rsidRPr="4088681A">
        <w:rPr>
          <w:rFonts w:ascii="Calibri" w:eastAsia="Calibri" w:hAnsi="Calibri" w:cs="Times New Roman"/>
          <w:color w:val="000000" w:themeColor="text2"/>
          <w:sz w:val="24"/>
          <w:szCs w:val="24"/>
          <w:lang w:val="en-AU" w:eastAsia="en-AU"/>
        </w:rPr>
        <w:t xml:space="preserve">Venn diagram: risk only materializes where threat, vulnerability, and consequence </w:t>
      </w:r>
      <w:r w:rsidR="00015C95" w:rsidRPr="4088681A">
        <w:rPr>
          <w:rFonts w:ascii="Calibri" w:eastAsia="Calibri" w:hAnsi="Calibri" w:cs="Times New Roman"/>
          <w:color w:val="000000" w:themeColor="text2"/>
          <w:sz w:val="24"/>
          <w:szCs w:val="24"/>
          <w:lang w:val="en-AU" w:eastAsia="en-AU"/>
        </w:rPr>
        <w:t>overlap.</w:t>
      </w:r>
    </w:p>
    <w:p w14:paraId="45DEC02A" w14:textId="77777777" w:rsidR="00015C95" w:rsidRPr="00D50950" w:rsidRDefault="00015C95" w:rsidP="005F3EA3">
      <w:pPr>
        <w:pStyle w:val="NoSpacing"/>
        <w:rPr>
          <w:rFonts w:asciiTheme="minorHAnsi" w:eastAsiaTheme="minorEastAsia" w:hAnsiTheme="minorHAnsi" w:cstheme="minorBidi"/>
          <w:color w:val="000000"/>
          <w:lang w:val="en-AU" w:eastAsia="en-AU"/>
        </w:rPr>
      </w:pPr>
    </w:p>
    <w:p w14:paraId="526B8593" w14:textId="3779E309" w:rsidR="00CE5C65" w:rsidRPr="00D76387" w:rsidRDefault="00CE5C65" w:rsidP="00D76387">
      <w:pPr>
        <w:pStyle w:val="BodyText"/>
        <w:rPr>
          <w:rFonts w:asciiTheme="minorHAnsi" w:eastAsiaTheme="minorEastAsia" w:hAnsiTheme="minorHAnsi" w:cstheme="minorBidi"/>
          <w:b/>
          <w:bCs/>
        </w:rPr>
      </w:pPr>
      <w:bookmarkStart w:id="187" w:name="_Toc222954472"/>
      <w:r w:rsidRPr="00D76387">
        <w:rPr>
          <w:b/>
          <w:bCs/>
        </w:rPr>
        <w:t>Methodology and Two-Pronged Strategy</w:t>
      </w:r>
      <w:bookmarkEnd w:id="187"/>
    </w:p>
    <w:p w14:paraId="01F04A4C" w14:textId="3D6C9063" w:rsidR="00CE5C65" w:rsidRPr="00015C95" w:rsidRDefault="00CE5C65" w:rsidP="00CE5C65">
      <w:pPr>
        <w:pStyle w:val="NoSpacing"/>
        <w:rPr>
          <w:rFonts w:asciiTheme="minorHAnsi" w:eastAsiaTheme="minorEastAsia" w:hAnsiTheme="minorHAnsi" w:cstheme="minorBidi"/>
          <w:color w:val="000000"/>
          <w:sz w:val="24"/>
          <w:szCs w:val="24"/>
          <w:lang w:val="en-AU" w:eastAsia="en-AU"/>
        </w:rPr>
      </w:pPr>
      <w:r w:rsidRPr="4088681A">
        <w:rPr>
          <w:rFonts w:ascii="Calibri" w:eastAsia="Calibri" w:hAnsi="Calibri" w:cs="Times New Roman"/>
          <w:color w:val="000000" w:themeColor="text2"/>
          <w:sz w:val="24"/>
          <w:szCs w:val="24"/>
          <w:lang w:val="en-AU" w:eastAsia="en-AU"/>
        </w:rPr>
        <w:t xml:space="preserve">To ensure the vulnerability assessment was both comprehensive and credible, a "two-pronged strategy" was employed. This methodology is designed to synthesize high-level, theoretical knowledge with low-level, empirical evidence from real-world systems. As illustrated in </w:t>
      </w:r>
      <w:r w:rsidR="00FA2D2E" w:rsidRPr="4088681A">
        <w:rPr>
          <w:rFonts w:ascii="Calibri" w:eastAsia="Calibri" w:hAnsi="Calibri" w:cs="Times New Roman"/>
          <w:color w:val="000000" w:themeColor="text2"/>
          <w:sz w:val="24"/>
          <w:szCs w:val="24"/>
          <w:lang w:val="en-AU" w:eastAsia="en-AU"/>
        </w:rPr>
        <w:t>the figure</w:t>
      </w:r>
      <w:r w:rsidRPr="4088681A">
        <w:rPr>
          <w:rFonts w:ascii="Calibri" w:eastAsia="Calibri" w:hAnsi="Calibri" w:cs="Times New Roman"/>
          <w:color w:val="000000" w:themeColor="text2"/>
          <w:sz w:val="24"/>
          <w:szCs w:val="24"/>
          <w:lang w:val="en-AU" w:eastAsia="en-AU"/>
        </w:rPr>
        <w:t xml:space="preserve"> </w:t>
      </w:r>
      <w:r w:rsidR="00991AE7">
        <w:rPr>
          <w:rFonts w:ascii="Calibri" w:eastAsia="Calibri" w:hAnsi="Calibri" w:cs="Times New Roman"/>
          <w:color w:val="000000" w:themeColor="text2"/>
          <w:sz w:val="24"/>
          <w:szCs w:val="24"/>
          <w:lang w:val="en-AU" w:eastAsia="en-AU"/>
        </w:rPr>
        <w:t xml:space="preserve">7 </w:t>
      </w:r>
      <w:r w:rsidR="00FA2D2E" w:rsidRPr="4088681A">
        <w:rPr>
          <w:rFonts w:ascii="Calibri" w:eastAsia="Calibri" w:hAnsi="Calibri" w:cs="Times New Roman"/>
          <w:color w:val="000000" w:themeColor="text2"/>
          <w:sz w:val="24"/>
          <w:szCs w:val="24"/>
          <w:lang w:val="en-AU" w:eastAsia="en-AU"/>
        </w:rPr>
        <w:t>below</w:t>
      </w:r>
      <w:r w:rsidRPr="4088681A">
        <w:rPr>
          <w:rFonts w:ascii="Calibri" w:eastAsia="Calibri" w:hAnsi="Calibri" w:cs="Times New Roman"/>
          <w:color w:val="000000" w:themeColor="text2"/>
          <w:sz w:val="24"/>
          <w:szCs w:val="24"/>
          <w:lang w:val="en-AU" w:eastAsia="en-AU"/>
        </w:rPr>
        <w:t>, our approach combines two complementary streams, high-level theoretical insight and low-level empirical data to build a robust vulnerability assessment for EVSE systems.</w:t>
      </w:r>
    </w:p>
    <w:p w14:paraId="7A5EFCAE" w14:textId="495C6229" w:rsidR="00CE5C65" w:rsidRPr="00015C95" w:rsidRDefault="00CE5C65" w:rsidP="00CE5C65">
      <w:pPr>
        <w:pStyle w:val="NoSpacing"/>
        <w:rPr>
          <w:rFonts w:asciiTheme="minorHAnsi" w:eastAsiaTheme="minorEastAsia" w:hAnsiTheme="minorHAnsi" w:cstheme="minorBidi"/>
          <w:color w:val="000000"/>
          <w:sz w:val="24"/>
          <w:szCs w:val="24"/>
          <w:lang w:val="en-AU" w:eastAsia="en-AU"/>
        </w:rPr>
      </w:pPr>
      <w:r w:rsidRPr="4088681A">
        <w:rPr>
          <w:rFonts w:ascii="Calibri" w:eastAsia="Calibri" w:hAnsi="Calibri" w:cs="Times New Roman"/>
          <w:b/>
          <w:color w:val="000000" w:themeColor="text2"/>
          <w:sz w:val="24"/>
          <w:szCs w:val="24"/>
          <w:lang w:val="en-AU" w:eastAsia="en-AU"/>
        </w:rPr>
        <w:t>Literature-Driven Exploration</w:t>
      </w:r>
      <w:r w:rsidRPr="4088681A">
        <w:rPr>
          <w:rFonts w:ascii="Calibri" w:eastAsia="Calibri" w:hAnsi="Calibri" w:cs="Times New Roman"/>
          <w:color w:val="000000" w:themeColor="text2"/>
          <w:sz w:val="24"/>
          <w:szCs w:val="24"/>
          <w:lang w:val="en-AU" w:eastAsia="en-AU"/>
        </w:rPr>
        <w:t>: This "top-down" or qualitative part of the research involved an extensive review of academic papers, cybersecurity vendor reports, and industry white papers. This prong answers the strategic question: "What are the known, theoretical, and architectural weaknesses we should be looking for?" It provides a high-level understanding of the problem space, identifying common flaw patterns and areas of concern highlighted by industry experts.</w:t>
      </w:r>
    </w:p>
    <w:p w14:paraId="487A8263" w14:textId="77777777" w:rsidR="00F26A70" w:rsidRDefault="00CE5C65" w:rsidP="00CE5C65">
      <w:pPr>
        <w:pStyle w:val="NoSpacing"/>
        <w:rPr>
          <w:rFonts w:asciiTheme="minorHAnsi" w:eastAsiaTheme="minorEastAsia" w:hAnsiTheme="minorHAnsi" w:cstheme="minorBidi"/>
          <w:color w:val="000000"/>
          <w:sz w:val="24"/>
          <w:szCs w:val="24"/>
          <w:lang w:val="en-AU" w:eastAsia="en-AU"/>
        </w:rPr>
      </w:pPr>
      <w:r w:rsidRPr="4088681A">
        <w:rPr>
          <w:rFonts w:ascii="Calibri" w:eastAsia="Calibri" w:hAnsi="Calibri" w:cs="Times New Roman"/>
          <w:b/>
          <w:color w:val="000000" w:themeColor="text2"/>
          <w:sz w:val="24"/>
          <w:szCs w:val="24"/>
          <w:lang w:val="en-AU" w:eastAsia="en-AU"/>
        </w:rPr>
        <w:t>Empirical Data Mining</w:t>
      </w:r>
      <w:r w:rsidRPr="4088681A">
        <w:rPr>
          <w:rFonts w:ascii="Calibri" w:eastAsia="Calibri" w:hAnsi="Calibri" w:cs="Times New Roman"/>
          <w:color w:val="000000" w:themeColor="text2"/>
          <w:sz w:val="24"/>
          <w:szCs w:val="24"/>
          <w:lang w:val="en-AU" w:eastAsia="en-AU"/>
        </w:rPr>
        <w:t>: This "bottom-up" or quantitative, evidence-based part of the research involved systematically going through public databases, primarily the National Vulnerability Database (NVD), for CVEs related to EVSE products. This prong answers the tactical question: "What specific, verifiable security holes have actually been discovered in real products?" This data was consolidated into a master register to ensure the analysis is grounded in documented, verifiable security flaws</w:t>
      </w:r>
      <w:r w:rsidR="00F26A70" w:rsidRPr="4088681A">
        <w:rPr>
          <w:rFonts w:ascii="Calibri" w:eastAsia="Calibri" w:hAnsi="Calibri" w:cs="Times New Roman"/>
          <w:color w:val="000000" w:themeColor="text2"/>
          <w:sz w:val="24"/>
          <w:szCs w:val="24"/>
          <w:lang w:val="en-AU" w:eastAsia="en-AU"/>
        </w:rPr>
        <w:t>.</w:t>
      </w:r>
    </w:p>
    <w:p w14:paraId="7AE94EF9" w14:textId="37F8379E" w:rsidR="00CE5C65" w:rsidRPr="00015C95" w:rsidRDefault="00CE5C65" w:rsidP="00CE5C65">
      <w:pPr>
        <w:pStyle w:val="NoSpacing"/>
        <w:rPr>
          <w:rFonts w:asciiTheme="minorHAnsi" w:eastAsiaTheme="minorEastAsia" w:hAnsiTheme="minorHAnsi" w:cstheme="minorBidi"/>
          <w:color w:val="000000"/>
          <w:sz w:val="24"/>
          <w:szCs w:val="24"/>
          <w:lang w:val="en-AU" w:eastAsia="en-AU"/>
        </w:rPr>
      </w:pPr>
      <w:r w:rsidRPr="4088681A">
        <w:rPr>
          <w:rFonts w:ascii="Calibri" w:eastAsia="Calibri" w:hAnsi="Calibri" w:cs="Times New Roman"/>
          <w:b/>
          <w:color w:val="000000" w:themeColor="text2"/>
          <w:sz w:val="24"/>
          <w:szCs w:val="24"/>
          <w:lang w:val="en-AU" w:eastAsia="en-AU"/>
        </w:rPr>
        <w:t>Centralized Vulnerability Repository</w:t>
      </w:r>
      <w:r w:rsidRPr="4088681A">
        <w:rPr>
          <w:rFonts w:ascii="Calibri" w:eastAsia="Calibri" w:hAnsi="Calibri" w:cs="Times New Roman"/>
          <w:color w:val="000000" w:themeColor="text2"/>
          <w:sz w:val="24"/>
          <w:szCs w:val="24"/>
          <w:lang w:val="en-AU" w:eastAsia="en-AU"/>
        </w:rPr>
        <w:t>: Both the theoretical findings and NVD extractions converge in a unified “Vulnerabilities” database</w:t>
      </w:r>
      <w:r w:rsidR="00F26A70" w:rsidRPr="4088681A">
        <w:rPr>
          <w:rFonts w:ascii="Calibri" w:eastAsia="Calibri" w:hAnsi="Calibri" w:cs="Times New Roman"/>
          <w:color w:val="000000" w:themeColor="text2"/>
          <w:sz w:val="24"/>
          <w:szCs w:val="24"/>
          <w:lang w:val="en-AU" w:eastAsia="en-AU"/>
        </w:rPr>
        <w:t xml:space="preserve">. </w:t>
      </w:r>
      <w:r w:rsidRPr="4088681A">
        <w:rPr>
          <w:rFonts w:ascii="Calibri" w:eastAsia="Calibri" w:hAnsi="Calibri" w:cs="Times New Roman"/>
          <w:color w:val="000000" w:themeColor="text2"/>
          <w:sz w:val="24"/>
          <w:szCs w:val="24"/>
          <w:lang w:val="en-AU" w:eastAsia="en-AU"/>
        </w:rPr>
        <w:t>Each entry is normalized with metadata fields for source, CVE ID (where applicable), affected component, and severity rating, to enable consistent analysis.</w:t>
      </w:r>
    </w:p>
    <w:p w14:paraId="0392F1CC" w14:textId="38394BAB" w:rsidR="005F3EA3" w:rsidRPr="00015C95" w:rsidRDefault="00CE5C65" w:rsidP="4088681A">
      <w:pPr>
        <w:pStyle w:val="BodyText"/>
        <w:jc w:val="both"/>
        <w:rPr>
          <w:rFonts w:asciiTheme="minorHAnsi" w:eastAsiaTheme="minorEastAsia" w:hAnsiTheme="minorHAnsi" w:cstheme="minorBidi"/>
        </w:rPr>
      </w:pPr>
      <w:r w:rsidRPr="4088681A">
        <w:rPr>
          <w:b/>
          <w:szCs w:val="24"/>
        </w:rPr>
        <w:t xml:space="preserve">Evidence-Based Threat </w:t>
      </w:r>
      <w:r w:rsidR="005713FD" w:rsidRPr="4088681A">
        <w:rPr>
          <w:b/>
          <w:szCs w:val="24"/>
        </w:rPr>
        <w:t>Modelling</w:t>
      </w:r>
      <w:r w:rsidRPr="4088681A">
        <w:rPr>
          <w:szCs w:val="24"/>
        </w:rPr>
        <w:t>: Finally, the curated repository feeds into our threat-</w:t>
      </w:r>
      <w:r w:rsidR="005713FD" w:rsidRPr="4088681A">
        <w:rPr>
          <w:szCs w:val="24"/>
        </w:rPr>
        <w:t>modelling</w:t>
      </w:r>
      <w:r w:rsidRPr="4088681A">
        <w:rPr>
          <w:szCs w:val="24"/>
        </w:rPr>
        <w:t xml:space="preserve"> engine (bottom of </w:t>
      </w:r>
      <w:r w:rsidR="00FF32A0" w:rsidRPr="4088681A">
        <w:rPr>
          <w:szCs w:val="24"/>
        </w:rPr>
        <w:t>the figure</w:t>
      </w:r>
      <w:r w:rsidRPr="4088681A">
        <w:rPr>
          <w:szCs w:val="24"/>
        </w:rPr>
        <w:t xml:space="preserve"> </w:t>
      </w:r>
      <w:r w:rsidR="00FF32A0" w:rsidRPr="4088681A">
        <w:rPr>
          <w:szCs w:val="24"/>
        </w:rPr>
        <w:t>below</w:t>
      </w:r>
      <w:r w:rsidRPr="4088681A">
        <w:rPr>
          <w:szCs w:val="24"/>
        </w:rPr>
        <w:t>). By anchoring attack scenarios in both conceptual knowledge and real-world incidents, we ensure that downstream risk assessments and mitigation strategies are both comprehensive (covering novel threats) and credible (grounded in empirical evidence</w:t>
      </w:r>
    </w:p>
    <w:p w14:paraId="0F017B62" w14:textId="2F862771" w:rsidR="2C82C4B1" w:rsidRDefault="2C82C4B1" w:rsidP="2C82C4B1">
      <w:pPr>
        <w:pStyle w:val="BodyText"/>
        <w:rPr>
          <w:rFonts w:asciiTheme="minorHAnsi" w:eastAsiaTheme="minorEastAsia" w:hAnsiTheme="minorHAnsi" w:cstheme="minorBidi"/>
          <w:sz w:val="22"/>
        </w:rPr>
      </w:pPr>
    </w:p>
    <w:p w14:paraId="717DD14B" w14:textId="47035D16" w:rsidR="6C4519B9" w:rsidRDefault="6C4519B9" w:rsidP="00E13EFC">
      <w:pPr>
        <w:spacing w:after="200"/>
        <w:jc w:val="center"/>
        <w:rPr>
          <w:rFonts w:asciiTheme="minorHAnsi" w:eastAsiaTheme="minorEastAsia" w:hAnsiTheme="minorHAnsi" w:cstheme="minorBidi"/>
        </w:rPr>
      </w:pPr>
      <w:r>
        <w:rPr>
          <w:noProof/>
        </w:rPr>
        <w:drawing>
          <wp:inline distT="0" distB="0" distL="0" distR="0" wp14:anchorId="3ADB99F0" wp14:editId="15C11210">
            <wp:extent cx="5518544" cy="2411256"/>
            <wp:effectExtent l="19050" t="19050" r="25400" b="27305"/>
            <wp:docPr id="787711300" name="drawing" title="A diagram of a data fl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711300" name="Picture 787711300"/>
                    <pic:cNvPicPr/>
                  </pic:nvPicPr>
                  <pic:blipFill>
                    <a:blip r:embed="rId24">
                      <a:extLst>
                        <a:ext uri="{28A0092B-C50C-407E-A947-70E740481C1C}">
                          <a14:useLocalDpi xmlns:a14="http://schemas.microsoft.com/office/drawing/2010/main"/>
                        </a:ext>
                      </a:extLst>
                    </a:blip>
                    <a:stretch>
                      <a:fillRect/>
                    </a:stretch>
                  </pic:blipFill>
                  <pic:spPr>
                    <a:xfrm>
                      <a:off x="0" y="0"/>
                      <a:ext cx="5518544" cy="2411256"/>
                    </a:xfrm>
                    <a:prstGeom prst="rect">
                      <a:avLst/>
                    </a:prstGeom>
                    <a:ln>
                      <a:solidFill>
                        <a:schemeClr val="tx1"/>
                      </a:solidFill>
                    </a:ln>
                  </pic:spPr>
                </pic:pic>
              </a:graphicData>
            </a:graphic>
          </wp:inline>
        </w:drawing>
      </w:r>
    </w:p>
    <w:p w14:paraId="7CE5A81D" w14:textId="27E6C13B" w:rsidR="6C4519B9" w:rsidRDefault="00640012" w:rsidP="00640012">
      <w:pPr>
        <w:pStyle w:val="Caption"/>
        <w:rPr>
          <w:rFonts w:asciiTheme="minorHAnsi" w:eastAsiaTheme="minorEastAsia" w:hAnsiTheme="minorHAnsi" w:cstheme="minorBidi"/>
        </w:rPr>
      </w:pPr>
      <w:bookmarkStart w:id="188" w:name="_Toc233112213"/>
      <w:r>
        <w:t xml:space="preserve">Figure </w:t>
      </w:r>
      <w:r w:rsidR="00113348">
        <w:fldChar w:fldCharType="begin"/>
      </w:r>
      <w:r w:rsidR="00113348">
        <w:instrText xml:space="preserve"> SEQ Figure \* ARABIC </w:instrText>
      </w:r>
      <w:r w:rsidR="00113348">
        <w:fldChar w:fldCharType="separate"/>
      </w:r>
      <w:r w:rsidR="00F8092D">
        <w:rPr>
          <w:noProof/>
        </w:rPr>
        <w:t>7</w:t>
      </w:r>
      <w:r w:rsidR="00113348">
        <w:rPr>
          <w:noProof/>
        </w:rPr>
        <w:fldChar w:fldCharType="end"/>
      </w:r>
      <w:r w:rsidR="6C4519B9">
        <w:t xml:space="preserve">: </w:t>
      </w:r>
      <w:r w:rsidR="6C4519B9" w:rsidRPr="00875456">
        <w:t>Two-pronged EVSE vulnerability exploration: literature survey and NVD mining converge in a centralized repository for evidence-based threat modelling</w:t>
      </w:r>
      <w:bookmarkEnd w:id="188"/>
    </w:p>
    <w:p w14:paraId="7CC15D44" w14:textId="64A10DE3" w:rsidR="2C82C4B1" w:rsidRDefault="2C82C4B1" w:rsidP="2C82C4B1">
      <w:pPr>
        <w:pStyle w:val="BodyText"/>
        <w:rPr>
          <w:rFonts w:asciiTheme="minorHAnsi" w:eastAsiaTheme="minorEastAsia" w:hAnsiTheme="minorHAnsi" w:cstheme="minorBidi"/>
          <w:sz w:val="22"/>
        </w:rPr>
      </w:pPr>
    </w:p>
    <w:p w14:paraId="52574C65" w14:textId="260C27A7" w:rsidR="00295199" w:rsidRPr="004047AC" w:rsidRDefault="00295199" w:rsidP="004047AC">
      <w:pPr>
        <w:pStyle w:val="BodyText"/>
        <w:rPr>
          <w:rFonts w:asciiTheme="minorHAnsi" w:eastAsiaTheme="minorEastAsia" w:hAnsiTheme="minorHAnsi" w:cstheme="minorBidi"/>
          <w:b/>
          <w:bCs/>
        </w:rPr>
      </w:pPr>
      <w:bookmarkStart w:id="189" w:name="_Toc222954474"/>
      <w:r w:rsidRPr="004047AC">
        <w:rPr>
          <w:b/>
          <w:bCs/>
        </w:rPr>
        <w:t xml:space="preserve">Attack Surface </w:t>
      </w:r>
      <w:bookmarkEnd w:id="189"/>
      <w:r w:rsidR="00686E6A" w:rsidRPr="004047AC">
        <w:rPr>
          <w:b/>
          <w:bCs/>
        </w:rPr>
        <w:t>Categorisation</w:t>
      </w:r>
    </w:p>
    <w:p w14:paraId="2943B840" w14:textId="7469CAD0" w:rsidR="00295199" w:rsidRDefault="00295199" w:rsidP="68D5863A">
      <w:pPr>
        <w:pStyle w:val="BodyText"/>
        <w:spacing w:before="0" w:after="200"/>
        <w:jc w:val="both"/>
        <w:rPr>
          <w:rFonts w:asciiTheme="minorHAnsi" w:eastAsiaTheme="minorEastAsia" w:hAnsiTheme="minorHAnsi" w:cstheme="minorBidi"/>
          <w:szCs w:val="24"/>
        </w:rPr>
      </w:pPr>
      <w:r w:rsidRPr="68D5863A">
        <w:rPr>
          <w:rFonts w:asciiTheme="minorHAnsi" w:eastAsiaTheme="minorEastAsia" w:hAnsiTheme="minorHAnsi" w:cstheme="minorBidi"/>
          <w:szCs w:val="24"/>
        </w:rPr>
        <w:t xml:space="preserve">With </w:t>
      </w:r>
      <w:r w:rsidR="00E93BD5" w:rsidRPr="68D5863A">
        <w:rPr>
          <w:rFonts w:asciiTheme="minorHAnsi" w:eastAsiaTheme="minorEastAsia" w:hAnsiTheme="minorHAnsi" w:cstheme="minorBidi"/>
          <w:szCs w:val="24"/>
        </w:rPr>
        <w:t>vulnerability</w:t>
      </w:r>
      <w:r w:rsidRPr="68D5863A">
        <w:rPr>
          <w:rFonts w:asciiTheme="minorHAnsi" w:eastAsiaTheme="minorEastAsia" w:hAnsiTheme="minorHAnsi" w:cstheme="minorBidi"/>
          <w:szCs w:val="24"/>
        </w:rPr>
        <w:t xml:space="preserve"> exploration from existing </w:t>
      </w:r>
      <w:r w:rsidR="00E93BD5" w:rsidRPr="68D5863A">
        <w:rPr>
          <w:rFonts w:asciiTheme="minorHAnsi" w:eastAsiaTheme="minorEastAsia" w:hAnsiTheme="minorHAnsi" w:cstheme="minorBidi"/>
          <w:szCs w:val="24"/>
        </w:rPr>
        <w:t>literature</w:t>
      </w:r>
      <w:r w:rsidRPr="68D5863A">
        <w:rPr>
          <w:rFonts w:asciiTheme="minorHAnsi" w:eastAsiaTheme="minorEastAsia" w:hAnsiTheme="minorHAnsi" w:cstheme="minorBidi"/>
          <w:szCs w:val="24"/>
        </w:rPr>
        <w:t xml:space="preserve"> and various databases</w:t>
      </w:r>
      <w:r w:rsidR="00E93BD5" w:rsidRPr="68D5863A">
        <w:rPr>
          <w:rFonts w:asciiTheme="minorHAnsi" w:eastAsiaTheme="minorEastAsia" w:hAnsiTheme="minorHAnsi" w:cstheme="minorBidi"/>
          <w:szCs w:val="24"/>
        </w:rPr>
        <w:t>,</w:t>
      </w:r>
      <w:r w:rsidRPr="68D5863A">
        <w:rPr>
          <w:rFonts w:asciiTheme="minorHAnsi" w:eastAsiaTheme="minorEastAsia" w:hAnsiTheme="minorHAnsi" w:cstheme="minorBidi"/>
          <w:szCs w:val="24"/>
        </w:rPr>
        <w:t xml:space="preserve"> followed </w:t>
      </w:r>
      <w:r w:rsidR="00E93BD5" w:rsidRPr="68D5863A">
        <w:rPr>
          <w:rFonts w:asciiTheme="minorHAnsi" w:eastAsiaTheme="minorEastAsia" w:hAnsiTheme="minorHAnsi" w:cstheme="minorBidi"/>
          <w:szCs w:val="24"/>
        </w:rPr>
        <w:t xml:space="preserve">by </w:t>
      </w:r>
      <w:r w:rsidRPr="68D5863A">
        <w:rPr>
          <w:rFonts w:asciiTheme="minorHAnsi" w:eastAsiaTheme="minorEastAsia" w:hAnsiTheme="minorHAnsi" w:cstheme="minorBidi"/>
          <w:szCs w:val="24"/>
        </w:rPr>
        <w:t xml:space="preserve">the EVSE Attack Surface Analysis.  </w:t>
      </w:r>
      <w:r w:rsidR="00A91D77" w:rsidRPr="68D5863A">
        <w:rPr>
          <w:rFonts w:asciiTheme="minorHAnsi" w:eastAsiaTheme="minorEastAsia" w:hAnsiTheme="minorHAnsi" w:cstheme="minorBidi"/>
          <w:szCs w:val="24"/>
        </w:rPr>
        <w:t xml:space="preserve">The attack surface was categorised into </w:t>
      </w:r>
      <w:r w:rsidR="00E93BD5" w:rsidRPr="68D5863A">
        <w:rPr>
          <w:rFonts w:asciiTheme="minorHAnsi" w:eastAsiaTheme="minorEastAsia" w:hAnsiTheme="minorHAnsi" w:cstheme="minorBidi"/>
          <w:szCs w:val="24"/>
        </w:rPr>
        <w:t xml:space="preserve">the </w:t>
      </w:r>
      <w:r w:rsidR="00A91D77" w:rsidRPr="68D5863A">
        <w:rPr>
          <w:rFonts w:asciiTheme="minorHAnsi" w:eastAsiaTheme="minorEastAsia" w:hAnsiTheme="minorHAnsi" w:cstheme="minorBidi"/>
          <w:szCs w:val="24"/>
        </w:rPr>
        <w:t xml:space="preserve">following four </w:t>
      </w:r>
      <w:r w:rsidR="00E93BD5" w:rsidRPr="68D5863A">
        <w:rPr>
          <w:rFonts w:asciiTheme="minorHAnsi" w:eastAsiaTheme="minorEastAsia" w:hAnsiTheme="minorHAnsi" w:cstheme="minorBidi"/>
          <w:szCs w:val="24"/>
        </w:rPr>
        <w:t xml:space="preserve">categories in </w:t>
      </w:r>
      <w:r w:rsidR="009E2074" w:rsidRPr="68D5863A">
        <w:rPr>
          <w:rFonts w:asciiTheme="minorHAnsi" w:eastAsiaTheme="minorEastAsia" w:hAnsiTheme="minorHAnsi" w:cstheme="minorBidi"/>
          <w:szCs w:val="24"/>
        </w:rPr>
        <w:t xml:space="preserve">the </w:t>
      </w:r>
      <w:r w:rsidR="006D27EB" w:rsidRPr="68D5863A">
        <w:rPr>
          <w:rFonts w:asciiTheme="minorHAnsi" w:eastAsiaTheme="minorEastAsia" w:hAnsiTheme="minorHAnsi" w:cstheme="minorBidi"/>
          <w:szCs w:val="24"/>
        </w:rPr>
        <w:t>T</w:t>
      </w:r>
      <w:r w:rsidR="009E2074" w:rsidRPr="68D5863A">
        <w:rPr>
          <w:rFonts w:asciiTheme="minorHAnsi" w:eastAsiaTheme="minorEastAsia" w:hAnsiTheme="minorHAnsi" w:cstheme="minorBidi"/>
          <w:szCs w:val="24"/>
        </w:rPr>
        <w:t>able</w:t>
      </w:r>
      <w:r w:rsidR="11830419" w:rsidRPr="68D5863A">
        <w:rPr>
          <w:rFonts w:asciiTheme="minorHAnsi" w:eastAsiaTheme="minorEastAsia" w:hAnsiTheme="minorHAnsi" w:cstheme="minorBidi"/>
          <w:szCs w:val="24"/>
        </w:rPr>
        <w:t xml:space="preserve"> 3</w:t>
      </w:r>
      <w:r w:rsidR="00E93BD5" w:rsidRPr="68D5863A">
        <w:rPr>
          <w:rFonts w:asciiTheme="minorHAnsi" w:eastAsiaTheme="minorEastAsia" w:hAnsiTheme="minorHAnsi" w:cstheme="minorBidi"/>
          <w:szCs w:val="24"/>
        </w:rPr>
        <w:t>.</w:t>
      </w:r>
      <w:r w:rsidR="4FFBBF0C" w:rsidRPr="68D5863A">
        <w:rPr>
          <w:rFonts w:asciiTheme="minorHAnsi" w:eastAsiaTheme="minorEastAsia" w:hAnsiTheme="minorHAnsi" w:cstheme="minorBidi"/>
          <w:i/>
          <w:color w:val="0E2841"/>
          <w:szCs w:val="24"/>
          <w:lang w:val="en-GB"/>
        </w:rPr>
        <w:t xml:space="preserve"> </w:t>
      </w:r>
    </w:p>
    <w:p w14:paraId="43255F39" w14:textId="37BE5BED" w:rsidR="00295199" w:rsidRDefault="00946632" w:rsidP="00946632">
      <w:pPr>
        <w:pStyle w:val="Caption"/>
        <w:rPr>
          <w:rFonts w:asciiTheme="minorHAnsi" w:eastAsiaTheme="minorEastAsia" w:hAnsiTheme="minorHAnsi" w:cstheme="minorBidi"/>
          <w:szCs w:val="20"/>
        </w:rPr>
      </w:pPr>
      <w:bookmarkStart w:id="190" w:name="_Toc233112257"/>
      <w:r>
        <w:t xml:space="preserve">Table </w:t>
      </w:r>
      <w:r w:rsidR="00113348">
        <w:fldChar w:fldCharType="begin"/>
      </w:r>
      <w:r w:rsidR="00113348">
        <w:instrText xml:space="preserve"> SEQ Table \* ARABIC </w:instrText>
      </w:r>
      <w:r w:rsidR="00113348">
        <w:fldChar w:fldCharType="separate"/>
      </w:r>
      <w:r w:rsidR="00F8092D">
        <w:rPr>
          <w:noProof/>
        </w:rPr>
        <w:t>3</w:t>
      </w:r>
      <w:r w:rsidR="00113348">
        <w:rPr>
          <w:noProof/>
        </w:rPr>
        <w:fldChar w:fldCharType="end"/>
      </w:r>
      <w:r w:rsidR="4FFBBF0C" w:rsidRPr="77E3D583">
        <w:rPr>
          <w:rFonts w:asciiTheme="minorHAnsi" w:eastAsiaTheme="minorEastAsia" w:hAnsiTheme="minorHAnsi" w:cstheme="minorBidi"/>
          <w:i/>
          <w:color w:val="0E2841"/>
          <w:szCs w:val="20"/>
          <w:lang w:val="en-GB"/>
        </w:rPr>
        <w:t>: EVSE-Attack Surface categories</w:t>
      </w:r>
      <w:bookmarkEnd w:id="190"/>
    </w:p>
    <w:tbl>
      <w:tblPr>
        <w:tblStyle w:val="TableCSIRO"/>
        <w:tblW w:w="0" w:type="auto"/>
        <w:tblLook w:val="04A0" w:firstRow="1" w:lastRow="0" w:firstColumn="1" w:lastColumn="0" w:noHBand="0" w:noVBand="1"/>
      </w:tblPr>
      <w:tblGrid>
        <w:gridCol w:w="1786"/>
        <w:gridCol w:w="3839"/>
        <w:gridCol w:w="3900"/>
      </w:tblGrid>
      <w:tr w:rsidR="0075671A" w:rsidRPr="0075671A" w14:paraId="33402DA4" w14:textId="77777777" w:rsidTr="005328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28D0A93" w14:textId="0E7E4F6E" w:rsidR="0075671A" w:rsidRPr="0075671A" w:rsidRDefault="0075671A" w:rsidP="00FB7F94">
            <w:pPr>
              <w:pStyle w:val="BodyText"/>
              <w:spacing w:before="0" w:after="0" w:line="240" w:lineRule="auto"/>
              <w:rPr>
                <w:rFonts w:asciiTheme="minorHAnsi" w:eastAsiaTheme="minorEastAsia" w:hAnsiTheme="minorHAnsi" w:cstheme="minorBidi"/>
                <w:color w:val="FFFFFF" w:themeColor="background1"/>
                <w:sz w:val="20"/>
                <w:szCs w:val="20"/>
              </w:rPr>
            </w:pPr>
          </w:p>
        </w:tc>
        <w:tc>
          <w:tcPr>
            <w:tcW w:w="0" w:type="auto"/>
            <w:hideMark/>
          </w:tcPr>
          <w:p w14:paraId="77DB54A2" w14:textId="6FE0EA82" w:rsidR="0075671A" w:rsidRPr="0075671A" w:rsidRDefault="0075671A" w:rsidP="00FB7F94">
            <w:pPr>
              <w:pStyle w:val="BodyText"/>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1"/>
                <w:sz w:val="20"/>
                <w:szCs w:val="20"/>
              </w:rPr>
            </w:pPr>
          </w:p>
        </w:tc>
        <w:tc>
          <w:tcPr>
            <w:tcW w:w="0" w:type="auto"/>
            <w:hideMark/>
          </w:tcPr>
          <w:p w14:paraId="344AC3A4" w14:textId="78CD2ADF" w:rsidR="0075671A" w:rsidRPr="0075671A" w:rsidRDefault="0075671A" w:rsidP="00FB7F94">
            <w:pPr>
              <w:pStyle w:val="BodyText"/>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1"/>
                <w:sz w:val="20"/>
                <w:szCs w:val="20"/>
              </w:rPr>
            </w:pPr>
          </w:p>
        </w:tc>
      </w:tr>
      <w:tr w:rsidR="0075671A" w:rsidRPr="0075671A" w14:paraId="3F3376E1" w14:textId="77777777" w:rsidTr="00532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23B5DC" w14:textId="77777777" w:rsidR="0075671A" w:rsidRPr="0075671A" w:rsidRDefault="0075671A" w:rsidP="00FB7F94">
            <w:pPr>
              <w:pStyle w:val="BodyText"/>
              <w:spacing w:before="0" w:after="0" w:line="240" w:lineRule="auto"/>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Physical</w:t>
            </w:r>
          </w:p>
        </w:tc>
        <w:tc>
          <w:tcPr>
            <w:tcW w:w="0" w:type="auto"/>
            <w:hideMark/>
          </w:tcPr>
          <w:p w14:paraId="35048520" w14:textId="77777777" w:rsidR="0075671A" w:rsidRPr="0075671A" w:rsidRDefault="0075671A" w:rsidP="00FB7F94">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USB ports, UART/JTAG, weak enclosure locks, payment terminals</w:t>
            </w:r>
          </w:p>
        </w:tc>
        <w:tc>
          <w:tcPr>
            <w:tcW w:w="0" w:type="auto"/>
            <w:hideMark/>
          </w:tcPr>
          <w:p w14:paraId="0973EC0D" w14:textId="77777777" w:rsidR="0075671A" w:rsidRPr="0075671A" w:rsidRDefault="0075671A" w:rsidP="00FB7F94">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Direct firmware tampering, hardware compromise, persistent backdoor</w:t>
            </w:r>
          </w:p>
        </w:tc>
      </w:tr>
      <w:tr w:rsidR="0075671A" w:rsidRPr="0075671A" w14:paraId="3312312E" w14:textId="77777777" w:rsidTr="005328F8">
        <w:tc>
          <w:tcPr>
            <w:cnfStyle w:val="001000000000" w:firstRow="0" w:lastRow="0" w:firstColumn="1" w:lastColumn="0" w:oddVBand="0" w:evenVBand="0" w:oddHBand="0" w:evenHBand="0" w:firstRowFirstColumn="0" w:firstRowLastColumn="0" w:lastRowFirstColumn="0" w:lastRowLastColumn="0"/>
            <w:tcW w:w="0" w:type="auto"/>
            <w:hideMark/>
          </w:tcPr>
          <w:p w14:paraId="34646C82" w14:textId="77777777" w:rsidR="0075671A" w:rsidRPr="0075671A" w:rsidRDefault="0075671A" w:rsidP="00FB7F94">
            <w:pPr>
              <w:pStyle w:val="BodyText"/>
              <w:spacing w:before="0" w:after="0" w:line="240" w:lineRule="auto"/>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Network – Vehicle</w:t>
            </w:r>
          </w:p>
        </w:tc>
        <w:tc>
          <w:tcPr>
            <w:tcW w:w="0" w:type="auto"/>
            <w:hideMark/>
          </w:tcPr>
          <w:p w14:paraId="0BA377BE" w14:textId="77777777" w:rsidR="0075671A" w:rsidRPr="0075671A" w:rsidRDefault="0075671A" w:rsidP="00FB7F94">
            <w:pPr>
              <w:pStyle w:val="BodyText"/>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ISO 15118 PLC interface</w:t>
            </w:r>
          </w:p>
        </w:tc>
        <w:tc>
          <w:tcPr>
            <w:tcW w:w="0" w:type="auto"/>
            <w:hideMark/>
          </w:tcPr>
          <w:p w14:paraId="19357690" w14:textId="77777777" w:rsidR="0075671A" w:rsidRPr="0075671A" w:rsidRDefault="0075671A" w:rsidP="00FB7F94">
            <w:pPr>
              <w:pStyle w:val="BodyText"/>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Malformed packets, cert abuse, edge compromise</w:t>
            </w:r>
          </w:p>
        </w:tc>
      </w:tr>
      <w:tr w:rsidR="0075671A" w:rsidRPr="0075671A" w14:paraId="1D194EB4" w14:textId="77777777" w:rsidTr="00532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F57465" w14:textId="77777777" w:rsidR="0075671A" w:rsidRPr="0075671A" w:rsidRDefault="0075671A" w:rsidP="00FB7F94">
            <w:pPr>
              <w:pStyle w:val="BodyText"/>
              <w:spacing w:before="0" w:after="0" w:line="240" w:lineRule="auto"/>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Network – LAN</w:t>
            </w:r>
          </w:p>
        </w:tc>
        <w:tc>
          <w:tcPr>
            <w:tcW w:w="0" w:type="auto"/>
            <w:hideMark/>
          </w:tcPr>
          <w:p w14:paraId="727F39DA" w14:textId="77777777" w:rsidR="0075671A" w:rsidRPr="0075671A" w:rsidRDefault="0075671A" w:rsidP="00FB7F94">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Wi-Fi, Ethernet, admin portals</w:t>
            </w:r>
          </w:p>
        </w:tc>
        <w:tc>
          <w:tcPr>
            <w:tcW w:w="0" w:type="auto"/>
            <w:hideMark/>
          </w:tcPr>
          <w:p w14:paraId="15DB675E" w14:textId="77777777" w:rsidR="0075671A" w:rsidRPr="0075671A" w:rsidRDefault="0075671A" w:rsidP="00FB7F94">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Weak credentials, lateral movement across chargers</w:t>
            </w:r>
          </w:p>
        </w:tc>
      </w:tr>
      <w:tr w:rsidR="0075671A" w:rsidRPr="0075671A" w14:paraId="6CBC499A" w14:textId="77777777" w:rsidTr="005328F8">
        <w:tc>
          <w:tcPr>
            <w:cnfStyle w:val="001000000000" w:firstRow="0" w:lastRow="0" w:firstColumn="1" w:lastColumn="0" w:oddVBand="0" w:evenVBand="0" w:oddHBand="0" w:evenHBand="0" w:firstRowFirstColumn="0" w:firstRowLastColumn="0" w:lastRowFirstColumn="0" w:lastRowLastColumn="0"/>
            <w:tcW w:w="0" w:type="auto"/>
            <w:hideMark/>
          </w:tcPr>
          <w:p w14:paraId="6EED02CA" w14:textId="77777777" w:rsidR="0075671A" w:rsidRPr="0075671A" w:rsidRDefault="0075671A" w:rsidP="00FB7F94">
            <w:pPr>
              <w:pStyle w:val="BodyText"/>
              <w:spacing w:before="0" w:after="0" w:line="240" w:lineRule="auto"/>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Network – WAN</w:t>
            </w:r>
          </w:p>
        </w:tc>
        <w:tc>
          <w:tcPr>
            <w:tcW w:w="0" w:type="auto"/>
            <w:hideMark/>
          </w:tcPr>
          <w:p w14:paraId="1590F074" w14:textId="77777777" w:rsidR="0075671A" w:rsidRPr="0075671A" w:rsidRDefault="0075671A" w:rsidP="00FB7F94">
            <w:pPr>
              <w:pStyle w:val="BodyText"/>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OCPP (legacy/non-TLS), backend link</w:t>
            </w:r>
          </w:p>
        </w:tc>
        <w:tc>
          <w:tcPr>
            <w:tcW w:w="0" w:type="auto"/>
            <w:hideMark/>
          </w:tcPr>
          <w:p w14:paraId="7465495C" w14:textId="77777777" w:rsidR="0075671A" w:rsidRPr="0075671A" w:rsidRDefault="0075671A" w:rsidP="00FB7F94">
            <w:pPr>
              <w:pStyle w:val="BodyText"/>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MitM, command injection, fleet-wide manipulation</w:t>
            </w:r>
          </w:p>
        </w:tc>
      </w:tr>
      <w:tr w:rsidR="0075671A" w:rsidRPr="0075671A" w14:paraId="7FE0EB7D" w14:textId="77777777" w:rsidTr="00532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608A77" w14:textId="77777777" w:rsidR="0075671A" w:rsidRPr="0075671A" w:rsidRDefault="0075671A" w:rsidP="00FB7F94">
            <w:pPr>
              <w:pStyle w:val="BodyText"/>
              <w:spacing w:before="0" w:after="0" w:line="240" w:lineRule="auto"/>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Software – Embedded</w:t>
            </w:r>
          </w:p>
        </w:tc>
        <w:tc>
          <w:tcPr>
            <w:tcW w:w="0" w:type="auto"/>
            <w:hideMark/>
          </w:tcPr>
          <w:p w14:paraId="28ACB1E7" w14:textId="77777777" w:rsidR="0075671A" w:rsidRPr="0075671A" w:rsidRDefault="0075671A" w:rsidP="00FB7F94">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OS kernel, firmware, protocol stacks</w:t>
            </w:r>
          </w:p>
        </w:tc>
        <w:tc>
          <w:tcPr>
            <w:tcW w:w="0" w:type="auto"/>
            <w:hideMark/>
          </w:tcPr>
          <w:p w14:paraId="0431A704" w14:textId="77777777" w:rsidR="0075671A" w:rsidRPr="0075671A" w:rsidRDefault="0075671A" w:rsidP="00FB7F94">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Device takeover, key extraction, privilege escalation</w:t>
            </w:r>
          </w:p>
        </w:tc>
      </w:tr>
      <w:tr w:rsidR="0075671A" w:rsidRPr="0075671A" w14:paraId="0336B2B3" w14:textId="77777777" w:rsidTr="005328F8">
        <w:tc>
          <w:tcPr>
            <w:cnfStyle w:val="001000000000" w:firstRow="0" w:lastRow="0" w:firstColumn="1" w:lastColumn="0" w:oddVBand="0" w:evenVBand="0" w:oddHBand="0" w:evenHBand="0" w:firstRowFirstColumn="0" w:firstRowLastColumn="0" w:lastRowFirstColumn="0" w:lastRowLastColumn="0"/>
            <w:tcW w:w="0" w:type="auto"/>
            <w:hideMark/>
          </w:tcPr>
          <w:p w14:paraId="72B70C99" w14:textId="77777777" w:rsidR="0075671A" w:rsidRPr="0075671A" w:rsidRDefault="0075671A" w:rsidP="00FB7F94">
            <w:pPr>
              <w:pStyle w:val="BodyText"/>
              <w:spacing w:before="0" w:after="0" w:line="240" w:lineRule="auto"/>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Software – Backend (CSMS)</w:t>
            </w:r>
          </w:p>
        </w:tc>
        <w:tc>
          <w:tcPr>
            <w:tcW w:w="0" w:type="auto"/>
            <w:hideMark/>
          </w:tcPr>
          <w:p w14:paraId="736B42E3" w14:textId="77777777" w:rsidR="0075671A" w:rsidRPr="0075671A" w:rsidRDefault="0075671A" w:rsidP="00FB7F94">
            <w:pPr>
              <w:pStyle w:val="BodyText"/>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Web apps, APIs</w:t>
            </w:r>
          </w:p>
        </w:tc>
        <w:tc>
          <w:tcPr>
            <w:tcW w:w="0" w:type="auto"/>
            <w:hideMark/>
          </w:tcPr>
          <w:p w14:paraId="74F201A9" w14:textId="77777777" w:rsidR="0075671A" w:rsidRPr="0075671A" w:rsidRDefault="0075671A" w:rsidP="00FB7F94">
            <w:pPr>
              <w:pStyle w:val="BodyText"/>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Network-wide compromise via central control plane</w:t>
            </w:r>
          </w:p>
        </w:tc>
      </w:tr>
      <w:tr w:rsidR="0075671A" w:rsidRPr="0075671A" w14:paraId="38FE6171" w14:textId="77777777" w:rsidTr="005328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722BB5" w14:textId="77777777" w:rsidR="0075671A" w:rsidRPr="0075671A" w:rsidRDefault="0075671A" w:rsidP="00FB7F94">
            <w:pPr>
              <w:pStyle w:val="BodyText"/>
              <w:spacing w:before="0" w:after="0" w:line="240" w:lineRule="auto"/>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Human</w:t>
            </w:r>
          </w:p>
        </w:tc>
        <w:tc>
          <w:tcPr>
            <w:tcW w:w="0" w:type="auto"/>
            <w:hideMark/>
          </w:tcPr>
          <w:p w14:paraId="0B039ED1" w14:textId="03FA6D00" w:rsidR="0075671A" w:rsidRPr="0075671A" w:rsidRDefault="0075671A" w:rsidP="00FB7F94">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 xml:space="preserve">Phishing, social engineering, </w:t>
            </w:r>
            <w:r w:rsidR="005328F8" w:rsidRPr="3C9E86E5">
              <w:rPr>
                <w:rFonts w:asciiTheme="minorHAnsi" w:eastAsiaTheme="minorEastAsia" w:hAnsiTheme="minorHAnsi" w:cstheme="minorBidi"/>
                <w:sz w:val="18"/>
                <w:szCs w:val="18"/>
              </w:rPr>
              <w:t xml:space="preserve">and </w:t>
            </w:r>
            <w:r w:rsidRPr="3C9E86E5">
              <w:rPr>
                <w:rFonts w:asciiTheme="minorHAnsi" w:eastAsiaTheme="minorEastAsia" w:hAnsiTheme="minorHAnsi" w:cstheme="minorBidi"/>
                <w:sz w:val="18"/>
                <w:szCs w:val="18"/>
              </w:rPr>
              <w:t>malicious USB</w:t>
            </w:r>
          </w:p>
        </w:tc>
        <w:tc>
          <w:tcPr>
            <w:tcW w:w="0" w:type="auto"/>
            <w:hideMark/>
          </w:tcPr>
          <w:p w14:paraId="24F07D29" w14:textId="77777777" w:rsidR="0075671A" w:rsidRPr="0075671A" w:rsidRDefault="0075671A" w:rsidP="00FB7F94">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Credential theft, insider-enabled attacks</w:t>
            </w:r>
          </w:p>
        </w:tc>
      </w:tr>
      <w:tr w:rsidR="0075671A" w:rsidRPr="0075671A" w14:paraId="4C7CF830" w14:textId="77777777" w:rsidTr="005328F8">
        <w:tc>
          <w:tcPr>
            <w:cnfStyle w:val="001000000000" w:firstRow="0" w:lastRow="0" w:firstColumn="1" w:lastColumn="0" w:oddVBand="0" w:evenVBand="0" w:oddHBand="0" w:evenHBand="0" w:firstRowFirstColumn="0" w:firstRowLastColumn="0" w:lastRowFirstColumn="0" w:lastRowLastColumn="0"/>
            <w:tcW w:w="0" w:type="auto"/>
            <w:hideMark/>
          </w:tcPr>
          <w:p w14:paraId="11ECF3D6" w14:textId="77777777" w:rsidR="0075671A" w:rsidRPr="0075671A" w:rsidRDefault="0075671A" w:rsidP="00FB7F94">
            <w:pPr>
              <w:pStyle w:val="BodyText"/>
              <w:spacing w:before="0" w:after="0" w:line="240" w:lineRule="auto"/>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Supply Chain</w:t>
            </w:r>
          </w:p>
        </w:tc>
        <w:tc>
          <w:tcPr>
            <w:tcW w:w="0" w:type="auto"/>
            <w:hideMark/>
          </w:tcPr>
          <w:p w14:paraId="4A530CAB" w14:textId="77777777" w:rsidR="0075671A" w:rsidRPr="0075671A" w:rsidRDefault="0075671A" w:rsidP="00FB7F94">
            <w:pPr>
              <w:pStyle w:val="BodyText"/>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Malicious firmware updates, compromised libraries, OEM signing keys</w:t>
            </w:r>
          </w:p>
        </w:tc>
        <w:tc>
          <w:tcPr>
            <w:tcW w:w="0" w:type="auto"/>
            <w:hideMark/>
          </w:tcPr>
          <w:p w14:paraId="6F19D13D" w14:textId="77777777" w:rsidR="0075671A" w:rsidRPr="0075671A" w:rsidRDefault="0075671A" w:rsidP="00FB7F94">
            <w:pPr>
              <w:pStyle w:val="BodyText"/>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Trusted update abuse, systemic fleet compromise</w:t>
            </w:r>
          </w:p>
        </w:tc>
      </w:tr>
    </w:tbl>
    <w:p w14:paraId="11171C47" w14:textId="77777777" w:rsidR="00A91D77" w:rsidRDefault="00A91D77" w:rsidP="00C42C63">
      <w:pPr>
        <w:pStyle w:val="BodyText"/>
        <w:rPr>
          <w:rFonts w:asciiTheme="minorHAnsi" w:eastAsiaTheme="minorEastAsia" w:hAnsiTheme="minorHAnsi" w:cstheme="minorBidi"/>
          <w:sz w:val="22"/>
        </w:rPr>
      </w:pPr>
    </w:p>
    <w:p w14:paraId="71D87106" w14:textId="77777777" w:rsidR="001C02C4" w:rsidRDefault="001C02C4" w:rsidP="00C42C63">
      <w:pPr>
        <w:pStyle w:val="BodyText"/>
        <w:rPr>
          <w:rFonts w:asciiTheme="minorHAnsi" w:eastAsiaTheme="minorEastAsia" w:hAnsiTheme="minorHAnsi" w:cstheme="minorBidi"/>
          <w:sz w:val="22"/>
        </w:rPr>
      </w:pPr>
    </w:p>
    <w:p w14:paraId="4D02652A" w14:textId="303E9C3D" w:rsidR="000A08A2" w:rsidRPr="004047AC" w:rsidRDefault="000A08A2" w:rsidP="004047AC">
      <w:pPr>
        <w:pStyle w:val="BodyText"/>
        <w:rPr>
          <w:rFonts w:asciiTheme="minorHAnsi" w:eastAsiaTheme="minorEastAsia" w:hAnsiTheme="minorHAnsi" w:cstheme="minorBidi"/>
          <w:b/>
          <w:bCs/>
        </w:rPr>
      </w:pPr>
      <w:bookmarkStart w:id="191" w:name="_Toc222954475"/>
      <w:r w:rsidRPr="004047AC">
        <w:rPr>
          <w:b/>
          <w:bCs/>
        </w:rPr>
        <w:t>Hybrid Methodology for Threat Modelling</w:t>
      </w:r>
      <w:bookmarkEnd w:id="191"/>
    </w:p>
    <w:p w14:paraId="5F8412EC" w14:textId="7E886EE6" w:rsidR="00F53C93" w:rsidRPr="00F53C93" w:rsidRDefault="00F53C93" w:rsidP="005641B9">
      <w:pPr>
        <w:pStyle w:val="BodyText"/>
        <w:jc w:val="both"/>
        <w:rPr>
          <w:rFonts w:asciiTheme="minorHAnsi" w:eastAsiaTheme="minorEastAsia" w:hAnsiTheme="minorHAnsi" w:cstheme="minorBidi"/>
        </w:rPr>
      </w:pPr>
      <w:r w:rsidRPr="77E3D583">
        <w:rPr>
          <w:szCs w:val="24"/>
        </w:rPr>
        <w:t>Threat modelling for CPS, such as EVSE, differs fundamentally from conventional IT security analysis. In addition to protecting confidentiality, integrity, and availability, CPS environments must ensure safe and stable physical operation. A cyber compromise may therefore propagate across the digital–physical boundary. For example, tampering with charging parameters could bypass protective logic and alter active power delivery, while coordinated denial-of-service or control manipulation could generate feeder overload or grid instability. Such cross-domain consequences require threat analysis to incorporate safety, operational continuity, and stability considerations, consistent with supply-chain and systemic risk observations in critical infrastructure environments [23], [24].</w:t>
      </w:r>
    </w:p>
    <w:p w14:paraId="25973C6C" w14:textId="6B12A81A" w:rsidR="000A08A2" w:rsidRDefault="00F53C93" w:rsidP="005641B9">
      <w:pPr>
        <w:pStyle w:val="BodyText"/>
        <w:jc w:val="both"/>
        <w:rPr>
          <w:rFonts w:asciiTheme="minorHAnsi" w:eastAsiaTheme="minorEastAsia" w:hAnsiTheme="minorHAnsi" w:cstheme="minorBidi"/>
        </w:rPr>
      </w:pPr>
      <w:r w:rsidRPr="77E3D583">
        <w:rPr>
          <w:szCs w:val="24"/>
        </w:rPr>
        <w:t>To address this complexity, a structured hybrid threat modelling approach was adopted. Data Flow Diagrams (DFDs) were first constructed to represent EVSE components, trust boundaries, and control pathways. STRIDE was then systematically applied to each DFD element to enumerate Spoofing, Tampering, Repudiation, Information Disclosure, Denial of Service, and Elevation of Privilege threats [20], [25]. This ensured comprehensive structural coverage of firmware, communication interfaces, and backend orchestration layers. However, STRIDE alone may generate theoretical threats without contextual prioritisation. Therefore, identified threats were mapped to the MITRE ATT&amp;CK</w:t>
      </w:r>
      <w:r w:rsidR="00350E39" w:rsidRPr="77E3D583">
        <w:rPr>
          <w:szCs w:val="24"/>
        </w:rPr>
        <w:t xml:space="preserve"> [2</w:t>
      </w:r>
      <w:r w:rsidR="000B08CC" w:rsidRPr="77E3D583">
        <w:rPr>
          <w:szCs w:val="24"/>
        </w:rPr>
        <w:t>1]</w:t>
      </w:r>
      <w:r w:rsidRPr="77E3D583">
        <w:rPr>
          <w:szCs w:val="24"/>
        </w:rPr>
        <w:t xml:space="preserve"> framework for Industrial Control Systems to align structural weaknesses with documented adversarial tactics such as Modify Control Logic, Valid Accounts misuse, and Inhibit Response Function. This behavioural overlay acted as a realism filter, enabling prioritisation based on observed attacker tradecraft</w:t>
      </w:r>
      <w:r w:rsidR="00647E6F" w:rsidRPr="77E3D583">
        <w:rPr>
          <w:szCs w:val="24"/>
        </w:rPr>
        <w:t xml:space="preserve">. </w:t>
      </w:r>
    </w:p>
    <w:p w14:paraId="2AEC3F3E" w14:textId="77777777" w:rsidR="003E00CF" w:rsidRDefault="003E00CF" w:rsidP="005641B9">
      <w:pPr>
        <w:pStyle w:val="BodyText"/>
        <w:jc w:val="both"/>
        <w:rPr>
          <w:rFonts w:asciiTheme="minorHAnsi" w:eastAsiaTheme="minorEastAsia" w:hAnsiTheme="minorHAnsi" w:cstheme="minorBidi"/>
          <w:sz w:val="22"/>
        </w:rPr>
      </w:pPr>
    </w:p>
    <w:p w14:paraId="3687F09C" w14:textId="7EA26885" w:rsidR="003E00CF" w:rsidRPr="00F0283D" w:rsidRDefault="003E00CF" w:rsidP="004047AC">
      <w:pPr>
        <w:pStyle w:val="Heading3"/>
        <w:rPr>
          <w:rFonts w:asciiTheme="minorHAnsi" w:eastAsiaTheme="minorEastAsia" w:hAnsiTheme="minorHAnsi" w:cstheme="minorBidi"/>
        </w:rPr>
      </w:pPr>
      <w:bookmarkStart w:id="192" w:name="_Toc234310791"/>
      <w:r w:rsidRPr="00F0283D">
        <w:t>TSM Reference Architecture Design</w:t>
      </w:r>
      <w:bookmarkEnd w:id="192"/>
    </w:p>
    <w:p w14:paraId="17F6524A" w14:textId="1D6A4138" w:rsidR="00E60055" w:rsidRDefault="00F0283D" w:rsidP="00F0283D">
      <w:pPr>
        <w:pStyle w:val="BodyText"/>
        <w:jc w:val="both"/>
        <w:rPr>
          <w:rFonts w:asciiTheme="minorHAnsi" w:eastAsiaTheme="minorEastAsia" w:hAnsiTheme="minorHAnsi" w:cstheme="minorBidi"/>
        </w:rPr>
      </w:pPr>
      <w:r w:rsidRPr="4137CFA3">
        <w:rPr>
          <w:szCs w:val="24"/>
        </w:rPr>
        <w:t>Following the completion of structured threat modelling and vulnerability–risk analysis, the project transitioned from risk identification to risk containment through architectural enforcement. The threat modelling phase systematically identified attack surfaces (</w:t>
      </w:r>
      <w:r w:rsidRPr="005713FD">
        <w:rPr>
          <w:b/>
          <w:bCs/>
          <w:i/>
          <w:iCs/>
          <w:szCs w:val="24"/>
        </w:rPr>
        <w:t>physical, firmware, communication, backend, and grid-interaction layers</w:t>
      </w:r>
      <w:r w:rsidRPr="4137CFA3">
        <w:rPr>
          <w:szCs w:val="24"/>
        </w:rPr>
        <w:t>), quantified systemic risks under high DER penetration scenarios, and revealed the potential for coordinated EVSE manipulation to induce grid instability.</w:t>
      </w:r>
      <w:r w:rsidR="007322BD" w:rsidRPr="4137CFA3">
        <w:rPr>
          <w:szCs w:val="24"/>
        </w:rPr>
        <w:t xml:space="preserve"> </w:t>
      </w:r>
      <w:r w:rsidRPr="4137CFA3">
        <w:rPr>
          <w:szCs w:val="24"/>
        </w:rPr>
        <w:t xml:space="preserve">These findings demonstrated that conventional software-centric security controls were insufficient for </w:t>
      </w:r>
      <w:r w:rsidR="007322BD" w:rsidRPr="4137CFA3">
        <w:rPr>
          <w:szCs w:val="24"/>
        </w:rPr>
        <w:t>grid-connected</w:t>
      </w:r>
      <w:r w:rsidRPr="4137CFA3">
        <w:rPr>
          <w:szCs w:val="24"/>
        </w:rPr>
        <w:t xml:space="preserve"> EVSE ecosystems. Instead, a formally enforced trust boundary with hardware-backed control authority was required</w:t>
      </w:r>
      <w:r w:rsidR="00E60055" w:rsidRPr="4137CFA3">
        <w:rPr>
          <w:szCs w:val="24"/>
        </w:rPr>
        <w:t xml:space="preserve">.  </w:t>
      </w:r>
      <w:r w:rsidR="0035080F" w:rsidRPr="4137CFA3">
        <w:rPr>
          <w:szCs w:val="24"/>
        </w:rPr>
        <w:t>Trusted Sovereign Monitor (TSM) Reference Architecture was developed to:</w:t>
      </w:r>
    </w:p>
    <w:p w14:paraId="32374C80" w14:textId="77777777" w:rsidR="00CC2775" w:rsidRPr="00CC2775" w:rsidRDefault="00CC2775" w:rsidP="00CC2775">
      <w:pPr>
        <w:pStyle w:val="BodyText"/>
        <w:numPr>
          <w:ilvl w:val="0"/>
          <w:numId w:val="84"/>
        </w:numPr>
        <w:jc w:val="both"/>
        <w:rPr>
          <w:rFonts w:asciiTheme="minorHAnsi" w:eastAsiaTheme="minorEastAsia" w:hAnsiTheme="minorHAnsi" w:cstheme="minorBidi"/>
        </w:rPr>
      </w:pPr>
      <w:r w:rsidRPr="00CC2775">
        <w:rPr>
          <w:szCs w:val="24"/>
        </w:rPr>
        <w:t>Establish device-level enforceable trust guarantees,</w:t>
      </w:r>
    </w:p>
    <w:p w14:paraId="0E7EA072" w14:textId="77777777" w:rsidR="00CC2775" w:rsidRPr="00CC2775" w:rsidRDefault="00CC2775" w:rsidP="00CC2775">
      <w:pPr>
        <w:pStyle w:val="BodyText"/>
        <w:numPr>
          <w:ilvl w:val="0"/>
          <w:numId w:val="84"/>
        </w:numPr>
        <w:jc w:val="both"/>
        <w:rPr>
          <w:rFonts w:asciiTheme="minorHAnsi" w:eastAsiaTheme="minorEastAsia" w:hAnsiTheme="minorHAnsi" w:cstheme="minorBidi"/>
        </w:rPr>
      </w:pPr>
      <w:r w:rsidRPr="00CC2775">
        <w:rPr>
          <w:szCs w:val="24"/>
        </w:rPr>
        <w:t>Prevent low-integrity domains from directly influencing grid-critical functions,</w:t>
      </w:r>
    </w:p>
    <w:p w14:paraId="2ADDF601" w14:textId="77777777" w:rsidR="00CC2775" w:rsidRPr="00CC2775" w:rsidRDefault="00CC2775" w:rsidP="00CC2775">
      <w:pPr>
        <w:pStyle w:val="BodyText"/>
        <w:numPr>
          <w:ilvl w:val="0"/>
          <w:numId w:val="84"/>
        </w:numPr>
        <w:jc w:val="both"/>
        <w:rPr>
          <w:rFonts w:asciiTheme="minorHAnsi" w:eastAsiaTheme="minorEastAsia" w:hAnsiTheme="minorHAnsi" w:cstheme="minorBidi"/>
        </w:rPr>
      </w:pPr>
      <w:r w:rsidRPr="00CC2775">
        <w:rPr>
          <w:szCs w:val="24"/>
        </w:rPr>
        <w:t>Ensure secure firmware lifecycle management,</w:t>
      </w:r>
    </w:p>
    <w:p w14:paraId="20334DDF" w14:textId="77777777" w:rsidR="00CC2775" w:rsidRPr="00CC2775" w:rsidRDefault="00CC2775" w:rsidP="00CC2775">
      <w:pPr>
        <w:pStyle w:val="BodyText"/>
        <w:numPr>
          <w:ilvl w:val="0"/>
          <w:numId w:val="84"/>
        </w:numPr>
        <w:jc w:val="both"/>
        <w:rPr>
          <w:rFonts w:asciiTheme="minorHAnsi" w:eastAsiaTheme="minorEastAsia" w:hAnsiTheme="minorHAnsi" w:cstheme="minorBidi"/>
        </w:rPr>
      </w:pPr>
      <w:r w:rsidRPr="00CC2775">
        <w:rPr>
          <w:szCs w:val="24"/>
        </w:rPr>
        <w:t>Enforce policy-based grid safety constraints, and</w:t>
      </w:r>
    </w:p>
    <w:p w14:paraId="6B3F1EC1" w14:textId="77777777" w:rsidR="00CC2775" w:rsidRPr="00CC2775" w:rsidRDefault="00CC2775" w:rsidP="00CC2775">
      <w:pPr>
        <w:pStyle w:val="BodyText"/>
        <w:numPr>
          <w:ilvl w:val="0"/>
          <w:numId w:val="84"/>
        </w:numPr>
        <w:jc w:val="both"/>
        <w:rPr>
          <w:rFonts w:asciiTheme="minorHAnsi" w:eastAsiaTheme="minorEastAsia" w:hAnsiTheme="minorHAnsi" w:cstheme="minorBidi"/>
        </w:rPr>
      </w:pPr>
      <w:r w:rsidRPr="00CC2775">
        <w:rPr>
          <w:szCs w:val="24"/>
        </w:rPr>
        <w:t>Provide verifiable runtime monitoring and containment mechanisms.</w:t>
      </w:r>
    </w:p>
    <w:p w14:paraId="6F8BBB89" w14:textId="3C4D9AFB" w:rsidR="00CC2775" w:rsidRPr="00CC2775" w:rsidRDefault="00CC2775" w:rsidP="00CC2775">
      <w:pPr>
        <w:pStyle w:val="BodyText"/>
        <w:jc w:val="both"/>
        <w:rPr>
          <w:rFonts w:asciiTheme="minorHAnsi" w:eastAsiaTheme="minorEastAsia" w:hAnsiTheme="minorHAnsi" w:cstheme="minorBidi"/>
        </w:rPr>
      </w:pPr>
      <w:r w:rsidRPr="00CC2775">
        <w:rPr>
          <w:szCs w:val="24"/>
        </w:rPr>
        <w:t xml:space="preserve">The architecture was designed as a secure-by-design control overlay applicable to large-scale EVSE deployments within </w:t>
      </w:r>
      <w:r w:rsidR="00D932D9" w:rsidRPr="4137CFA3">
        <w:rPr>
          <w:szCs w:val="24"/>
        </w:rPr>
        <w:t xml:space="preserve">the </w:t>
      </w:r>
      <w:r w:rsidRPr="00CC2775">
        <w:rPr>
          <w:szCs w:val="24"/>
        </w:rPr>
        <w:t>DER ecosystem</w:t>
      </w:r>
      <w:r w:rsidR="4C9A97E7" w:rsidRPr="4137CFA3">
        <w:rPr>
          <w:szCs w:val="24"/>
        </w:rPr>
        <w:t>.</w:t>
      </w:r>
    </w:p>
    <w:p w14:paraId="4DE36EA4" w14:textId="77777777" w:rsidR="00F165EB" w:rsidRPr="00F165EB" w:rsidRDefault="00F165EB" w:rsidP="00F165EB">
      <w:pPr>
        <w:pStyle w:val="BodyText"/>
        <w:rPr>
          <w:rFonts w:asciiTheme="minorHAnsi" w:eastAsiaTheme="minorEastAsia" w:hAnsiTheme="minorHAnsi" w:cstheme="minorBidi"/>
          <w:b/>
          <w:szCs w:val="24"/>
        </w:rPr>
      </w:pPr>
      <w:r w:rsidRPr="00F165EB">
        <w:rPr>
          <w:rFonts w:asciiTheme="minorHAnsi" w:eastAsiaTheme="minorEastAsia" w:hAnsiTheme="minorHAnsi" w:cstheme="minorBidi"/>
          <w:b/>
          <w:szCs w:val="24"/>
        </w:rPr>
        <w:t>Architectural Design Principles</w:t>
      </w:r>
    </w:p>
    <w:p w14:paraId="29185ACD" w14:textId="77777777" w:rsidR="00F165EB" w:rsidRPr="00F165EB" w:rsidRDefault="00F165EB" w:rsidP="00F165EB">
      <w:pPr>
        <w:pStyle w:val="BodyText"/>
        <w:jc w:val="both"/>
        <w:rPr>
          <w:rFonts w:asciiTheme="minorHAnsi" w:eastAsiaTheme="minorEastAsia" w:hAnsiTheme="minorHAnsi" w:cstheme="minorBidi"/>
          <w:szCs w:val="24"/>
        </w:rPr>
      </w:pPr>
      <w:r w:rsidRPr="00F165EB">
        <w:rPr>
          <w:rFonts w:asciiTheme="minorHAnsi" w:eastAsiaTheme="minorEastAsia" w:hAnsiTheme="minorHAnsi" w:cstheme="minorBidi"/>
          <w:szCs w:val="24"/>
        </w:rPr>
        <w:t>The TSM Reference Architecture was grounded in the following principles:</w:t>
      </w:r>
    </w:p>
    <w:p w14:paraId="2660406B" w14:textId="77777777" w:rsidR="00F165EB" w:rsidRPr="00F165EB" w:rsidRDefault="00F165EB" w:rsidP="00F165EB">
      <w:pPr>
        <w:pStyle w:val="BodyText"/>
        <w:numPr>
          <w:ilvl w:val="0"/>
          <w:numId w:val="85"/>
        </w:numPr>
        <w:jc w:val="both"/>
        <w:rPr>
          <w:rFonts w:asciiTheme="minorHAnsi" w:eastAsiaTheme="minorEastAsia" w:hAnsiTheme="minorHAnsi" w:cstheme="minorBidi"/>
          <w:szCs w:val="24"/>
        </w:rPr>
      </w:pPr>
      <w:r w:rsidRPr="00F165EB">
        <w:rPr>
          <w:rFonts w:asciiTheme="minorHAnsi" w:eastAsiaTheme="minorEastAsia" w:hAnsiTheme="minorHAnsi" w:cstheme="minorBidi"/>
          <w:b/>
          <w:szCs w:val="24"/>
        </w:rPr>
        <w:t>Reference Monitor &amp; Complete Mediation</w:t>
      </w:r>
      <w:r w:rsidRPr="00F165EB">
        <w:rPr>
          <w:rFonts w:asciiTheme="minorHAnsi" w:eastAsiaTheme="minorEastAsia" w:hAnsiTheme="minorHAnsi" w:cstheme="minorBidi"/>
          <w:szCs w:val="24"/>
        </w:rPr>
        <w:t xml:space="preserve"> – All safety-critical operations must pass through a trusted enforcement layer.</w:t>
      </w:r>
    </w:p>
    <w:p w14:paraId="55940975" w14:textId="77777777" w:rsidR="00F165EB" w:rsidRPr="00F165EB" w:rsidRDefault="00F165EB" w:rsidP="00F165EB">
      <w:pPr>
        <w:pStyle w:val="BodyText"/>
        <w:numPr>
          <w:ilvl w:val="0"/>
          <w:numId w:val="85"/>
        </w:numPr>
        <w:jc w:val="both"/>
        <w:rPr>
          <w:rFonts w:asciiTheme="minorHAnsi" w:eastAsiaTheme="minorEastAsia" w:hAnsiTheme="minorHAnsi" w:cstheme="minorBidi"/>
          <w:szCs w:val="24"/>
        </w:rPr>
      </w:pPr>
      <w:r w:rsidRPr="00F165EB">
        <w:rPr>
          <w:rFonts w:asciiTheme="minorHAnsi" w:eastAsiaTheme="minorEastAsia" w:hAnsiTheme="minorHAnsi" w:cstheme="minorBidi"/>
          <w:b/>
          <w:szCs w:val="24"/>
        </w:rPr>
        <w:t>Formal Domain Separation</w:t>
      </w:r>
      <w:r w:rsidRPr="00F165EB">
        <w:rPr>
          <w:rFonts w:asciiTheme="minorHAnsi" w:eastAsiaTheme="minorEastAsia" w:hAnsiTheme="minorHAnsi" w:cstheme="minorBidi"/>
          <w:szCs w:val="24"/>
        </w:rPr>
        <w:t xml:space="preserve"> – Partition EVSE into Low-Integrity Domain (LID) and High-Integrity Domain (HID).</w:t>
      </w:r>
    </w:p>
    <w:p w14:paraId="2B3BBD60" w14:textId="77777777" w:rsidR="00F165EB" w:rsidRPr="00F165EB" w:rsidRDefault="00F165EB" w:rsidP="00F165EB">
      <w:pPr>
        <w:pStyle w:val="BodyText"/>
        <w:numPr>
          <w:ilvl w:val="0"/>
          <w:numId w:val="85"/>
        </w:numPr>
        <w:jc w:val="both"/>
        <w:rPr>
          <w:rFonts w:asciiTheme="minorHAnsi" w:eastAsiaTheme="minorEastAsia" w:hAnsiTheme="minorHAnsi" w:cstheme="minorBidi"/>
          <w:szCs w:val="24"/>
        </w:rPr>
      </w:pPr>
      <w:r w:rsidRPr="00F165EB">
        <w:rPr>
          <w:rFonts w:asciiTheme="minorHAnsi" w:eastAsiaTheme="minorEastAsia" w:hAnsiTheme="minorHAnsi" w:cstheme="minorBidi"/>
          <w:b/>
          <w:szCs w:val="24"/>
        </w:rPr>
        <w:t>Hardware Root of Trust Anchoring</w:t>
      </w:r>
      <w:r w:rsidRPr="00F165EB">
        <w:rPr>
          <w:rFonts w:asciiTheme="minorHAnsi" w:eastAsiaTheme="minorEastAsia" w:hAnsiTheme="minorHAnsi" w:cstheme="minorBidi"/>
          <w:szCs w:val="24"/>
        </w:rPr>
        <w:t xml:space="preserve"> – Cryptographic and firmware integrity must originate from immutable trust anchors.</w:t>
      </w:r>
    </w:p>
    <w:p w14:paraId="2DDCC69F" w14:textId="77777777" w:rsidR="00F165EB" w:rsidRPr="00F165EB" w:rsidRDefault="00F165EB" w:rsidP="00F165EB">
      <w:pPr>
        <w:pStyle w:val="BodyText"/>
        <w:numPr>
          <w:ilvl w:val="0"/>
          <w:numId w:val="85"/>
        </w:numPr>
        <w:jc w:val="both"/>
        <w:rPr>
          <w:rFonts w:asciiTheme="minorHAnsi" w:eastAsiaTheme="minorEastAsia" w:hAnsiTheme="minorHAnsi" w:cstheme="minorBidi"/>
          <w:szCs w:val="24"/>
        </w:rPr>
      </w:pPr>
      <w:r w:rsidRPr="00F165EB">
        <w:rPr>
          <w:rFonts w:asciiTheme="minorHAnsi" w:eastAsiaTheme="minorEastAsia" w:hAnsiTheme="minorHAnsi" w:cstheme="minorBidi"/>
          <w:b/>
          <w:szCs w:val="24"/>
        </w:rPr>
        <w:t>Grid-Aware Policy Enforcement</w:t>
      </w:r>
      <w:r w:rsidRPr="00F165EB">
        <w:rPr>
          <w:rFonts w:asciiTheme="minorHAnsi" w:eastAsiaTheme="minorEastAsia" w:hAnsiTheme="minorHAnsi" w:cstheme="minorBidi"/>
          <w:szCs w:val="24"/>
        </w:rPr>
        <w:t xml:space="preserve"> – Charging behaviour must comply with feeder-level and DER stability constraints.</w:t>
      </w:r>
    </w:p>
    <w:p w14:paraId="09BC84D4" w14:textId="77777777" w:rsidR="00F165EB" w:rsidRPr="00F165EB" w:rsidRDefault="00F165EB" w:rsidP="00F165EB">
      <w:pPr>
        <w:pStyle w:val="BodyText"/>
        <w:numPr>
          <w:ilvl w:val="0"/>
          <w:numId w:val="85"/>
        </w:numPr>
        <w:jc w:val="both"/>
        <w:rPr>
          <w:rFonts w:asciiTheme="minorHAnsi" w:eastAsiaTheme="minorEastAsia" w:hAnsiTheme="minorHAnsi" w:cstheme="minorBidi"/>
          <w:szCs w:val="24"/>
        </w:rPr>
      </w:pPr>
      <w:r w:rsidRPr="00F165EB">
        <w:rPr>
          <w:rFonts w:asciiTheme="minorHAnsi" w:eastAsiaTheme="minorEastAsia" w:hAnsiTheme="minorHAnsi" w:cstheme="minorBidi"/>
          <w:b/>
          <w:szCs w:val="24"/>
        </w:rPr>
        <w:t>Fail-Safe Operational State Control</w:t>
      </w:r>
      <w:r w:rsidRPr="00F165EB">
        <w:rPr>
          <w:rFonts w:asciiTheme="minorHAnsi" w:eastAsiaTheme="minorEastAsia" w:hAnsiTheme="minorHAnsi" w:cstheme="minorBidi"/>
          <w:szCs w:val="24"/>
        </w:rPr>
        <w:t xml:space="preserve"> – Unsafe conditions trigger deterministic containment mechanisms.</w:t>
      </w:r>
    </w:p>
    <w:p w14:paraId="20405BEF" w14:textId="77777777" w:rsidR="00F165EB" w:rsidRPr="00F165EB" w:rsidRDefault="00F165EB" w:rsidP="00F165EB">
      <w:pPr>
        <w:pStyle w:val="BodyText"/>
        <w:numPr>
          <w:ilvl w:val="0"/>
          <w:numId w:val="85"/>
        </w:numPr>
        <w:jc w:val="both"/>
        <w:rPr>
          <w:rFonts w:asciiTheme="minorHAnsi" w:eastAsiaTheme="minorEastAsia" w:hAnsiTheme="minorHAnsi" w:cstheme="minorBidi"/>
          <w:szCs w:val="24"/>
        </w:rPr>
      </w:pPr>
      <w:r w:rsidRPr="00F165EB">
        <w:rPr>
          <w:rFonts w:asciiTheme="minorHAnsi" w:eastAsiaTheme="minorEastAsia" w:hAnsiTheme="minorHAnsi" w:cstheme="minorBidi"/>
          <w:b/>
          <w:szCs w:val="24"/>
        </w:rPr>
        <w:t>Secure Firmware Lifecycle Governance</w:t>
      </w:r>
      <w:r w:rsidRPr="00F165EB">
        <w:rPr>
          <w:rFonts w:asciiTheme="minorHAnsi" w:eastAsiaTheme="minorEastAsia" w:hAnsiTheme="minorHAnsi" w:cstheme="minorBidi"/>
          <w:szCs w:val="24"/>
        </w:rPr>
        <w:t xml:space="preserve"> – Admission, validation, and activation follow cryptographic attestation.</w:t>
      </w:r>
    </w:p>
    <w:p w14:paraId="6013AC06" w14:textId="0DF00951" w:rsidR="00F165EB" w:rsidRPr="00F165EB" w:rsidRDefault="00F165EB" w:rsidP="00F165EB">
      <w:pPr>
        <w:pStyle w:val="BodyText"/>
        <w:numPr>
          <w:ilvl w:val="0"/>
          <w:numId w:val="85"/>
        </w:numPr>
        <w:jc w:val="both"/>
        <w:rPr>
          <w:rFonts w:asciiTheme="minorHAnsi" w:eastAsiaTheme="minorEastAsia" w:hAnsiTheme="minorHAnsi" w:cstheme="minorBidi"/>
          <w:szCs w:val="24"/>
        </w:rPr>
      </w:pPr>
      <w:r w:rsidRPr="00F165EB">
        <w:rPr>
          <w:rFonts w:asciiTheme="minorHAnsi" w:eastAsiaTheme="minorEastAsia" w:hAnsiTheme="minorHAnsi" w:cstheme="minorBidi"/>
          <w:b/>
          <w:szCs w:val="24"/>
        </w:rPr>
        <w:t>Scalable Fleet Governance</w:t>
      </w:r>
      <w:r w:rsidRPr="00F165EB">
        <w:rPr>
          <w:rFonts w:asciiTheme="minorHAnsi" w:eastAsiaTheme="minorEastAsia" w:hAnsiTheme="minorHAnsi" w:cstheme="minorBidi"/>
          <w:szCs w:val="24"/>
        </w:rPr>
        <w:t xml:space="preserve"> – Architecture supports coordinated fleet-level policy management.</w:t>
      </w:r>
    </w:p>
    <w:p w14:paraId="67F9A16A" w14:textId="7283D53A" w:rsidR="00701DA2" w:rsidRPr="00493595" w:rsidRDefault="00701DA2" w:rsidP="00F87182">
      <w:pPr>
        <w:pStyle w:val="BodyText"/>
        <w:rPr>
          <w:rFonts w:asciiTheme="minorHAnsi" w:eastAsiaTheme="minorEastAsia" w:hAnsiTheme="minorHAnsi" w:cstheme="minorBidi"/>
          <w:b/>
          <w:szCs w:val="24"/>
        </w:rPr>
      </w:pPr>
      <w:r w:rsidRPr="00493595">
        <w:rPr>
          <w:rFonts w:asciiTheme="minorHAnsi" w:eastAsiaTheme="minorEastAsia" w:hAnsiTheme="minorHAnsi" w:cstheme="minorBidi"/>
          <w:b/>
          <w:szCs w:val="24"/>
        </w:rPr>
        <w:t>Steps Involved in TSM Architecture Design</w:t>
      </w:r>
    </w:p>
    <w:p w14:paraId="6EB25525" w14:textId="025D969D" w:rsidR="00701DA2" w:rsidRPr="005713FD" w:rsidRDefault="00701DA2" w:rsidP="00701DA2">
      <w:pPr>
        <w:pStyle w:val="NormalWeb"/>
        <w:rPr>
          <w:rFonts w:ascii="Calibri" w:hAnsi="Calibri"/>
        </w:rPr>
      </w:pPr>
      <w:r w:rsidRPr="4137CFA3">
        <w:rPr>
          <w:rStyle w:val="Strong"/>
          <w:rFonts w:asciiTheme="minorHAnsi" w:eastAsiaTheme="minorEastAsia" w:hAnsiTheme="minorHAnsi" w:cstheme="minorBidi"/>
        </w:rPr>
        <w:t>Step 1 – Threat-to-Control Derivation</w:t>
      </w:r>
      <w:r>
        <w:br/>
      </w:r>
      <w:r w:rsidRPr="005713FD">
        <w:rPr>
          <w:rFonts w:ascii="Calibri" w:hAnsi="Calibri"/>
        </w:rPr>
        <w:t>The first step translated identified vulnerabilities and risk scenarios into explicit architectural control requirements. Attack vectors such as OTA firmware compromise, backend impersonation, coordinated load manipulation, and device tampering were mapped to enforceable control points within the EVSE system. This derivation process distinguished between device-local risks and grid-level systemic exposure, ensuring that architectural safeguards directly addressed the most critical risk amplification pathways identified during threat modelling.</w:t>
      </w:r>
    </w:p>
    <w:p w14:paraId="4A794D06" w14:textId="0826C9E7" w:rsidR="00701DA2" w:rsidRPr="003E6C5A" w:rsidRDefault="00701DA2" w:rsidP="00701DA2">
      <w:pPr>
        <w:pStyle w:val="NormalWeb"/>
        <w:rPr>
          <w:rFonts w:ascii="Calibri" w:hAnsi="Calibri"/>
        </w:rPr>
      </w:pPr>
      <w:r w:rsidRPr="4137CFA3">
        <w:rPr>
          <w:rStyle w:val="Strong"/>
          <w:rFonts w:asciiTheme="minorHAnsi" w:eastAsiaTheme="minorEastAsia" w:hAnsiTheme="minorHAnsi" w:cstheme="minorBidi"/>
        </w:rPr>
        <w:t>Step 2 – Formal Trust Boundary Definition</w:t>
      </w:r>
      <w:r>
        <w:br/>
      </w:r>
      <w:r w:rsidRPr="003E6C5A">
        <w:rPr>
          <w:rFonts w:ascii="Calibri" w:hAnsi="Calibri"/>
        </w:rPr>
        <w:t>A strict trust boundary was established by partitioning the EVSE into a Low-Integrity Domain (</w:t>
      </w:r>
      <w:r w:rsidRPr="00073FBE">
        <w:rPr>
          <w:rFonts w:ascii="Calibri" w:hAnsi="Calibri"/>
          <w:b/>
          <w:bCs/>
          <w:i/>
          <w:iCs/>
        </w:rPr>
        <w:t>LID</w:t>
      </w:r>
      <w:r w:rsidRPr="003E6C5A">
        <w:rPr>
          <w:rFonts w:ascii="Calibri" w:hAnsi="Calibri"/>
        </w:rPr>
        <w:t>) and a High-Integrity Domain (</w:t>
      </w:r>
      <w:r w:rsidRPr="003E6C5A">
        <w:rPr>
          <w:rFonts w:ascii="Calibri" w:hAnsi="Calibri"/>
          <w:b/>
          <w:bCs/>
          <w:i/>
          <w:iCs/>
        </w:rPr>
        <w:t>HID</w:t>
      </w:r>
      <w:r w:rsidRPr="003E6C5A">
        <w:rPr>
          <w:rFonts w:ascii="Calibri" w:hAnsi="Calibri"/>
        </w:rPr>
        <w:t>). The LID contains network-facing components such as communication stacks, OTA update handlers, and user interaction interfaces. The HID contains safety-critical logic, cryptographic validation mechanisms, secure storage, and hardware actuation control. The design ensures that LID components cannot directly influence power delivery, firmware activation, or safety policies without mediation by the HID.</w:t>
      </w:r>
    </w:p>
    <w:p w14:paraId="2A8CBE44" w14:textId="1AF42F91" w:rsidR="00701DA2" w:rsidRPr="00D932D9" w:rsidRDefault="00701DA2" w:rsidP="00701DA2">
      <w:pPr>
        <w:pStyle w:val="NormalWeb"/>
        <w:rPr>
          <w:rFonts w:asciiTheme="minorHAnsi" w:eastAsiaTheme="minorEastAsia" w:hAnsiTheme="minorHAnsi" w:cstheme="minorBidi"/>
        </w:rPr>
      </w:pPr>
      <w:r w:rsidRPr="4137CFA3">
        <w:rPr>
          <w:rStyle w:val="Strong"/>
          <w:rFonts w:asciiTheme="minorHAnsi" w:eastAsiaTheme="minorEastAsia" w:hAnsiTheme="minorHAnsi" w:cstheme="minorBidi"/>
        </w:rPr>
        <w:t>Step 3 – Trusted Sovereign Monitor Core Integration</w:t>
      </w:r>
      <w:r>
        <w:br/>
      </w:r>
      <w:r w:rsidRPr="00073FBE">
        <w:rPr>
          <w:rFonts w:ascii="Calibri" w:hAnsi="Calibri"/>
        </w:rPr>
        <w:t>Within the HID, the Trusted Sovereign Monitor (TSM) was defined as the authoritative decision engine. The TSM integrates a Policy Enforcement Engine for verifying grid safety constraints, a cryptographic engine for signature and certificate validation, secure storage for policy and revocation management, and hardware interface control for enforcing actuation decisions. This integration ensures that all safety-critical decisions are subject to complete mediation through a sovereign enforcement layer.</w:t>
      </w:r>
    </w:p>
    <w:p w14:paraId="746BFD6F" w14:textId="1B24C2DA" w:rsidR="00701DA2" w:rsidRPr="00073FBE" w:rsidRDefault="00701DA2" w:rsidP="00701DA2">
      <w:pPr>
        <w:pStyle w:val="NormalWeb"/>
        <w:rPr>
          <w:rFonts w:ascii="Calibri" w:hAnsi="Calibri"/>
        </w:rPr>
      </w:pPr>
      <w:r w:rsidRPr="4137CFA3">
        <w:rPr>
          <w:rStyle w:val="Strong"/>
          <w:rFonts w:asciiTheme="minorHAnsi" w:eastAsiaTheme="minorEastAsia" w:hAnsiTheme="minorHAnsi" w:cstheme="minorBidi"/>
        </w:rPr>
        <w:t>Step 4 – Secure Firmware Admission Lifecycle Design</w:t>
      </w:r>
      <w:r>
        <w:br/>
      </w:r>
      <w:r w:rsidRPr="00073FBE">
        <w:rPr>
          <w:rFonts w:ascii="Calibri" w:hAnsi="Calibri"/>
        </w:rPr>
        <w:t>A controlled firmware lifecycle was architected to prevent unauthorised code execution. The lifecycle progresses from OTA delivery to LID staging, followed by HID admission validation, flash commit, secure boot verification, and controlled runtime execution. Cryptographic validation occurs before firmware activation, and execution is permitted only after integrity verification and policy compliance checks. This process enforces admission control and prevents compromised firmware from influencing grid-critical functions.</w:t>
      </w:r>
    </w:p>
    <w:p w14:paraId="6DE67725" w14:textId="6B95D65D" w:rsidR="00701DA2" w:rsidRPr="00D932D9" w:rsidRDefault="00701DA2" w:rsidP="00701DA2">
      <w:pPr>
        <w:pStyle w:val="NormalWeb"/>
        <w:rPr>
          <w:rFonts w:asciiTheme="minorHAnsi" w:eastAsiaTheme="minorEastAsia" w:hAnsiTheme="minorHAnsi" w:cstheme="minorBidi"/>
        </w:rPr>
      </w:pPr>
      <w:r w:rsidRPr="4137CFA3">
        <w:rPr>
          <w:rStyle w:val="Strong"/>
          <w:rFonts w:asciiTheme="minorHAnsi" w:eastAsiaTheme="minorEastAsia" w:hAnsiTheme="minorHAnsi" w:cstheme="minorBidi"/>
        </w:rPr>
        <w:t>Step 5 – Grid-Aware Policy Enforcement Embedding</w:t>
      </w:r>
      <w:r>
        <w:br/>
      </w:r>
      <w:r w:rsidRPr="00073FBE">
        <w:rPr>
          <w:rFonts w:ascii="Calibri" w:hAnsi="Calibri"/>
        </w:rPr>
        <w:t>The architecture embeds grid stability constraints directly within the Policy Enforcement Engine. Charging operations are evaluated against predefined safety parameters such as load ramp limits, voltage and frequency deviation thresholds, and aggregation constraints. This ensures that even valid firmware cannot induce unsafe grid behaviour, thereby integrating cyber-security enforcement with power-system stability considerations</w:t>
      </w:r>
      <w:r w:rsidRPr="4137CFA3">
        <w:rPr>
          <w:rFonts w:asciiTheme="minorHAnsi" w:eastAsiaTheme="minorEastAsia" w:hAnsiTheme="minorHAnsi" w:cstheme="minorBidi"/>
        </w:rPr>
        <w:t>.</w:t>
      </w:r>
    </w:p>
    <w:p w14:paraId="3D75AEF8" w14:textId="24D85D60" w:rsidR="00701DA2" w:rsidRPr="00D932D9" w:rsidRDefault="00701DA2" w:rsidP="00701DA2">
      <w:pPr>
        <w:pStyle w:val="NormalWeb"/>
        <w:rPr>
          <w:rFonts w:asciiTheme="minorHAnsi" w:eastAsiaTheme="minorEastAsia" w:hAnsiTheme="minorHAnsi" w:cstheme="minorBidi"/>
        </w:rPr>
      </w:pPr>
      <w:r w:rsidRPr="4137CFA3">
        <w:rPr>
          <w:rStyle w:val="Strong"/>
          <w:rFonts w:asciiTheme="minorHAnsi" w:eastAsiaTheme="minorEastAsia" w:hAnsiTheme="minorHAnsi" w:cstheme="minorBidi"/>
        </w:rPr>
        <w:t>Step 6 – Runtime Monitoring and Containment Logic</w:t>
      </w:r>
      <w:r>
        <w:br/>
      </w:r>
      <w:r w:rsidRPr="00073FBE">
        <w:rPr>
          <w:rFonts w:ascii="Calibri" w:hAnsi="Calibri"/>
        </w:rPr>
        <w:t>Continuous runtime evaluation mechanisms were incorporated within the HID to detect anomalous or policy-violating behaviour. When violations are detected, deterministic containment strategies are triggered, including controlled power derating, isolation of the LID, transition to safe operational states, and secure audit logging. This ensures fail-safe operation under both cyber compromise and abnormal operational conditions.</w:t>
      </w:r>
    </w:p>
    <w:p w14:paraId="66C6228E" w14:textId="56E81D07" w:rsidR="00701DA2" w:rsidRPr="00073FBE" w:rsidRDefault="00701DA2" w:rsidP="00701DA2">
      <w:pPr>
        <w:pStyle w:val="NormalWeb"/>
        <w:rPr>
          <w:rFonts w:ascii="Calibri" w:hAnsi="Calibri"/>
        </w:rPr>
      </w:pPr>
      <w:r w:rsidRPr="4137CFA3">
        <w:rPr>
          <w:rStyle w:val="Strong"/>
          <w:rFonts w:asciiTheme="minorHAnsi" w:eastAsiaTheme="minorEastAsia" w:hAnsiTheme="minorHAnsi" w:cstheme="minorBidi"/>
        </w:rPr>
        <w:t>Step 7 – Alignment with Co-Simulation Validation Framework</w:t>
      </w:r>
      <w:r>
        <w:br/>
      </w:r>
      <w:r w:rsidRPr="00073FBE">
        <w:rPr>
          <w:rFonts w:ascii="Calibri" w:hAnsi="Calibri"/>
        </w:rPr>
        <w:t>Finally, the reference architecture was designed to be experimentally validated within a HELICS-based EVSE–Grid co-simulation environment. Baseline EVSE behaviour without TSM enforcement was compared against TSM-governed behaviour under identical threat injection scenarios. Grid-level stability metrics, including voltage deviation and load ramp characteristics, were used to empirically assess the architectural effectiveness in mitigating systemic DER-induced risk.</w:t>
      </w:r>
    </w:p>
    <w:p w14:paraId="43210358" w14:textId="4B336D00" w:rsidR="0035080F" w:rsidRPr="00073FBE" w:rsidRDefault="00D932D9" w:rsidP="00F0283D">
      <w:pPr>
        <w:pStyle w:val="BodyText"/>
        <w:jc w:val="both"/>
        <w:rPr>
          <w:szCs w:val="24"/>
        </w:rPr>
      </w:pPr>
      <w:r w:rsidRPr="00073FBE">
        <w:rPr>
          <w:szCs w:val="24"/>
        </w:rPr>
        <w:t>Details about the overall TSM design, TSM specifications</w:t>
      </w:r>
      <w:r w:rsidR="005713FD" w:rsidRPr="00073FBE">
        <w:rPr>
          <w:szCs w:val="24"/>
        </w:rPr>
        <w:t>,</w:t>
      </w:r>
      <w:r w:rsidRPr="00073FBE">
        <w:rPr>
          <w:szCs w:val="24"/>
        </w:rPr>
        <w:t xml:space="preserve"> and alignment with </w:t>
      </w:r>
      <w:r w:rsidR="005713FD" w:rsidRPr="00073FBE">
        <w:rPr>
          <w:szCs w:val="24"/>
        </w:rPr>
        <w:t xml:space="preserve">the </w:t>
      </w:r>
      <w:r w:rsidRPr="00073FBE">
        <w:rPr>
          <w:szCs w:val="24"/>
        </w:rPr>
        <w:t xml:space="preserve">co-simulation platform can be found in </w:t>
      </w:r>
      <w:r w:rsidR="70D6165A" w:rsidRPr="00073FBE">
        <w:rPr>
          <w:szCs w:val="24"/>
        </w:rPr>
        <w:t>Technical</w:t>
      </w:r>
      <w:r w:rsidRPr="00073FBE">
        <w:rPr>
          <w:szCs w:val="24"/>
        </w:rPr>
        <w:t xml:space="preserve"> Report 2 (App</w:t>
      </w:r>
      <w:r w:rsidR="005514DD" w:rsidRPr="00073FBE">
        <w:rPr>
          <w:szCs w:val="24"/>
        </w:rPr>
        <w:t>endix- A)</w:t>
      </w:r>
    </w:p>
    <w:p w14:paraId="3925F9C9" w14:textId="74D7A307" w:rsidR="00B352C3" w:rsidRPr="00B352C3" w:rsidRDefault="0088391A" w:rsidP="0078020C">
      <w:pPr>
        <w:pStyle w:val="Heading3"/>
        <w:rPr>
          <w:rFonts w:asciiTheme="minorHAnsi" w:eastAsiaTheme="minorEastAsia" w:hAnsiTheme="minorHAnsi" w:cstheme="minorBidi"/>
        </w:rPr>
      </w:pPr>
      <w:bookmarkStart w:id="193" w:name="_Toc222954476"/>
      <w:bookmarkStart w:id="194" w:name="_Toc234310792"/>
      <w:r>
        <w:t>Phase</w:t>
      </w:r>
      <w:r w:rsidR="00B352C3" w:rsidRPr="00B352C3">
        <w:t xml:space="preserve"> 2: Cyber–Physical Co-Simulation Platform Development</w:t>
      </w:r>
      <w:bookmarkEnd w:id="193"/>
      <w:bookmarkEnd w:id="194"/>
    </w:p>
    <w:p w14:paraId="79091D5A" w14:textId="3552CF39" w:rsidR="007C775B" w:rsidRDefault="00B352C3" w:rsidP="000B08CC">
      <w:pPr>
        <w:jc w:val="both"/>
        <w:rPr>
          <w:rFonts w:asciiTheme="minorHAnsi" w:eastAsiaTheme="minorEastAsia" w:hAnsiTheme="minorHAnsi" w:cstheme="minorBidi"/>
          <w:sz w:val="24"/>
          <w:szCs w:val="24"/>
        </w:rPr>
      </w:pPr>
      <w:r w:rsidRPr="41E3505D">
        <w:rPr>
          <w:sz w:val="24"/>
          <w:szCs w:val="24"/>
        </w:rPr>
        <w:t>To rigorously evaluate the cyber–physical stability implications of EVSE firmware compromise, a high-fidelity co-simulation environment was developed. The objective of Phase 2 was to establish a scientifically controlled baseline model of EVSE infrastructure interacting with a distribution network under realistic operational conditions.</w:t>
      </w:r>
      <w:r w:rsidR="009908A7" w:rsidRPr="41E3505D">
        <w:rPr>
          <w:sz w:val="24"/>
          <w:szCs w:val="24"/>
        </w:rPr>
        <w:t xml:space="preserve"> </w:t>
      </w:r>
      <w:r w:rsidRPr="41E3505D">
        <w:rPr>
          <w:sz w:val="24"/>
          <w:szCs w:val="24"/>
        </w:rPr>
        <w:t>Unlike conventional cybersecurity studies that isolate communication-layer threats, this platform models the full causal chain from firmware logic to aggregate load dynamics and feeder stability behaviour.</w:t>
      </w:r>
      <w:r w:rsidR="009908A7" w:rsidRPr="41E3505D">
        <w:rPr>
          <w:sz w:val="24"/>
          <w:szCs w:val="24"/>
        </w:rPr>
        <w:t xml:space="preserve"> </w:t>
      </w:r>
      <w:r w:rsidR="007C775B" w:rsidRPr="41E3505D">
        <w:rPr>
          <w:sz w:val="24"/>
          <w:szCs w:val="24"/>
        </w:rPr>
        <w:t xml:space="preserve">Complete details about </w:t>
      </w:r>
      <w:r w:rsidR="005713FD">
        <w:rPr>
          <w:sz w:val="24"/>
          <w:szCs w:val="24"/>
        </w:rPr>
        <w:t>the co-simulation</w:t>
      </w:r>
      <w:r w:rsidR="007C775B" w:rsidRPr="41E3505D">
        <w:rPr>
          <w:sz w:val="24"/>
          <w:szCs w:val="24"/>
        </w:rPr>
        <w:t xml:space="preserve"> platform can be viewed in Project  Report  of Phase 2 in Appendix-A. </w:t>
      </w:r>
    </w:p>
    <w:p w14:paraId="354F7BE3" w14:textId="01B0DC89" w:rsidR="00B352C3" w:rsidRPr="00B352C3" w:rsidRDefault="00B352C3" w:rsidP="000B08CC">
      <w:pPr>
        <w:jc w:val="both"/>
        <w:rPr>
          <w:rFonts w:asciiTheme="minorHAnsi" w:eastAsiaTheme="minorEastAsia" w:hAnsiTheme="minorHAnsi" w:cstheme="minorBidi"/>
          <w:sz w:val="24"/>
          <w:szCs w:val="24"/>
        </w:rPr>
      </w:pPr>
      <w:r w:rsidRPr="41E3505D">
        <w:rPr>
          <w:sz w:val="24"/>
          <w:szCs w:val="24"/>
        </w:rPr>
        <w:t>The platform was implemented using a HELICS-based federation architecture, integrating:</w:t>
      </w:r>
    </w:p>
    <w:p w14:paraId="3DFEFE5F" w14:textId="77777777" w:rsidR="00B352C3" w:rsidRPr="00B352C3" w:rsidRDefault="00B352C3" w:rsidP="00846D08">
      <w:pPr>
        <w:pStyle w:val="ListParagraph"/>
        <w:numPr>
          <w:ilvl w:val="0"/>
          <w:numId w:val="21"/>
        </w:numPr>
        <w:rPr>
          <w:rFonts w:asciiTheme="minorHAnsi" w:eastAsiaTheme="minorEastAsia" w:hAnsiTheme="minorHAnsi" w:cstheme="minorBidi"/>
        </w:rPr>
      </w:pPr>
      <w:r w:rsidRPr="00B352C3">
        <w:t>EVSE behavioural models</w:t>
      </w:r>
    </w:p>
    <w:p w14:paraId="68AEC8D9" w14:textId="77777777" w:rsidR="00B352C3" w:rsidRPr="00B352C3" w:rsidRDefault="00B352C3" w:rsidP="00846D08">
      <w:pPr>
        <w:pStyle w:val="ListParagraph"/>
        <w:numPr>
          <w:ilvl w:val="0"/>
          <w:numId w:val="21"/>
        </w:numPr>
        <w:rPr>
          <w:rFonts w:asciiTheme="minorHAnsi" w:eastAsiaTheme="minorEastAsia" w:hAnsiTheme="minorHAnsi" w:cstheme="minorBidi"/>
        </w:rPr>
      </w:pPr>
      <w:r w:rsidRPr="00B352C3">
        <w:t>Electric Vehicle (EV) charging session logic</w:t>
      </w:r>
    </w:p>
    <w:p w14:paraId="2F5B0264" w14:textId="77777777" w:rsidR="00B352C3" w:rsidRPr="00B352C3" w:rsidRDefault="00B352C3" w:rsidP="00846D08">
      <w:pPr>
        <w:pStyle w:val="ListParagraph"/>
        <w:numPr>
          <w:ilvl w:val="0"/>
          <w:numId w:val="21"/>
        </w:numPr>
        <w:rPr>
          <w:rFonts w:asciiTheme="minorHAnsi" w:eastAsiaTheme="minorEastAsia" w:hAnsiTheme="minorHAnsi" w:cstheme="minorBidi"/>
        </w:rPr>
      </w:pPr>
      <w:r w:rsidRPr="00B352C3">
        <w:t>Distribution feeder simulation (OpenDSS)</w:t>
      </w:r>
    </w:p>
    <w:p w14:paraId="7127E735" w14:textId="77777777" w:rsidR="00B352C3" w:rsidRPr="00B352C3" w:rsidRDefault="00B352C3" w:rsidP="00846D08">
      <w:pPr>
        <w:pStyle w:val="ListParagraph"/>
        <w:numPr>
          <w:ilvl w:val="0"/>
          <w:numId w:val="21"/>
        </w:numPr>
        <w:rPr>
          <w:rFonts w:asciiTheme="minorHAnsi" w:eastAsiaTheme="minorEastAsia" w:hAnsiTheme="minorHAnsi" w:cstheme="minorBidi"/>
        </w:rPr>
      </w:pPr>
      <w:r w:rsidRPr="00B352C3">
        <w:t>Backend communication workflows</w:t>
      </w:r>
    </w:p>
    <w:p w14:paraId="31AD654A" w14:textId="77777777" w:rsidR="00B352C3" w:rsidRPr="00B352C3" w:rsidRDefault="00B352C3" w:rsidP="00846D08">
      <w:pPr>
        <w:pStyle w:val="ListParagraph"/>
        <w:numPr>
          <w:ilvl w:val="0"/>
          <w:numId w:val="21"/>
        </w:numPr>
        <w:rPr>
          <w:rFonts w:asciiTheme="minorHAnsi" w:eastAsiaTheme="minorEastAsia" w:hAnsiTheme="minorHAnsi" w:cstheme="minorBidi"/>
        </w:rPr>
      </w:pPr>
      <w:r w:rsidRPr="00B352C3">
        <w:t>Charging Station Management System (CSMS) interactions</w:t>
      </w:r>
    </w:p>
    <w:p w14:paraId="6603AA43" w14:textId="5FE82B1C" w:rsidR="003F4A39" w:rsidRDefault="00B352C3" w:rsidP="00B352C3">
      <w:pPr>
        <w:rPr>
          <w:rFonts w:asciiTheme="minorHAnsi" w:eastAsiaTheme="minorEastAsia" w:hAnsiTheme="minorHAnsi" w:cstheme="minorBidi"/>
          <w:sz w:val="24"/>
          <w:szCs w:val="24"/>
        </w:rPr>
      </w:pPr>
      <w:r w:rsidRPr="41E3505D">
        <w:rPr>
          <w:sz w:val="24"/>
          <w:szCs w:val="24"/>
        </w:rPr>
        <w:t>Time-synchronised co-simulation ensured preservation of cyber–physical causality between control decisions and electrical system response.</w:t>
      </w:r>
    </w:p>
    <w:p w14:paraId="2800CCCB" w14:textId="2F6D4C4C" w:rsidR="001D2504" w:rsidRPr="00141708" w:rsidRDefault="001D2504" w:rsidP="00141708">
      <w:pPr>
        <w:pStyle w:val="BodyText"/>
        <w:rPr>
          <w:rFonts w:asciiTheme="minorHAnsi" w:eastAsiaTheme="minorEastAsia" w:hAnsiTheme="minorHAnsi" w:cstheme="minorBidi"/>
          <w:b/>
          <w:bCs/>
        </w:rPr>
      </w:pPr>
      <w:r w:rsidRPr="00141708">
        <w:rPr>
          <w:b/>
          <w:bCs/>
        </w:rPr>
        <w:t>Stability, Safety, and Security Parameters Modelled</w:t>
      </w:r>
    </w:p>
    <w:p w14:paraId="41BD6016" w14:textId="77618863" w:rsidR="001D2504" w:rsidRDefault="00DF2A7F" w:rsidP="001D2504">
      <w:pPr>
        <w:pStyle w:val="NormalWeb"/>
        <w:rPr>
          <w:rFonts w:asciiTheme="minorHAnsi" w:eastAsiaTheme="minorEastAsia" w:hAnsiTheme="minorHAnsi" w:cstheme="minorBidi"/>
        </w:rPr>
      </w:pPr>
      <w:r w:rsidRPr="41E3505D">
        <w:rPr>
          <w:rFonts w:ascii="Calibri" w:hAnsi="Calibri"/>
        </w:rPr>
        <w:t>The co-simulation platform explicitly incorporated stability-relevant DER parameters and safety constraints</w:t>
      </w:r>
      <w:r w:rsidR="001D2504" w:rsidRPr="41E3505D">
        <w:rPr>
          <w:rFonts w:ascii="Calibri" w:hAnsi="Calibri"/>
        </w:rPr>
        <w:t xml:space="preserve"> summarised in Table </w:t>
      </w:r>
      <w:r w:rsidR="0F75073A" w:rsidRPr="41E3505D">
        <w:rPr>
          <w:rFonts w:ascii="Calibri" w:hAnsi="Calibri"/>
        </w:rPr>
        <w:t>4</w:t>
      </w:r>
      <w:r w:rsidR="001D2504" w:rsidRPr="41E3505D">
        <w:rPr>
          <w:rFonts w:ascii="Calibri" w:hAnsi="Calibri"/>
        </w:rPr>
        <w:t>.</w:t>
      </w:r>
    </w:p>
    <w:p w14:paraId="6F27FE4D" w14:textId="4116F8CE" w:rsidR="6CA933F2" w:rsidRDefault="6CA933F2" w:rsidP="6CA933F2">
      <w:pPr>
        <w:pStyle w:val="NormalWeb"/>
        <w:rPr>
          <w:rFonts w:asciiTheme="minorHAnsi" w:eastAsiaTheme="minorEastAsia" w:hAnsiTheme="minorHAnsi" w:cstheme="minorBidi"/>
          <w:sz w:val="22"/>
          <w:szCs w:val="22"/>
        </w:rPr>
      </w:pPr>
    </w:p>
    <w:p w14:paraId="11840CC3" w14:textId="77777777" w:rsidR="004719F4" w:rsidRDefault="004719F4" w:rsidP="6CA933F2">
      <w:pPr>
        <w:pStyle w:val="NormalWeb"/>
        <w:rPr>
          <w:rFonts w:asciiTheme="minorHAnsi" w:eastAsiaTheme="minorEastAsia" w:hAnsiTheme="minorHAnsi" w:cstheme="minorBidi"/>
          <w:sz w:val="22"/>
          <w:szCs w:val="22"/>
        </w:rPr>
      </w:pPr>
    </w:p>
    <w:p w14:paraId="12C69D21" w14:textId="4DC09178" w:rsidR="3A60F472" w:rsidRPr="00FB7F94" w:rsidRDefault="00946632" w:rsidP="00946632">
      <w:pPr>
        <w:pStyle w:val="Caption"/>
        <w:rPr>
          <w:rFonts w:asciiTheme="minorHAnsi" w:eastAsiaTheme="minorEastAsia" w:hAnsiTheme="minorHAnsi" w:cstheme="minorBidi"/>
        </w:rPr>
      </w:pPr>
      <w:bookmarkStart w:id="195" w:name="_Toc233112258"/>
      <w:r>
        <w:t xml:space="preserve">Table </w:t>
      </w:r>
      <w:r w:rsidR="00113348">
        <w:fldChar w:fldCharType="begin"/>
      </w:r>
      <w:r w:rsidR="00113348">
        <w:instrText xml:space="preserve"> SEQ Table \* ARABIC </w:instrText>
      </w:r>
      <w:r w:rsidR="00113348">
        <w:fldChar w:fldCharType="separate"/>
      </w:r>
      <w:r w:rsidR="00F8092D">
        <w:rPr>
          <w:noProof/>
        </w:rPr>
        <w:t>4</w:t>
      </w:r>
      <w:r w:rsidR="00113348">
        <w:rPr>
          <w:noProof/>
        </w:rPr>
        <w:fldChar w:fldCharType="end"/>
      </w:r>
      <w:r w:rsidR="0088229B" w:rsidRPr="009E2074">
        <w:t>:</w:t>
      </w:r>
      <w:r w:rsidR="0088229B">
        <w:t xml:space="preserve"> Safety and Security parameters modelled in Co-simulation </w:t>
      </w:r>
      <w:r w:rsidR="009E2074">
        <w:t>Platform</w:t>
      </w:r>
      <w:bookmarkEnd w:id="195"/>
    </w:p>
    <w:tbl>
      <w:tblPr>
        <w:tblStyle w:val="TableCSIRO"/>
        <w:tblW w:w="0" w:type="auto"/>
        <w:tblLook w:val="04A0" w:firstRow="1" w:lastRow="0" w:firstColumn="1" w:lastColumn="0" w:noHBand="0" w:noVBand="1"/>
      </w:tblPr>
      <w:tblGrid>
        <w:gridCol w:w="1784"/>
        <w:gridCol w:w="2396"/>
        <w:gridCol w:w="2881"/>
        <w:gridCol w:w="2464"/>
      </w:tblGrid>
      <w:tr w:rsidR="0039650C" w:rsidRPr="00FB7F94" w14:paraId="2B25121D" w14:textId="77777777" w:rsidTr="0039650C">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hideMark/>
          </w:tcPr>
          <w:p w14:paraId="1FB2DAA6" w14:textId="77777777" w:rsidR="001D2504" w:rsidRPr="00FB7F94" w:rsidRDefault="001D2504" w:rsidP="00FB7F94">
            <w:pPr>
              <w:pStyle w:val="BodyText"/>
              <w:spacing w:before="0" w:after="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Category</w:t>
            </w:r>
          </w:p>
        </w:tc>
        <w:tc>
          <w:tcPr>
            <w:tcW w:w="0" w:type="auto"/>
            <w:hideMark/>
          </w:tcPr>
          <w:p w14:paraId="2B7AE0FB" w14:textId="77777777" w:rsidR="001D2504" w:rsidRPr="00FB7F94" w:rsidRDefault="001D2504" w:rsidP="00FB7F94">
            <w:pPr>
              <w:pStyle w:val="BodyText"/>
              <w:spacing w:before="0" w:after="0"/>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Parameter / Function</w:t>
            </w:r>
          </w:p>
        </w:tc>
        <w:tc>
          <w:tcPr>
            <w:tcW w:w="0" w:type="auto"/>
            <w:hideMark/>
          </w:tcPr>
          <w:p w14:paraId="2415CC63" w14:textId="77777777" w:rsidR="001D2504" w:rsidRPr="00FB7F94" w:rsidRDefault="001D2504" w:rsidP="00FB7F94">
            <w:pPr>
              <w:pStyle w:val="BodyText"/>
              <w:spacing w:before="0" w:after="0"/>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Description</w:t>
            </w:r>
          </w:p>
        </w:tc>
        <w:tc>
          <w:tcPr>
            <w:tcW w:w="0" w:type="auto"/>
            <w:hideMark/>
          </w:tcPr>
          <w:p w14:paraId="734EA537" w14:textId="77777777" w:rsidR="001D2504" w:rsidRPr="00FB7F94" w:rsidRDefault="001D2504" w:rsidP="00FB7F94">
            <w:pPr>
              <w:pStyle w:val="BodyText"/>
              <w:spacing w:before="0" w:after="0"/>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Stability Relevance</w:t>
            </w:r>
          </w:p>
        </w:tc>
      </w:tr>
      <w:tr w:rsidR="0039650C" w:rsidRPr="00FB7F94" w14:paraId="6A04972F" w14:textId="77777777" w:rsidTr="0039650C">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0" w:type="auto"/>
            <w:hideMark/>
          </w:tcPr>
          <w:p w14:paraId="4834A200" w14:textId="77777777" w:rsidR="001D2504" w:rsidRPr="00FB7F94" w:rsidRDefault="001D2504" w:rsidP="00FB7F94">
            <w:pPr>
              <w:pStyle w:val="BodyText"/>
              <w:spacing w:before="0" w:after="0"/>
              <w:rPr>
                <w:rFonts w:asciiTheme="minorHAnsi" w:eastAsiaTheme="minorEastAsia" w:hAnsiTheme="minorHAnsi" w:cstheme="minorBidi"/>
                <w:b w:val="0"/>
                <w:color w:val="auto"/>
                <w:sz w:val="18"/>
                <w:szCs w:val="18"/>
              </w:rPr>
            </w:pPr>
            <w:r w:rsidRPr="00FB7F94">
              <w:rPr>
                <w:rFonts w:eastAsiaTheme="majorEastAsia" w:cstheme="majorBidi"/>
                <w:b w:val="0"/>
                <w:bCs w:val="0"/>
                <w:color w:val="auto"/>
                <w:sz w:val="18"/>
                <w:szCs w:val="18"/>
              </w:rPr>
              <w:t>Electrical Variables</w:t>
            </w:r>
          </w:p>
        </w:tc>
        <w:tc>
          <w:tcPr>
            <w:tcW w:w="0" w:type="auto"/>
            <w:hideMark/>
          </w:tcPr>
          <w:p w14:paraId="2637AE12" w14:textId="77777777" w:rsidR="001D2504" w:rsidRPr="00FB7F94" w:rsidRDefault="001D2504" w:rsidP="00FB7F9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Active Power (P)</w:t>
            </w:r>
          </w:p>
        </w:tc>
        <w:tc>
          <w:tcPr>
            <w:tcW w:w="0" w:type="auto"/>
            <w:hideMark/>
          </w:tcPr>
          <w:p w14:paraId="411DBABC" w14:textId="77777777" w:rsidR="001D2504" w:rsidRPr="00FB7F94" w:rsidRDefault="001D2504" w:rsidP="00FB7F9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Real-time EVSE charging power (kW)</w:t>
            </w:r>
          </w:p>
        </w:tc>
        <w:tc>
          <w:tcPr>
            <w:tcW w:w="0" w:type="auto"/>
            <w:hideMark/>
          </w:tcPr>
          <w:p w14:paraId="2C91A21A" w14:textId="77777777" w:rsidR="001D2504" w:rsidRPr="00FB7F94" w:rsidRDefault="001D2504" w:rsidP="00FB7F9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Direct load contribution</w:t>
            </w:r>
          </w:p>
        </w:tc>
      </w:tr>
      <w:tr w:rsidR="0039650C" w:rsidRPr="00FB7F94" w14:paraId="319E2835" w14:textId="77777777" w:rsidTr="0039650C">
        <w:trPr>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4D28DAD0" w14:textId="77777777" w:rsidR="001D2504" w:rsidRPr="00FB7F94" w:rsidRDefault="001D2504" w:rsidP="00FB7F94">
            <w:pPr>
              <w:pStyle w:val="BodyText"/>
              <w:spacing w:before="0" w:after="0"/>
              <w:rPr>
                <w:rFonts w:asciiTheme="minorHAnsi" w:eastAsiaTheme="minorEastAsia" w:hAnsiTheme="minorHAnsi" w:cstheme="minorBidi"/>
                <w:b w:val="0"/>
                <w:color w:val="auto"/>
                <w:sz w:val="18"/>
                <w:szCs w:val="18"/>
              </w:rPr>
            </w:pPr>
          </w:p>
        </w:tc>
        <w:tc>
          <w:tcPr>
            <w:tcW w:w="0" w:type="auto"/>
            <w:hideMark/>
          </w:tcPr>
          <w:p w14:paraId="335F3741" w14:textId="77777777" w:rsidR="001D2504" w:rsidRPr="00FB7F94" w:rsidRDefault="001D2504" w:rsidP="00FB7F9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Reactive Power (Q)</w:t>
            </w:r>
          </w:p>
        </w:tc>
        <w:tc>
          <w:tcPr>
            <w:tcW w:w="0" w:type="auto"/>
            <w:hideMark/>
          </w:tcPr>
          <w:p w14:paraId="66D77C59" w14:textId="77777777" w:rsidR="001D2504" w:rsidRPr="00FB7F94" w:rsidRDefault="001D2504" w:rsidP="00FB7F9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Reactive power exchange</w:t>
            </w:r>
          </w:p>
        </w:tc>
        <w:tc>
          <w:tcPr>
            <w:tcW w:w="0" w:type="auto"/>
            <w:hideMark/>
          </w:tcPr>
          <w:p w14:paraId="73CA43F6" w14:textId="77777777" w:rsidR="001D2504" w:rsidRPr="00FB7F94" w:rsidRDefault="001D2504" w:rsidP="00FB7F9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Voltage regulation impact</w:t>
            </w:r>
          </w:p>
        </w:tc>
      </w:tr>
      <w:tr w:rsidR="0039650C" w:rsidRPr="00FB7F94" w14:paraId="2C026758" w14:textId="77777777" w:rsidTr="0039650C">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0" w:type="auto"/>
            <w:hideMark/>
          </w:tcPr>
          <w:p w14:paraId="1B794C34" w14:textId="77777777" w:rsidR="001D2504" w:rsidRPr="00FB7F94" w:rsidRDefault="001D2504" w:rsidP="00FB7F94">
            <w:pPr>
              <w:pStyle w:val="BodyText"/>
              <w:spacing w:before="0" w:after="0"/>
              <w:rPr>
                <w:rFonts w:asciiTheme="minorHAnsi" w:eastAsiaTheme="minorEastAsia" w:hAnsiTheme="minorHAnsi" w:cstheme="minorBidi"/>
                <w:b w:val="0"/>
                <w:color w:val="auto"/>
                <w:sz w:val="18"/>
                <w:szCs w:val="18"/>
              </w:rPr>
            </w:pPr>
          </w:p>
        </w:tc>
        <w:tc>
          <w:tcPr>
            <w:tcW w:w="0" w:type="auto"/>
            <w:hideMark/>
          </w:tcPr>
          <w:p w14:paraId="176D1D4B" w14:textId="77777777" w:rsidR="001D2504" w:rsidRPr="00FB7F94" w:rsidRDefault="001D2504" w:rsidP="00FB7F9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Aggregate Fleet Load (ΣP)</w:t>
            </w:r>
          </w:p>
        </w:tc>
        <w:tc>
          <w:tcPr>
            <w:tcW w:w="0" w:type="auto"/>
            <w:hideMark/>
          </w:tcPr>
          <w:p w14:paraId="500974C7" w14:textId="77777777" w:rsidR="001D2504" w:rsidRPr="00FB7F94" w:rsidRDefault="001D2504" w:rsidP="00FB7F9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Total charging demand across EVSE fleet</w:t>
            </w:r>
          </w:p>
        </w:tc>
        <w:tc>
          <w:tcPr>
            <w:tcW w:w="0" w:type="auto"/>
            <w:hideMark/>
          </w:tcPr>
          <w:p w14:paraId="15D1C86B" w14:textId="77777777" w:rsidR="001D2504" w:rsidRPr="00FB7F94" w:rsidRDefault="001D2504" w:rsidP="00FB7F9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Feeder loading stress</w:t>
            </w:r>
          </w:p>
        </w:tc>
      </w:tr>
      <w:tr w:rsidR="0039650C" w:rsidRPr="00FB7F94" w14:paraId="114786A6" w14:textId="77777777" w:rsidTr="00EB4E3A">
        <w:trPr>
          <w:trHeight w:val="595"/>
        </w:trPr>
        <w:tc>
          <w:tcPr>
            <w:cnfStyle w:val="001000000000" w:firstRow="0" w:lastRow="0" w:firstColumn="1" w:lastColumn="0" w:oddVBand="0" w:evenVBand="0" w:oddHBand="0" w:evenHBand="0" w:firstRowFirstColumn="0" w:firstRowLastColumn="0" w:lastRowFirstColumn="0" w:lastRowLastColumn="0"/>
            <w:tcW w:w="0" w:type="auto"/>
            <w:hideMark/>
          </w:tcPr>
          <w:p w14:paraId="24A7C515" w14:textId="77777777" w:rsidR="001D2504" w:rsidRPr="00FB7F94" w:rsidRDefault="001D2504" w:rsidP="00FB7F94">
            <w:pPr>
              <w:pStyle w:val="BodyText"/>
              <w:spacing w:before="0" w:after="0"/>
              <w:rPr>
                <w:rFonts w:asciiTheme="minorHAnsi" w:eastAsiaTheme="minorEastAsia" w:hAnsiTheme="minorHAnsi" w:cstheme="minorBidi"/>
                <w:b w:val="0"/>
                <w:color w:val="auto"/>
                <w:sz w:val="18"/>
                <w:szCs w:val="18"/>
              </w:rPr>
            </w:pPr>
          </w:p>
        </w:tc>
        <w:tc>
          <w:tcPr>
            <w:tcW w:w="0" w:type="auto"/>
            <w:hideMark/>
          </w:tcPr>
          <w:p w14:paraId="53407618" w14:textId="77777777" w:rsidR="001D2504" w:rsidRPr="00FB7F94" w:rsidRDefault="001D2504" w:rsidP="00FB7F9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Voltage Deviation (ΔV)</w:t>
            </w:r>
          </w:p>
        </w:tc>
        <w:tc>
          <w:tcPr>
            <w:tcW w:w="0" w:type="auto"/>
            <w:hideMark/>
          </w:tcPr>
          <w:p w14:paraId="6AFF4AC9" w14:textId="77777777" w:rsidR="001D2504" w:rsidRPr="00FB7F94" w:rsidRDefault="001D2504" w:rsidP="00FB7F9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Deviation from nominal voltage</w:t>
            </w:r>
          </w:p>
        </w:tc>
        <w:tc>
          <w:tcPr>
            <w:tcW w:w="0" w:type="auto"/>
            <w:hideMark/>
          </w:tcPr>
          <w:p w14:paraId="5EE4F994" w14:textId="77777777" w:rsidR="001D2504" w:rsidRPr="00FB7F94" w:rsidRDefault="001D2504" w:rsidP="00FB7F9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Distribution regulation compliance</w:t>
            </w:r>
          </w:p>
        </w:tc>
      </w:tr>
      <w:tr w:rsidR="0039650C" w:rsidRPr="00FB7F94" w14:paraId="5000F20A" w14:textId="77777777" w:rsidTr="0039650C">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0" w:type="auto"/>
            <w:hideMark/>
          </w:tcPr>
          <w:p w14:paraId="000546A8" w14:textId="77777777" w:rsidR="001D2504" w:rsidRPr="00FB7F94" w:rsidRDefault="001D2504" w:rsidP="00FB7F94">
            <w:pPr>
              <w:pStyle w:val="BodyText"/>
              <w:spacing w:before="0" w:after="0"/>
              <w:rPr>
                <w:rFonts w:asciiTheme="minorHAnsi" w:eastAsiaTheme="minorEastAsia" w:hAnsiTheme="minorHAnsi" w:cstheme="minorBidi"/>
                <w:b w:val="0"/>
                <w:color w:val="auto"/>
                <w:sz w:val="18"/>
                <w:szCs w:val="18"/>
              </w:rPr>
            </w:pPr>
          </w:p>
        </w:tc>
        <w:tc>
          <w:tcPr>
            <w:tcW w:w="0" w:type="auto"/>
            <w:hideMark/>
          </w:tcPr>
          <w:p w14:paraId="65743EEC" w14:textId="77777777" w:rsidR="001D2504" w:rsidRPr="00FB7F94" w:rsidRDefault="001D2504" w:rsidP="00FB7F9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Frequency Deviation (Δf)</w:t>
            </w:r>
          </w:p>
        </w:tc>
        <w:tc>
          <w:tcPr>
            <w:tcW w:w="0" w:type="auto"/>
            <w:hideMark/>
          </w:tcPr>
          <w:p w14:paraId="379EBDCD" w14:textId="77777777" w:rsidR="001D2504" w:rsidRPr="00FB7F94" w:rsidRDefault="001D2504" w:rsidP="00FB7F9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Frequency response under load change</w:t>
            </w:r>
          </w:p>
        </w:tc>
        <w:tc>
          <w:tcPr>
            <w:tcW w:w="0" w:type="auto"/>
            <w:hideMark/>
          </w:tcPr>
          <w:p w14:paraId="5FE42F8C" w14:textId="77777777" w:rsidR="001D2504" w:rsidRPr="00FB7F94" w:rsidRDefault="001D2504" w:rsidP="00FB7F9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System dynamic stability</w:t>
            </w:r>
          </w:p>
        </w:tc>
      </w:tr>
      <w:tr w:rsidR="0039650C" w:rsidRPr="00FB7F94" w14:paraId="0E23FAD0" w14:textId="77777777" w:rsidTr="0039650C">
        <w:trPr>
          <w:trHeight w:val="648"/>
        </w:trPr>
        <w:tc>
          <w:tcPr>
            <w:cnfStyle w:val="001000000000" w:firstRow="0" w:lastRow="0" w:firstColumn="1" w:lastColumn="0" w:oddVBand="0" w:evenVBand="0" w:oddHBand="0" w:evenHBand="0" w:firstRowFirstColumn="0" w:firstRowLastColumn="0" w:lastRowFirstColumn="0" w:lastRowLastColumn="0"/>
            <w:tcW w:w="0" w:type="auto"/>
            <w:hideMark/>
          </w:tcPr>
          <w:p w14:paraId="4F523DDA" w14:textId="77777777" w:rsidR="001D2504" w:rsidRPr="00FB7F94" w:rsidRDefault="001D2504" w:rsidP="00FB7F94">
            <w:pPr>
              <w:pStyle w:val="BodyText"/>
              <w:spacing w:before="0" w:after="0"/>
              <w:rPr>
                <w:rFonts w:asciiTheme="minorHAnsi" w:eastAsiaTheme="minorEastAsia" w:hAnsiTheme="minorHAnsi" w:cstheme="minorBidi"/>
                <w:b w:val="0"/>
                <w:color w:val="auto"/>
                <w:sz w:val="18"/>
                <w:szCs w:val="18"/>
              </w:rPr>
            </w:pPr>
          </w:p>
        </w:tc>
        <w:tc>
          <w:tcPr>
            <w:tcW w:w="0" w:type="auto"/>
            <w:hideMark/>
          </w:tcPr>
          <w:p w14:paraId="211BB455" w14:textId="77777777" w:rsidR="001D2504" w:rsidRPr="00FB7F94" w:rsidRDefault="001D2504" w:rsidP="00FB7F9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Load Ramp Rate (dP/dt)</w:t>
            </w:r>
          </w:p>
        </w:tc>
        <w:tc>
          <w:tcPr>
            <w:tcW w:w="0" w:type="auto"/>
            <w:hideMark/>
          </w:tcPr>
          <w:p w14:paraId="3EE1D614" w14:textId="77777777" w:rsidR="001D2504" w:rsidRPr="00FB7F94" w:rsidRDefault="001D2504" w:rsidP="00FB7F9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Rate of aggregate power increase</w:t>
            </w:r>
          </w:p>
        </w:tc>
        <w:tc>
          <w:tcPr>
            <w:tcW w:w="0" w:type="auto"/>
            <w:hideMark/>
          </w:tcPr>
          <w:p w14:paraId="78DE95C1" w14:textId="77777777" w:rsidR="001D2504" w:rsidRPr="00FB7F94" w:rsidRDefault="001D2504" w:rsidP="00FB7F9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Transient disturbance indicator</w:t>
            </w:r>
          </w:p>
        </w:tc>
      </w:tr>
      <w:tr w:rsidR="0039650C" w:rsidRPr="00FB7F94" w14:paraId="31E7371A" w14:textId="77777777" w:rsidTr="0039650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hideMark/>
          </w:tcPr>
          <w:p w14:paraId="1559AE0B" w14:textId="77777777" w:rsidR="001D2504" w:rsidRPr="00FB7F94" w:rsidRDefault="001D2504" w:rsidP="00FB7F94">
            <w:pPr>
              <w:pStyle w:val="BodyText"/>
              <w:spacing w:before="0" w:after="0"/>
              <w:rPr>
                <w:rFonts w:asciiTheme="minorHAnsi" w:eastAsiaTheme="minorEastAsia" w:hAnsiTheme="minorHAnsi" w:cstheme="minorBidi"/>
                <w:b w:val="0"/>
                <w:color w:val="auto"/>
                <w:sz w:val="18"/>
                <w:szCs w:val="18"/>
              </w:rPr>
            </w:pPr>
          </w:p>
        </w:tc>
        <w:tc>
          <w:tcPr>
            <w:tcW w:w="0" w:type="auto"/>
            <w:hideMark/>
          </w:tcPr>
          <w:p w14:paraId="2C76A37B" w14:textId="77777777" w:rsidR="001D2504" w:rsidRPr="00FB7F94" w:rsidRDefault="001D2504" w:rsidP="00FB7F9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Transformer Loading (%)</w:t>
            </w:r>
          </w:p>
        </w:tc>
        <w:tc>
          <w:tcPr>
            <w:tcW w:w="0" w:type="auto"/>
            <w:hideMark/>
          </w:tcPr>
          <w:p w14:paraId="5E6A6419" w14:textId="77777777" w:rsidR="001D2504" w:rsidRPr="00FB7F94" w:rsidRDefault="001D2504" w:rsidP="00FB7F9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Percentage utilisation</w:t>
            </w:r>
          </w:p>
        </w:tc>
        <w:tc>
          <w:tcPr>
            <w:tcW w:w="0" w:type="auto"/>
            <w:hideMark/>
          </w:tcPr>
          <w:p w14:paraId="328EF8B0" w14:textId="77777777" w:rsidR="001D2504" w:rsidRPr="00FB7F94" w:rsidRDefault="001D2504" w:rsidP="00FB7F9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Thermal stress constraint</w:t>
            </w:r>
          </w:p>
        </w:tc>
      </w:tr>
      <w:tr w:rsidR="0039650C" w:rsidRPr="00FB7F94" w14:paraId="5E9DC38A" w14:textId="77777777" w:rsidTr="0039650C">
        <w:trPr>
          <w:trHeight w:val="648"/>
        </w:trPr>
        <w:tc>
          <w:tcPr>
            <w:cnfStyle w:val="001000000000" w:firstRow="0" w:lastRow="0" w:firstColumn="1" w:lastColumn="0" w:oddVBand="0" w:evenVBand="0" w:oddHBand="0" w:evenHBand="0" w:firstRowFirstColumn="0" w:firstRowLastColumn="0" w:lastRowFirstColumn="0" w:lastRowLastColumn="0"/>
            <w:tcW w:w="0" w:type="auto"/>
            <w:hideMark/>
          </w:tcPr>
          <w:p w14:paraId="0E39BF02" w14:textId="77777777" w:rsidR="001D2504" w:rsidRPr="00FB7F94" w:rsidRDefault="001D2504" w:rsidP="00FB7F94">
            <w:pPr>
              <w:pStyle w:val="BodyText"/>
              <w:spacing w:before="0" w:after="0"/>
              <w:rPr>
                <w:rFonts w:asciiTheme="minorHAnsi" w:eastAsiaTheme="minorEastAsia" w:hAnsiTheme="minorHAnsi" w:cstheme="minorBidi"/>
                <w:b w:val="0"/>
                <w:color w:val="auto"/>
                <w:sz w:val="18"/>
                <w:szCs w:val="18"/>
              </w:rPr>
            </w:pPr>
            <w:r w:rsidRPr="00FB7F94">
              <w:rPr>
                <w:rFonts w:eastAsiaTheme="majorEastAsia" w:cstheme="majorBidi"/>
                <w:b w:val="0"/>
                <w:bCs w:val="0"/>
                <w:color w:val="auto"/>
                <w:sz w:val="18"/>
                <w:szCs w:val="18"/>
              </w:rPr>
              <w:t>EVSE Operational Logic</w:t>
            </w:r>
          </w:p>
        </w:tc>
        <w:tc>
          <w:tcPr>
            <w:tcW w:w="0" w:type="auto"/>
            <w:hideMark/>
          </w:tcPr>
          <w:p w14:paraId="58616C0B" w14:textId="77777777" w:rsidR="001D2504" w:rsidRPr="00FB7F94" w:rsidRDefault="001D2504" w:rsidP="00FB7F9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Charging Power Limits</w:t>
            </w:r>
          </w:p>
        </w:tc>
        <w:tc>
          <w:tcPr>
            <w:tcW w:w="0" w:type="auto"/>
            <w:hideMark/>
          </w:tcPr>
          <w:p w14:paraId="2C7AC44E" w14:textId="77777777" w:rsidR="001D2504" w:rsidRPr="00FB7F94" w:rsidRDefault="001D2504" w:rsidP="00FB7F9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Configured max kW (7, 11, 22 kW)</w:t>
            </w:r>
          </w:p>
        </w:tc>
        <w:tc>
          <w:tcPr>
            <w:tcW w:w="0" w:type="auto"/>
            <w:hideMark/>
          </w:tcPr>
          <w:p w14:paraId="7CC9A3CC" w14:textId="77777777" w:rsidR="001D2504" w:rsidRPr="00FB7F94" w:rsidRDefault="001D2504" w:rsidP="00FB7F9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Aggregate demand control</w:t>
            </w:r>
          </w:p>
        </w:tc>
      </w:tr>
      <w:tr w:rsidR="0039650C" w:rsidRPr="00FB7F94" w14:paraId="4025A303" w14:textId="77777777" w:rsidTr="0039650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hideMark/>
          </w:tcPr>
          <w:p w14:paraId="65637DD7" w14:textId="77777777" w:rsidR="001D2504" w:rsidRPr="00FB7F94" w:rsidRDefault="001D2504" w:rsidP="00FB7F94">
            <w:pPr>
              <w:pStyle w:val="BodyText"/>
              <w:spacing w:before="0" w:after="0"/>
              <w:rPr>
                <w:rFonts w:asciiTheme="minorHAnsi" w:eastAsiaTheme="minorEastAsia" w:hAnsiTheme="minorHAnsi" w:cstheme="minorBidi"/>
                <w:b w:val="0"/>
                <w:color w:val="auto"/>
                <w:sz w:val="18"/>
                <w:szCs w:val="18"/>
              </w:rPr>
            </w:pPr>
          </w:p>
        </w:tc>
        <w:tc>
          <w:tcPr>
            <w:tcW w:w="0" w:type="auto"/>
            <w:hideMark/>
          </w:tcPr>
          <w:p w14:paraId="34DF92D9" w14:textId="77777777" w:rsidR="001D2504" w:rsidRPr="00FB7F94" w:rsidRDefault="001D2504" w:rsidP="00FB7F9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Ramp-Up Profiles</w:t>
            </w:r>
          </w:p>
        </w:tc>
        <w:tc>
          <w:tcPr>
            <w:tcW w:w="0" w:type="auto"/>
            <w:hideMark/>
          </w:tcPr>
          <w:p w14:paraId="00115E56" w14:textId="77777777" w:rsidR="001D2504" w:rsidRPr="00FB7F94" w:rsidRDefault="001D2504" w:rsidP="00FB7F9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Power increase gradient</w:t>
            </w:r>
          </w:p>
        </w:tc>
        <w:tc>
          <w:tcPr>
            <w:tcW w:w="0" w:type="auto"/>
            <w:hideMark/>
          </w:tcPr>
          <w:p w14:paraId="355CB201" w14:textId="77777777" w:rsidR="001D2504" w:rsidRPr="00FB7F94" w:rsidRDefault="001D2504" w:rsidP="00FB7F9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Feeder shock mitigation</w:t>
            </w:r>
          </w:p>
        </w:tc>
      </w:tr>
      <w:tr w:rsidR="0039650C" w:rsidRPr="00FB7F94" w14:paraId="4AD7272D" w14:textId="77777777" w:rsidTr="0039650C">
        <w:trPr>
          <w:trHeight w:val="661"/>
        </w:trPr>
        <w:tc>
          <w:tcPr>
            <w:cnfStyle w:val="001000000000" w:firstRow="0" w:lastRow="0" w:firstColumn="1" w:lastColumn="0" w:oddVBand="0" w:evenVBand="0" w:oddHBand="0" w:evenHBand="0" w:firstRowFirstColumn="0" w:firstRowLastColumn="0" w:lastRowFirstColumn="0" w:lastRowLastColumn="0"/>
            <w:tcW w:w="0" w:type="auto"/>
            <w:hideMark/>
          </w:tcPr>
          <w:p w14:paraId="7EEB789C" w14:textId="77777777" w:rsidR="001D2504" w:rsidRPr="00FB7F94" w:rsidRDefault="001D2504" w:rsidP="00FB7F94">
            <w:pPr>
              <w:pStyle w:val="BodyText"/>
              <w:spacing w:before="0" w:after="0"/>
              <w:rPr>
                <w:rFonts w:asciiTheme="minorHAnsi" w:eastAsiaTheme="minorEastAsia" w:hAnsiTheme="minorHAnsi" w:cstheme="minorBidi"/>
                <w:b w:val="0"/>
                <w:color w:val="auto"/>
                <w:sz w:val="18"/>
                <w:szCs w:val="18"/>
              </w:rPr>
            </w:pPr>
          </w:p>
        </w:tc>
        <w:tc>
          <w:tcPr>
            <w:tcW w:w="0" w:type="auto"/>
            <w:hideMark/>
          </w:tcPr>
          <w:p w14:paraId="2A7F06AA" w14:textId="77777777" w:rsidR="001D2504" w:rsidRPr="00FB7F94" w:rsidRDefault="001D2504" w:rsidP="00FB7F9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SoC-Based Charging Behaviour</w:t>
            </w:r>
          </w:p>
        </w:tc>
        <w:tc>
          <w:tcPr>
            <w:tcW w:w="0" w:type="auto"/>
            <w:hideMark/>
          </w:tcPr>
          <w:p w14:paraId="662F6353" w14:textId="77777777" w:rsidR="001D2504" w:rsidRPr="00FB7F94" w:rsidRDefault="001D2504" w:rsidP="00FB7F9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Dynamic load based on battery state</w:t>
            </w:r>
          </w:p>
        </w:tc>
        <w:tc>
          <w:tcPr>
            <w:tcW w:w="0" w:type="auto"/>
            <w:hideMark/>
          </w:tcPr>
          <w:p w14:paraId="43025080" w14:textId="77777777" w:rsidR="001D2504" w:rsidRPr="00FB7F94" w:rsidRDefault="001D2504" w:rsidP="00FB7F9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Realistic demand modelling</w:t>
            </w:r>
          </w:p>
        </w:tc>
      </w:tr>
      <w:tr w:rsidR="0039650C" w:rsidRPr="00FB7F94" w14:paraId="3D972106" w14:textId="77777777" w:rsidTr="0039650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hideMark/>
          </w:tcPr>
          <w:p w14:paraId="3B06B9AC" w14:textId="77777777" w:rsidR="001D2504" w:rsidRPr="00FB7F94" w:rsidRDefault="001D2504" w:rsidP="00FB7F94">
            <w:pPr>
              <w:pStyle w:val="BodyText"/>
              <w:spacing w:before="0" w:after="0"/>
              <w:rPr>
                <w:rFonts w:asciiTheme="minorHAnsi" w:eastAsiaTheme="minorEastAsia" w:hAnsiTheme="minorHAnsi" w:cstheme="minorBidi"/>
                <w:b w:val="0"/>
                <w:color w:val="auto"/>
                <w:sz w:val="18"/>
                <w:szCs w:val="18"/>
              </w:rPr>
            </w:pPr>
          </w:p>
        </w:tc>
        <w:tc>
          <w:tcPr>
            <w:tcW w:w="0" w:type="auto"/>
            <w:hideMark/>
          </w:tcPr>
          <w:p w14:paraId="0C0DCA8A" w14:textId="77777777" w:rsidR="001D2504" w:rsidRPr="00FB7F94" w:rsidRDefault="001D2504" w:rsidP="00FB7F9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Session Start/Stop Events</w:t>
            </w:r>
          </w:p>
        </w:tc>
        <w:tc>
          <w:tcPr>
            <w:tcW w:w="0" w:type="auto"/>
            <w:hideMark/>
          </w:tcPr>
          <w:p w14:paraId="081FB573" w14:textId="77777777" w:rsidR="001D2504" w:rsidRPr="00FB7F94" w:rsidRDefault="001D2504" w:rsidP="00FB7F9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Charging concurrency timing</w:t>
            </w:r>
          </w:p>
        </w:tc>
        <w:tc>
          <w:tcPr>
            <w:tcW w:w="0" w:type="auto"/>
            <w:hideMark/>
          </w:tcPr>
          <w:p w14:paraId="4380C1C9" w14:textId="77777777" w:rsidR="001D2504" w:rsidRPr="00FB7F94" w:rsidRDefault="001D2504" w:rsidP="00FB7F9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Synchronisation risk</w:t>
            </w:r>
          </w:p>
        </w:tc>
      </w:tr>
      <w:tr w:rsidR="0039650C" w:rsidRPr="00FB7F94" w14:paraId="3155B2BD" w14:textId="77777777" w:rsidTr="0039650C">
        <w:trPr>
          <w:trHeight w:val="648"/>
        </w:trPr>
        <w:tc>
          <w:tcPr>
            <w:cnfStyle w:val="001000000000" w:firstRow="0" w:lastRow="0" w:firstColumn="1" w:lastColumn="0" w:oddVBand="0" w:evenVBand="0" w:oddHBand="0" w:evenHBand="0" w:firstRowFirstColumn="0" w:firstRowLastColumn="0" w:lastRowFirstColumn="0" w:lastRowLastColumn="0"/>
            <w:tcW w:w="0" w:type="auto"/>
            <w:hideMark/>
          </w:tcPr>
          <w:p w14:paraId="69DAB752" w14:textId="77777777" w:rsidR="001D2504" w:rsidRPr="00FB7F94" w:rsidRDefault="001D2504" w:rsidP="00FB7F94">
            <w:pPr>
              <w:pStyle w:val="BodyText"/>
              <w:spacing w:before="0" w:after="0"/>
              <w:rPr>
                <w:rFonts w:asciiTheme="minorHAnsi" w:eastAsiaTheme="minorEastAsia" w:hAnsiTheme="minorHAnsi" w:cstheme="minorBidi"/>
                <w:b w:val="0"/>
                <w:color w:val="auto"/>
                <w:sz w:val="18"/>
                <w:szCs w:val="18"/>
              </w:rPr>
            </w:pPr>
            <w:r w:rsidRPr="00FB7F94">
              <w:rPr>
                <w:rFonts w:eastAsiaTheme="majorEastAsia" w:cstheme="majorBidi"/>
                <w:b w:val="0"/>
                <w:bCs w:val="0"/>
                <w:color w:val="auto"/>
                <w:sz w:val="18"/>
                <w:szCs w:val="18"/>
              </w:rPr>
              <w:t>Cyber–Physical Controls</w:t>
            </w:r>
          </w:p>
        </w:tc>
        <w:tc>
          <w:tcPr>
            <w:tcW w:w="0" w:type="auto"/>
            <w:hideMark/>
          </w:tcPr>
          <w:p w14:paraId="06B7C452" w14:textId="77777777" w:rsidR="001D2504" w:rsidRPr="00FB7F94" w:rsidRDefault="001D2504" w:rsidP="00FB7F9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Firmware Behaviour Logic</w:t>
            </w:r>
          </w:p>
        </w:tc>
        <w:tc>
          <w:tcPr>
            <w:tcW w:w="0" w:type="auto"/>
            <w:hideMark/>
          </w:tcPr>
          <w:p w14:paraId="52F3371C" w14:textId="77777777" w:rsidR="001D2504" w:rsidRPr="00FB7F94" w:rsidRDefault="001D2504" w:rsidP="00FB7F9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Charging limit enforcement rules</w:t>
            </w:r>
          </w:p>
        </w:tc>
        <w:tc>
          <w:tcPr>
            <w:tcW w:w="0" w:type="auto"/>
            <w:hideMark/>
          </w:tcPr>
          <w:p w14:paraId="57960549" w14:textId="77777777" w:rsidR="001D2504" w:rsidRPr="00FB7F94" w:rsidRDefault="001D2504" w:rsidP="00FB7F9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Integrity-dependent behaviour</w:t>
            </w:r>
          </w:p>
        </w:tc>
      </w:tr>
      <w:tr w:rsidR="0039650C" w:rsidRPr="00FB7F94" w14:paraId="18DDE3FD" w14:textId="77777777" w:rsidTr="0039650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hideMark/>
          </w:tcPr>
          <w:p w14:paraId="3FB6C1BF" w14:textId="77777777" w:rsidR="001D2504" w:rsidRPr="00FB7F94" w:rsidRDefault="001D2504" w:rsidP="00FB7F94">
            <w:pPr>
              <w:pStyle w:val="BodyText"/>
              <w:spacing w:before="0" w:after="0"/>
              <w:rPr>
                <w:rFonts w:asciiTheme="minorHAnsi" w:eastAsiaTheme="minorEastAsia" w:hAnsiTheme="minorHAnsi" w:cstheme="minorBidi"/>
                <w:b w:val="0"/>
                <w:color w:val="auto"/>
                <w:sz w:val="18"/>
                <w:szCs w:val="18"/>
              </w:rPr>
            </w:pPr>
          </w:p>
        </w:tc>
        <w:tc>
          <w:tcPr>
            <w:tcW w:w="0" w:type="auto"/>
            <w:hideMark/>
          </w:tcPr>
          <w:p w14:paraId="613381FE" w14:textId="77777777" w:rsidR="001D2504" w:rsidRPr="00FB7F94" w:rsidRDefault="001D2504" w:rsidP="00FB7F9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Backend Command Handling</w:t>
            </w:r>
          </w:p>
        </w:tc>
        <w:tc>
          <w:tcPr>
            <w:tcW w:w="0" w:type="auto"/>
            <w:hideMark/>
          </w:tcPr>
          <w:p w14:paraId="100EE3AA" w14:textId="77777777" w:rsidR="001D2504" w:rsidRPr="00FB7F94" w:rsidRDefault="001D2504" w:rsidP="00FB7F9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OCPP-based control messages</w:t>
            </w:r>
          </w:p>
        </w:tc>
        <w:tc>
          <w:tcPr>
            <w:tcW w:w="0" w:type="auto"/>
            <w:hideMark/>
          </w:tcPr>
          <w:p w14:paraId="2640A3F0" w14:textId="77777777" w:rsidR="001D2504" w:rsidRPr="00FB7F94" w:rsidRDefault="001D2504" w:rsidP="00FB7F9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Remote actuation pathway</w:t>
            </w:r>
          </w:p>
        </w:tc>
      </w:tr>
      <w:tr w:rsidR="0039650C" w:rsidRPr="00FB7F94" w14:paraId="246CD17D" w14:textId="77777777" w:rsidTr="0039650C">
        <w:trPr>
          <w:trHeight w:val="432"/>
        </w:trPr>
        <w:tc>
          <w:tcPr>
            <w:cnfStyle w:val="001000000000" w:firstRow="0" w:lastRow="0" w:firstColumn="1" w:lastColumn="0" w:oddVBand="0" w:evenVBand="0" w:oddHBand="0" w:evenHBand="0" w:firstRowFirstColumn="0" w:firstRowLastColumn="0" w:lastRowFirstColumn="0" w:lastRowLastColumn="0"/>
            <w:tcW w:w="0" w:type="auto"/>
            <w:hideMark/>
          </w:tcPr>
          <w:p w14:paraId="1380246C" w14:textId="77777777" w:rsidR="001D2504" w:rsidRPr="00FB7F94" w:rsidRDefault="001D2504" w:rsidP="00FB7F94">
            <w:pPr>
              <w:pStyle w:val="BodyText"/>
              <w:spacing w:before="0" w:after="0"/>
              <w:rPr>
                <w:rFonts w:asciiTheme="minorHAnsi" w:eastAsiaTheme="minorEastAsia" w:hAnsiTheme="minorHAnsi" w:cstheme="minorBidi"/>
                <w:b w:val="0"/>
                <w:color w:val="auto"/>
                <w:sz w:val="18"/>
                <w:szCs w:val="18"/>
              </w:rPr>
            </w:pPr>
          </w:p>
        </w:tc>
        <w:tc>
          <w:tcPr>
            <w:tcW w:w="0" w:type="auto"/>
            <w:hideMark/>
          </w:tcPr>
          <w:p w14:paraId="36020FF6" w14:textId="77777777" w:rsidR="001D2504" w:rsidRPr="00FB7F94" w:rsidRDefault="001D2504" w:rsidP="00FB7F9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Protection Thresholds</w:t>
            </w:r>
          </w:p>
        </w:tc>
        <w:tc>
          <w:tcPr>
            <w:tcW w:w="0" w:type="auto"/>
            <w:hideMark/>
          </w:tcPr>
          <w:p w14:paraId="082B2A36" w14:textId="77777777" w:rsidR="001D2504" w:rsidRPr="00FB7F94" w:rsidRDefault="001D2504" w:rsidP="00FB7F9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Overcurrent / voltage logic</w:t>
            </w:r>
          </w:p>
        </w:tc>
        <w:tc>
          <w:tcPr>
            <w:tcW w:w="0" w:type="auto"/>
            <w:hideMark/>
          </w:tcPr>
          <w:p w14:paraId="7AFF04EC" w14:textId="77777777" w:rsidR="001D2504" w:rsidRPr="00FB7F94" w:rsidRDefault="001D2504" w:rsidP="00FB7F9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Safety boundary enforcement</w:t>
            </w:r>
          </w:p>
        </w:tc>
      </w:tr>
      <w:tr w:rsidR="0039650C" w:rsidRPr="00FB7F94" w14:paraId="75A1ED1F" w14:textId="77777777" w:rsidTr="0039650C">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0" w:type="auto"/>
            <w:hideMark/>
          </w:tcPr>
          <w:p w14:paraId="7DAD76B5" w14:textId="77777777" w:rsidR="001D2504" w:rsidRPr="00FB7F94" w:rsidRDefault="001D2504" w:rsidP="00FB7F94">
            <w:pPr>
              <w:pStyle w:val="BodyText"/>
              <w:spacing w:before="0" w:after="0"/>
              <w:rPr>
                <w:rFonts w:asciiTheme="minorHAnsi" w:eastAsiaTheme="minorEastAsia" w:hAnsiTheme="minorHAnsi" w:cstheme="minorBidi"/>
                <w:b w:val="0"/>
                <w:color w:val="auto"/>
                <w:sz w:val="18"/>
                <w:szCs w:val="18"/>
              </w:rPr>
            </w:pPr>
          </w:p>
        </w:tc>
        <w:tc>
          <w:tcPr>
            <w:tcW w:w="0" w:type="auto"/>
            <w:hideMark/>
          </w:tcPr>
          <w:p w14:paraId="02AFF6D8" w14:textId="77777777" w:rsidR="001D2504" w:rsidRPr="00FB7F94" w:rsidRDefault="001D2504" w:rsidP="00FB7F9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Synchronised Activation Scenarios</w:t>
            </w:r>
          </w:p>
        </w:tc>
        <w:tc>
          <w:tcPr>
            <w:tcW w:w="0" w:type="auto"/>
            <w:hideMark/>
          </w:tcPr>
          <w:p w14:paraId="339D5DF6" w14:textId="77777777" w:rsidR="001D2504" w:rsidRPr="00FB7F94" w:rsidRDefault="001D2504" w:rsidP="00FB7F9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Fleet-level load coordination</w:t>
            </w:r>
          </w:p>
        </w:tc>
        <w:tc>
          <w:tcPr>
            <w:tcW w:w="0" w:type="auto"/>
            <w:hideMark/>
          </w:tcPr>
          <w:p w14:paraId="372A87A1" w14:textId="77777777" w:rsidR="001D2504" w:rsidRPr="00FB7F94" w:rsidRDefault="001D2504" w:rsidP="00FB7F9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DER stability risk</w:t>
            </w:r>
          </w:p>
        </w:tc>
      </w:tr>
      <w:tr w:rsidR="0039650C" w:rsidRPr="00FB7F94" w14:paraId="5DA27931" w14:textId="77777777" w:rsidTr="0039650C">
        <w:trPr>
          <w:trHeight w:val="432"/>
        </w:trPr>
        <w:tc>
          <w:tcPr>
            <w:cnfStyle w:val="001000000000" w:firstRow="0" w:lastRow="0" w:firstColumn="1" w:lastColumn="0" w:oddVBand="0" w:evenVBand="0" w:oddHBand="0" w:evenHBand="0" w:firstRowFirstColumn="0" w:firstRowLastColumn="0" w:lastRowFirstColumn="0" w:lastRowLastColumn="0"/>
            <w:tcW w:w="0" w:type="auto"/>
            <w:hideMark/>
          </w:tcPr>
          <w:p w14:paraId="6012C2F5" w14:textId="77777777" w:rsidR="001D2504" w:rsidRPr="00FB7F94" w:rsidRDefault="001D2504" w:rsidP="00FB7F94">
            <w:pPr>
              <w:pStyle w:val="BodyText"/>
              <w:spacing w:before="0" w:after="0"/>
              <w:rPr>
                <w:rFonts w:asciiTheme="minorHAnsi" w:eastAsiaTheme="minorEastAsia" w:hAnsiTheme="minorHAnsi" w:cstheme="minorBidi"/>
                <w:b w:val="0"/>
                <w:color w:val="auto"/>
                <w:sz w:val="18"/>
                <w:szCs w:val="18"/>
              </w:rPr>
            </w:pPr>
            <w:r w:rsidRPr="00FB7F94">
              <w:rPr>
                <w:rFonts w:eastAsiaTheme="majorEastAsia" w:cstheme="majorBidi"/>
                <w:b w:val="0"/>
                <w:bCs w:val="0"/>
                <w:color w:val="auto"/>
                <w:sz w:val="18"/>
                <w:szCs w:val="18"/>
              </w:rPr>
              <w:t>Observability Metrics</w:t>
            </w:r>
          </w:p>
        </w:tc>
        <w:tc>
          <w:tcPr>
            <w:tcW w:w="0" w:type="auto"/>
            <w:hideMark/>
          </w:tcPr>
          <w:p w14:paraId="4ACE2538" w14:textId="77777777" w:rsidR="001D2504" w:rsidRPr="00FB7F94" w:rsidRDefault="001D2504" w:rsidP="00FB7F9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Firmware Admission State</w:t>
            </w:r>
          </w:p>
        </w:tc>
        <w:tc>
          <w:tcPr>
            <w:tcW w:w="0" w:type="auto"/>
            <w:hideMark/>
          </w:tcPr>
          <w:p w14:paraId="6176A49E" w14:textId="77777777" w:rsidR="001D2504" w:rsidRPr="00FB7F94" w:rsidRDefault="001D2504" w:rsidP="00FB7F9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Acceptance/rejection logging</w:t>
            </w:r>
          </w:p>
        </w:tc>
        <w:tc>
          <w:tcPr>
            <w:tcW w:w="0" w:type="auto"/>
            <w:hideMark/>
          </w:tcPr>
          <w:p w14:paraId="1F9621FC" w14:textId="77777777" w:rsidR="001D2504" w:rsidRPr="00FB7F94" w:rsidRDefault="001D2504" w:rsidP="00FB7F9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Security traceability</w:t>
            </w:r>
          </w:p>
        </w:tc>
      </w:tr>
      <w:tr w:rsidR="0039650C" w:rsidRPr="00FB7F94" w14:paraId="3F99CF1B" w14:textId="77777777" w:rsidTr="0039650C">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0" w:type="auto"/>
            <w:hideMark/>
          </w:tcPr>
          <w:p w14:paraId="3D1032EE" w14:textId="77777777" w:rsidR="001D2504" w:rsidRPr="00FB7F94" w:rsidRDefault="001D2504" w:rsidP="00FB7F94">
            <w:pPr>
              <w:pStyle w:val="BodyText"/>
              <w:spacing w:before="0" w:after="0"/>
              <w:rPr>
                <w:rFonts w:asciiTheme="minorHAnsi" w:eastAsiaTheme="minorEastAsia" w:hAnsiTheme="minorHAnsi" w:cstheme="minorBidi"/>
                <w:b w:val="0"/>
                <w:color w:val="auto"/>
                <w:sz w:val="18"/>
                <w:szCs w:val="18"/>
              </w:rPr>
            </w:pPr>
          </w:p>
        </w:tc>
        <w:tc>
          <w:tcPr>
            <w:tcW w:w="0" w:type="auto"/>
            <w:hideMark/>
          </w:tcPr>
          <w:p w14:paraId="317E9E0B" w14:textId="77777777" w:rsidR="001D2504" w:rsidRPr="00FB7F94" w:rsidRDefault="001D2504" w:rsidP="00FB7F9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Stability Threshold Flags</w:t>
            </w:r>
          </w:p>
        </w:tc>
        <w:tc>
          <w:tcPr>
            <w:tcW w:w="0" w:type="auto"/>
            <w:hideMark/>
          </w:tcPr>
          <w:p w14:paraId="6181CDB5" w14:textId="77777777" w:rsidR="001D2504" w:rsidRPr="00FB7F94" w:rsidRDefault="001D2504" w:rsidP="00FB7F9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Voltage / ramp violation indicators</w:t>
            </w:r>
          </w:p>
        </w:tc>
        <w:tc>
          <w:tcPr>
            <w:tcW w:w="0" w:type="auto"/>
            <w:hideMark/>
          </w:tcPr>
          <w:p w14:paraId="4BBD7E0E" w14:textId="77777777" w:rsidR="001D2504" w:rsidRPr="00FB7F94" w:rsidRDefault="001D2504" w:rsidP="00FB7F9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18"/>
                <w:szCs w:val="18"/>
              </w:rPr>
            </w:pPr>
            <w:r w:rsidRPr="00FB7F94">
              <w:rPr>
                <w:rFonts w:eastAsiaTheme="majorEastAsia" w:cstheme="majorBidi"/>
                <w:color w:val="auto"/>
                <w:sz w:val="18"/>
                <w:szCs w:val="18"/>
              </w:rPr>
              <w:t>Impact quantification</w:t>
            </w:r>
          </w:p>
        </w:tc>
      </w:tr>
    </w:tbl>
    <w:p w14:paraId="4F70E8CC" w14:textId="77777777" w:rsidR="00C8017F" w:rsidRDefault="00C8017F" w:rsidP="0045162F">
      <w:pPr>
        <w:rPr>
          <w:rFonts w:asciiTheme="minorHAnsi" w:eastAsiaTheme="minorEastAsia" w:hAnsiTheme="minorHAnsi" w:cstheme="minorBidi"/>
          <w:b/>
        </w:rPr>
      </w:pPr>
    </w:p>
    <w:p w14:paraId="546A1350" w14:textId="57173CAF" w:rsidR="00417C16" w:rsidRPr="00141708" w:rsidRDefault="00C02969" w:rsidP="00141708">
      <w:pPr>
        <w:pStyle w:val="BodyText"/>
        <w:rPr>
          <w:rFonts w:asciiTheme="minorHAnsi" w:eastAsiaTheme="minorEastAsia" w:hAnsiTheme="minorHAnsi" w:cstheme="minorBidi"/>
          <w:b/>
          <w:bCs/>
        </w:rPr>
      </w:pPr>
      <w:r w:rsidRPr="00141708">
        <w:rPr>
          <w:b/>
          <w:bCs/>
        </w:rPr>
        <w:t>E</w:t>
      </w:r>
      <w:r w:rsidR="00417C16" w:rsidRPr="00141708">
        <w:rPr>
          <w:b/>
          <w:bCs/>
        </w:rPr>
        <w:t>VSE Behavioural and Fleet Modelling</w:t>
      </w:r>
    </w:p>
    <w:p w14:paraId="2163097D" w14:textId="52756D40" w:rsidR="00417C16" w:rsidRPr="00417C16" w:rsidRDefault="00417C16" w:rsidP="000643FB">
      <w:pPr>
        <w:jc w:val="both"/>
        <w:rPr>
          <w:rFonts w:asciiTheme="minorHAnsi" w:eastAsiaTheme="minorEastAsia" w:hAnsiTheme="minorHAnsi" w:cstheme="minorBidi"/>
          <w:sz w:val="24"/>
          <w:szCs w:val="24"/>
        </w:rPr>
      </w:pPr>
      <w:r w:rsidRPr="41E3505D">
        <w:rPr>
          <w:sz w:val="24"/>
          <w:szCs w:val="24"/>
        </w:rPr>
        <w:t>The EVSE behavioural model implemented realistic charging sessions, including session initiation handshakes via ISO 15118, backend coordination through OCPP, configurable charging power setpoints in the range of 7–22 kW, controlled ramp-up sequences, and fleet-level concurrency modelling.</w:t>
      </w:r>
      <w:r w:rsidR="000643FB" w:rsidRPr="41E3505D">
        <w:rPr>
          <w:sz w:val="24"/>
          <w:szCs w:val="24"/>
        </w:rPr>
        <w:t xml:space="preserve"> </w:t>
      </w:r>
      <w:r w:rsidRPr="41E3505D">
        <w:rPr>
          <w:sz w:val="24"/>
          <w:szCs w:val="24"/>
        </w:rPr>
        <w:t>A representative stress scenario evaluated the synchronised activation of 500 EVSE units operating at 11 kW each, resulting in an instantaneous aggregate load potential of approximately 5.5 MW.</w:t>
      </w:r>
      <w:r w:rsidR="0045162F" w:rsidRPr="41E3505D">
        <w:rPr>
          <w:sz w:val="24"/>
          <w:szCs w:val="24"/>
        </w:rPr>
        <w:t xml:space="preserve"> </w:t>
      </w:r>
      <w:r w:rsidRPr="41E3505D">
        <w:rPr>
          <w:sz w:val="24"/>
          <w:szCs w:val="24"/>
        </w:rPr>
        <w:t>Such aggregation scenarios were systematically analysed in terms of feeder voltage deviation (</w:t>
      </w:r>
      <w:r w:rsidRPr="005713FD">
        <w:rPr>
          <w:b/>
          <w:bCs/>
          <w:i/>
          <w:iCs/>
          <w:sz w:val="24"/>
          <w:szCs w:val="24"/>
        </w:rPr>
        <w:t>ΔV</w:t>
      </w:r>
      <w:r w:rsidRPr="41E3505D">
        <w:rPr>
          <w:sz w:val="24"/>
          <w:szCs w:val="24"/>
        </w:rPr>
        <w:t>), load ramp rate sensitivity (</w:t>
      </w:r>
      <w:r w:rsidRPr="005713FD">
        <w:rPr>
          <w:b/>
          <w:bCs/>
          <w:i/>
          <w:iCs/>
          <w:sz w:val="24"/>
          <w:szCs w:val="24"/>
        </w:rPr>
        <w:t>dP/dt</w:t>
      </w:r>
      <w:r w:rsidRPr="41E3505D">
        <w:rPr>
          <w:sz w:val="24"/>
          <w:szCs w:val="24"/>
        </w:rPr>
        <w:t xml:space="preserve">), transformer loading stress, and frequency perturbation effects, thereby enabling </w:t>
      </w:r>
      <w:r w:rsidR="001E0C81" w:rsidRPr="41E3505D">
        <w:rPr>
          <w:sz w:val="24"/>
          <w:szCs w:val="24"/>
        </w:rPr>
        <w:t xml:space="preserve">a </w:t>
      </w:r>
      <w:r w:rsidRPr="41E3505D">
        <w:rPr>
          <w:sz w:val="24"/>
          <w:szCs w:val="24"/>
        </w:rPr>
        <w:t>quantitative assessment of stability impacts arising from coordinated EVSE behaviour</w:t>
      </w:r>
    </w:p>
    <w:p w14:paraId="371B4D31" w14:textId="66D133B4" w:rsidR="00051736" w:rsidRPr="00141708" w:rsidRDefault="00051736" w:rsidP="00141708">
      <w:pPr>
        <w:pStyle w:val="BodyText"/>
        <w:rPr>
          <w:rFonts w:asciiTheme="minorHAnsi" w:eastAsiaTheme="minorEastAsia" w:hAnsiTheme="minorHAnsi" w:cstheme="minorBidi"/>
          <w:b/>
          <w:bCs/>
        </w:rPr>
      </w:pPr>
      <w:r w:rsidRPr="00141708">
        <w:rPr>
          <w:b/>
          <w:bCs/>
        </w:rPr>
        <w:t>Cyber–Power Interaction Modelling</w:t>
      </w:r>
    </w:p>
    <w:p w14:paraId="326DE695" w14:textId="1EB8EAFA" w:rsidR="008B031F" w:rsidRPr="008B031F" w:rsidRDefault="008B031F" w:rsidP="000643FB">
      <w:pPr>
        <w:jc w:val="both"/>
        <w:rPr>
          <w:rFonts w:asciiTheme="minorHAnsi" w:eastAsiaTheme="minorEastAsia" w:hAnsiTheme="minorHAnsi" w:cstheme="minorBidi"/>
          <w:sz w:val="24"/>
          <w:szCs w:val="24"/>
        </w:rPr>
      </w:pPr>
      <w:r w:rsidRPr="2161595B">
        <w:rPr>
          <w:sz w:val="24"/>
          <w:szCs w:val="24"/>
        </w:rPr>
        <w:t>To understand firmware-induced risk propagation, the platform enabled controlled behavioural modification of EVSE firmware logic, including removal of ramp-rate constraints, override of configured charging power limits, forced synchronised fleet activation, and modification of protection thresholds. These controlled manipulations allowed systematic examination of how embedded control logic directly influences physical system behaviour.</w:t>
      </w:r>
    </w:p>
    <w:p w14:paraId="3D339F32" w14:textId="77777777" w:rsidR="008B031F" w:rsidRPr="008B031F" w:rsidRDefault="008B031F" w:rsidP="008B031F">
      <w:pPr>
        <w:rPr>
          <w:rFonts w:asciiTheme="minorHAnsi" w:eastAsiaTheme="minorEastAsia" w:hAnsiTheme="minorHAnsi" w:cstheme="minorBidi"/>
          <w:sz w:val="24"/>
          <w:szCs w:val="24"/>
        </w:rPr>
      </w:pPr>
      <w:r w:rsidRPr="2161595B">
        <w:rPr>
          <w:sz w:val="24"/>
          <w:szCs w:val="24"/>
        </w:rPr>
        <w:t>The causal evaluation chain was therefore structured as follows: firmware logic alteration leading to charging behaviour change, which in turn affects aggregate load dynamics and ultimately manifests as measurable stability metric deviations at the feeder and system level.</w:t>
      </w:r>
    </w:p>
    <w:p w14:paraId="3A8DA61F" w14:textId="77777777" w:rsidR="00B04DAA" w:rsidRPr="00B04DAA" w:rsidRDefault="00B04DAA" w:rsidP="00B04DAA">
      <w:pPr>
        <w:rPr>
          <w:rFonts w:asciiTheme="minorHAnsi" w:eastAsiaTheme="minorEastAsia" w:hAnsiTheme="minorHAnsi" w:cstheme="minorBidi"/>
          <w:sz w:val="24"/>
          <w:szCs w:val="24"/>
        </w:rPr>
      </w:pPr>
      <w:r w:rsidRPr="2161595B">
        <w:rPr>
          <w:sz w:val="24"/>
          <w:szCs w:val="24"/>
        </w:rPr>
        <w:t>This enabled empirical assessment of how firmware compromise can:</w:t>
      </w:r>
    </w:p>
    <w:p w14:paraId="672AC0E3" w14:textId="77777777" w:rsidR="00B04DAA" w:rsidRPr="00B04DAA" w:rsidRDefault="00B04DAA" w:rsidP="00846D08">
      <w:pPr>
        <w:numPr>
          <w:ilvl w:val="0"/>
          <w:numId w:val="22"/>
        </w:numPr>
        <w:rPr>
          <w:rFonts w:asciiTheme="minorHAnsi" w:eastAsiaTheme="minorEastAsia" w:hAnsiTheme="minorHAnsi" w:cstheme="minorBidi"/>
          <w:sz w:val="24"/>
          <w:szCs w:val="24"/>
        </w:rPr>
      </w:pPr>
      <w:r w:rsidRPr="2161595B">
        <w:rPr>
          <w:sz w:val="24"/>
          <w:szCs w:val="24"/>
        </w:rPr>
        <w:t xml:space="preserve">Increase </w:t>
      </w:r>
      <w:r w:rsidRPr="005713FD">
        <w:rPr>
          <w:b/>
          <w:bCs/>
          <w:i/>
          <w:iCs/>
          <w:sz w:val="24"/>
          <w:szCs w:val="24"/>
        </w:rPr>
        <w:t>dP/dt</w:t>
      </w:r>
    </w:p>
    <w:p w14:paraId="6E36A532" w14:textId="77777777" w:rsidR="00B04DAA" w:rsidRPr="00B04DAA" w:rsidRDefault="00B04DAA" w:rsidP="00846D08">
      <w:pPr>
        <w:numPr>
          <w:ilvl w:val="0"/>
          <w:numId w:val="22"/>
        </w:numPr>
        <w:rPr>
          <w:rFonts w:asciiTheme="minorHAnsi" w:eastAsiaTheme="minorEastAsia" w:hAnsiTheme="minorHAnsi" w:cstheme="minorBidi"/>
          <w:sz w:val="24"/>
          <w:szCs w:val="24"/>
        </w:rPr>
      </w:pPr>
      <w:r w:rsidRPr="2161595B">
        <w:rPr>
          <w:sz w:val="24"/>
          <w:szCs w:val="24"/>
        </w:rPr>
        <w:t xml:space="preserve">Elevate </w:t>
      </w:r>
      <w:r w:rsidRPr="005713FD">
        <w:rPr>
          <w:b/>
          <w:bCs/>
          <w:i/>
          <w:iCs/>
          <w:sz w:val="24"/>
          <w:szCs w:val="24"/>
        </w:rPr>
        <w:t>ΔV</w:t>
      </w:r>
      <w:r w:rsidRPr="2161595B">
        <w:rPr>
          <w:sz w:val="24"/>
          <w:szCs w:val="24"/>
        </w:rPr>
        <w:t xml:space="preserve"> beyond operational tolerance</w:t>
      </w:r>
    </w:p>
    <w:p w14:paraId="416C5C1C" w14:textId="77777777" w:rsidR="00B04DAA" w:rsidRPr="00B04DAA" w:rsidRDefault="00B04DAA" w:rsidP="00846D08">
      <w:pPr>
        <w:numPr>
          <w:ilvl w:val="0"/>
          <w:numId w:val="22"/>
        </w:numPr>
        <w:rPr>
          <w:rFonts w:asciiTheme="minorHAnsi" w:eastAsiaTheme="minorEastAsia" w:hAnsiTheme="minorHAnsi" w:cstheme="minorBidi"/>
          <w:sz w:val="24"/>
          <w:szCs w:val="24"/>
        </w:rPr>
      </w:pPr>
      <w:r w:rsidRPr="2161595B">
        <w:rPr>
          <w:sz w:val="24"/>
          <w:szCs w:val="24"/>
        </w:rPr>
        <w:t>Stress distribution assets</w:t>
      </w:r>
    </w:p>
    <w:p w14:paraId="75167C34" w14:textId="77777777" w:rsidR="00B04DAA" w:rsidRPr="00B04DAA" w:rsidRDefault="00B04DAA" w:rsidP="00846D08">
      <w:pPr>
        <w:numPr>
          <w:ilvl w:val="0"/>
          <w:numId w:val="22"/>
        </w:numPr>
        <w:rPr>
          <w:rFonts w:asciiTheme="minorHAnsi" w:eastAsiaTheme="minorEastAsia" w:hAnsiTheme="minorHAnsi" w:cstheme="minorBidi"/>
          <w:sz w:val="24"/>
          <w:szCs w:val="24"/>
        </w:rPr>
      </w:pPr>
      <w:r w:rsidRPr="2161595B">
        <w:rPr>
          <w:sz w:val="24"/>
          <w:szCs w:val="24"/>
        </w:rPr>
        <w:t>Amplify fleet-level synchronisation risk</w:t>
      </w:r>
    </w:p>
    <w:p w14:paraId="67885B6A" w14:textId="05EF3638" w:rsidR="005641B9" w:rsidRPr="00B352C3" w:rsidRDefault="005641B9" w:rsidP="0078020C">
      <w:pPr>
        <w:pStyle w:val="Heading3"/>
        <w:rPr>
          <w:rFonts w:asciiTheme="minorHAnsi" w:eastAsiaTheme="minorEastAsia" w:hAnsiTheme="minorHAnsi" w:cstheme="minorBidi"/>
        </w:rPr>
      </w:pPr>
      <w:bookmarkStart w:id="196" w:name="_Toc222954477"/>
      <w:bookmarkStart w:id="197" w:name="_Toc234310793"/>
      <w:r>
        <w:t>Phase</w:t>
      </w:r>
      <w:r w:rsidRPr="00B352C3">
        <w:t xml:space="preserve"> </w:t>
      </w:r>
      <w:r>
        <w:t>3</w:t>
      </w:r>
      <w:r w:rsidRPr="00B352C3">
        <w:t xml:space="preserve">: </w:t>
      </w:r>
      <w:r>
        <w:t>TSM Implementation and Experimentation</w:t>
      </w:r>
      <w:bookmarkEnd w:id="196"/>
      <w:bookmarkEnd w:id="197"/>
      <w:r>
        <w:t xml:space="preserve"> </w:t>
      </w:r>
    </w:p>
    <w:p w14:paraId="24BAD047" w14:textId="530DA879" w:rsidR="005641B9" w:rsidRDefault="005A7E2F" w:rsidP="00023A3C">
      <w:pPr>
        <w:jc w:val="both"/>
        <w:rPr>
          <w:rFonts w:asciiTheme="minorHAnsi" w:eastAsiaTheme="minorEastAsia" w:hAnsiTheme="minorHAnsi" w:cstheme="minorBidi"/>
          <w:sz w:val="24"/>
          <w:szCs w:val="24"/>
        </w:rPr>
      </w:pPr>
      <w:r w:rsidRPr="2161595B">
        <w:rPr>
          <w:sz w:val="24"/>
          <w:szCs w:val="24"/>
        </w:rPr>
        <w:t>This section presents the methodological framework used to implement, integrate, and evaluate the TSM within the EVSE–grid co-simulation environment. The methodology formalizes the TSM security model, enforcement algorithms, operational state supervision, and controlled adversarial evaluation strategy. The objective is to demonstrate deterministic security enforcement without degrading operational stability.</w:t>
      </w:r>
    </w:p>
    <w:p w14:paraId="4F1D1B03" w14:textId="45CFC917" w:rsidR="00B90652" w:rsidRPr="00B90652" w:rsidRDefault="00B90652" w:rsidP="00023A3C">
      <w:pPr>
        <w:jc w:val="both"/>
        <w:rPr>
          <w:rFonts w:asciiTheme="minorHAnsi" w:eastAsiaTheme="minorEastAsia" w:hAnsiTheme="minorHAnsi" w:cstheme="minorBidi"/>
          <w:sz w:val="24"/>
          <w:szCs w:val="24"/>
        </w:rPr>
      </w:pPr>
      <w:r w:rsidRPr="2161595B">
        <w:rPr>
          <w:sz w:val="24"/>
          <w:szCs w:val="24"/>
        </w:rPr>
        <w:t>The TSM is designed as a formally structured supervisory control mechanism that enforces complete mediation over all security-sensitive operations within the EVSE. The security model operationalizes the outcomes of the architectural decomposition and threat analysis by transforming identified vulnerabilities into enforceable runtime constraints. Rather than functioning as a passive monitoring layer, the TSM is positioned as an active decision authority capable of intercepting, validating, and conditionally authorizing control actions prior to their execution by the underlying power electronics or firmware subsystems.</w:t>
      </w:r>
    </w:p>
    <w:p w14:paraId="7BF00DEA" w14:textId="444CECD2" w:rsidR="0048254E" w:rsidRPr="00141708" w:rsidRDefault="0048254E" w:rsidP="00141708">
      <w:pPr>
        <w:pStyle w:val="BodyText"/>
        <w:rPr>
          <w:rFonts w:asciiTheme="minorHAnsi" w:eastAsiaTheme="minorEastAsia" w:hAnsiTheme="minorHAnsi" w:cstheme="minorBidi"/>
          <w:b/>
          <w:bCs/>
        </w:rPr>
      </w:pPr>
      <w:r w:rsidRPr="00141708">
        <w:rPr>
          <w:b/>
          <w:bCs/>
        </w:rPr>
        <w:t>TSM Security Model</w:t>
      </w:r>
    </w:p>
    <w:p w14:paraId="26643EAA" w14:textId="38CAD0C9" w:rsidR="00B90652" w:rsidRPr="00B90652" w:rsidRDefault="00B90652" w:rsidP="2161595B">
      <w:pPr>
        <w:jc w:val="both"/>
        <w:rPr>
          <w:rFonts w:asciiTheme="minorHAnsi" w:eastAsiaTheme="minorEastAsia" w:hAnsiTheme="minorHAnsi" w:cstheme="minorBidi"/>
          <w:sz w:val="24"/>
          <w:szCs w:val="24"/>
        </w:rPr>
      </w:pPr>
      <w:r w:rsidRPr="2161595B">
        <w:rPr>
          <w:sz w:val="24"/>
          <w:szCs w:val="24"/>
        </w:rPr>
        <w:t>The security model is conceptually grounded in the reference monitor paradigm and is constructed to satisfy the properties of completeness, isolation, and verifiability. Completeness ensures that all security-relevant actions are subject to validation before execution. Isolation guarantees that enforcement logic cannot be bypassed by lower-integrity components. Verifiability enables deterministic reasoning about enforcement outcomes.</w:t>
      </w:r>
      <w:r w:rsidR="4A513D0F" w:rsidRPr="2161595B">
        <w:rPr>
          <w:sz w:val="24"/>
          <w:szCs w:val="24"/>
        </w:rPr>
        <w:t xml:space="preserve"> </w:t>
      </w:r>
      <w:r w:rsidRPr="2161595B">
        <w:rPr>
          <w:sz w:val="24"/>
          <w:szCs w:val="24"/>
        </w:rPr>
        <w:t>The design is structured around five foundational principles:</w:t>
      </w:r>
    </w:p>
    <w:p w14:paraId="6EC4BB40" w14:textId="77777777" w:rsidR="00B90652" w:rsidRPr="00B90652" w:rsidRDefault="00B90652" w:rsidP="00B90652">
      <w:pPr>
        <w:rPr>
          <w:rFonts w:asciiTheme="minorHAnsi" w:eastAsiaTheme="minorEastAsia" w:hAnsiTheme="minorHAnsi" w:cstheme="minorBidi"/>
          <w:sz w:val="24"/>
          <w:szCs w:val="24"/>
        </w:rPr>
      </w:pPr>
      <w:r w:rsidRPr="2161595B">
        <w:rPr>
          <w:b/>
          <w:sz w:val="24"/>
          <w:szCs w:val="24"/>
        </w:rPr>
        <w:t>Complete Mediation.</w:t>
      </w:r>
      <w:r w:rsidRPr="2161595B">
        <w:rPr>
          <w:sz w:val="24"/>
          <w:szCs w:val="24"/>
        </w:rPr>
        <w:t xml:space="preserve"> Every action affecting firmware integrity, power delivery parameters, configuration registers, or external communication channels is intercepted before execution. No write operation to safety-critical resources is permitted without explicit validation by the TSM.</w:t>
      </w:r>
    </w:p>
    <w:p w14:paraId="0C5068A2" w14:textId="77777777" w:rsidR="00B90652" w:rsidRPr="00B90652" w:rsidRDefault="00B90652" w:rsidP="00B90652">
      <w:pPr>
        <w:rPr>
          <w:rFonts w:asciiTheme="minorHAnsi" w:eastAsiaTheme="minorEastAsia" w:hAnsiTheme="minorHAnsi" w:cstheme="minorBidi"/>
          <w:sz w:val="24"/>
          <w:szCs w:val="24"/>
        </w:rPr>
      </w:pPr>
      <w:r w:rsidRPr="2161595B">
        <w:rPr>
          <w:b/>
          <w:sz w:val="24"/>
          <w:szCs w:val="24"/>
        </w:rPr>
        <w:t>Domain Separation.</w:t>
      </w:r>
      <w:r w:rsidRPr="2161595B">
        <w:rPr>
          <w:sz w:val="24"/>
          <w:szCs w:val="24"/>
        </w:rPr>
        <w:t xml:space="preserve"> Operational logic and enforcement logic are executed within distinct integrity domains. This separation prevents privilege escalation and ensures that compromised operational components cannot override supervisory decisions.</w:t>
      </w:r>
    </w:p>
    <w:p w14:paraId="03CAD55D" w14:textId="77777777" w:rsidR="00B90652" w:rsidRPr="00B90652" w:rsidRDefault="00B90652" w:rsidP="00B90652">
      <w:pPr>
        <w:rPr>
          <w:rFonts w:asciiTheme="minorHAnsi" w:eastAsiaTheme="minorEastAsia" w:hAnsiTheme="minorHAnsi" w:cstheme="minorBidi"/>
          <w:sz w:val="24"/>
          <w:szCs w:val="24"/>
        </w:rPr>
      </w:pPr>
      <w:r w:rsidRPr="2161595B">
        <w:rPr>
          <w:b/>
          <w:sz w:val="24"/>
          <w:szCs w:val="24"/>
        </w:rPr>
        <w:t>Deterministic Enforcement.</w:t>
      </w:r>
      <w:r w:rsidRPr="2161595B">
        <w:rPr>
          <w:sz w:val="24"/>
          <w:szCs w:val="24"/>
        </w:rPr>
        <w:t xml:space="preserve"> All decisions are derived from explicit policy constraints evaluated against the current system state. This eliminates nondeterministic behaviour and ensures reproducibility of enforcement outcomes under identical conditions.</w:t>
      </w:r>
    </w:p>
    <w:p w14:paraId="17680157" w14:textId="77777777" w:rsidR="00B90652" w:rsidRPr="00B90652" w:rsidRDefault="00B90652" w:rsidP="00B90652">
      <w:pPr>
        <w:rPr>
          <w:rFonts w:asciiTheme="minorHAnsi" w:eastAsiaTheme="minorEastAsia" w:hAnsiTheme="minorHAnsi" w:cstheme="minorBidi"/>
          <w:sz w:val="24"/>
          <w:szCs w:val="24"/>
        </w:rPr>
      </w:pPr>
      <w:r w:rsidRPr="2161595B">
        <w:rPr>
          <w:b/>
          <w:sz w:val="24"/>
          <w:szCs w:val="24"/>
        </w:rPr>
        <w:t>State-Aware Control.</w:t>
      </w:r>
      <w:r w:rsidRPr="2161595B">
        <w:rPr>
          <w:sz w:val="24"/>
          <w:szCs w:val="24"/>
        </w:rPr>
        <w:t xml:space="preserve"> Enforcement decisions are dependent on the operational state of the EVSE. Actions that may be safe in one state (e.g., Idle) may be prohibited in another (e.g., Charging).</w:t>
      </w:r>
    </w:p>
    <w:p w14:paraId="0C08350F" w14:textId="77777777" w:rsidR="00B90652" w:rsidRPr="00B90652" w:rsidRDefault="00B90652" w:rsidP="00B90652">
      <w:pPr>
        <w:rPr>
          <w:rFonts w:asciiTheme="minorHAnsi" w:eastAsiaTheme="minorEastAsia" w:hAnsiTheme="minorHAnsi" w:cstheme="minorBidi"/>
          <w:sz w:val="24"/>
          <w:szCs w:val="24"/>
        </w:rPr>
      </w:pPr>
      <w:r w:rsidRPr="2161595B">
        <w:rPr>
          <w:b/>
          <w:sz w:val="24"/>
          <w:szCs w:val="24"/>
        </w:rPr>
        <w:t>Hardware-Rooted Trust.</w:t>
      </w:r>
      <w:r w:rsidRPr="2161595B">
        <w:rPr>
          <w:sz w:val="24"/>
          <w:szCs w:val="24"/>
        </w:rPr>
        <w:t xml:space="preserve"> Firmware authenticity and configuration integrity are validated through cryptographic mechanisms anchored in trusted root certificates and secure storage, ensuring continuity of trust across update cycles.</w:t>
      </w:r>
    </w:p>
    <w:p w14:paraId="31E83ABF" w14:textId="77777777" w:rsidR="00B90652" w:rsidRPr="00B90652" w:rsidRDefault="00B90652" w:rsidP="00B90652">
      <w:pPr>
        <w:rPr>
          <w:rFonts w:asciiTheme="minorHAnsi" w:eastAsiaTheme="minorEastAsia" w:hAnsiTheme="minorHAnsi" w:cstheme="minorBidi"/>
          <w:sz w:val="24"/>
          <w:szCs w:val="24"/>
        </w:rPr>
      </w:pPr>
      <w:r w:rsidRPr="2161595B">
        <w:rPr>
          <w:sz w:val="24"/>
          <w:szCs w:val="24"/>
        </w:rPr>
        <w:t>Together, these principles define a security model that is both preventive and supervisory, capable of constraining unsafe behaviour even under partial system compromise.</w:t>
      </w:r>
    </w:p>
    <w:p w14:paraId="0555EF03" w14:textId="6F9B2217" w:rsidR="00B90652" w:rsidRPr="00141708" w:rsidRDefault="00B90652" w:rsidP="00141708">
      <w:pPr>
        <w:pStyle w:val="BodyText"/>
        <w:rPr>
          <w:rFonts w:asciiTheme="minorHAnsi" w:eastAsiaTheme="minorEastAsia" w:hAnsiTheme="minorHAnsi" w:cstheme="minorBidi"/>
          <w:b/>
          <w:bCs/>
        </w:rPr>
      </w:pPr>
      <w:r w:rsidRPr="00141708">
        <w:rPr>
          <w:b/>
          <w:bCs/>
        </w:rPr>
        <w:t>Dual-Domain Execution Architecture</w:t>
      </w:r>
    </w:p>
    <w:p w14:paraId="4CBEE9AE" w14:textId="56648496" w:rsidR="00B90652" w:rsidRPr="00B90652" w:rsidRDefault="00B90652" w:rsidP="06DEE822">
      <w:pPr>
        <w:jc w:val="both"/>
        <w:rPr>
          <w:rFonts w:asciiTheme="minorHAnsi" w:eastAsiaTheme="minorEastAsia" w:hAnsiTheme="minorHAnsi" w:cstheme="minorBidi"/>
          <w:sz w:val="24"/>
          <w:szCs w:val="24"/>
        </w:rPr>
      </w:pPr>
      <w:r w:rsidRPr="06DEE822">
        <w:rPr>
          <w:sz w:val="24"/>
          <w:szCs w:val="24"/>
        </w:rPr>
        <w:t>To implement these principles, the EVSE runtime environment is partitioned into two logically and functionally distinct domains</w:t>
      </w:r>
      <w:r w:rsidR="005F55F4" w:rsidRPr="06DEE822">
        <w:rPr>
          <w:sz w:val="24"/>
          <w:szCs w:val="24"/>
        </w:rPr>
        <w:t xml:space="preserve"> as depicted in the figure</w:t>
      </w:r>
      <w:r w:rsidR="00991AE7">
        <w:rPr>
          <w:sz w:val="24"/>
          <w:szCs w:val="24"/>
        </w:rPr>
        <w:t xml:space="preserve"> 8</w:t>
      </w:r>
      <w:r w:rsidR="005F55F4" w:rsidRPr="06DEE822">
        <w:rPr>
          <w:sz w:val="24"/>
          <w:szCs w:val="24"/>
        </w:rPr>
        <w:t xml:space="preserve"> below. </w:t>
      </w:r>
    </w:p>
    <w:p w14:paraId="53179CC4" w14:textId="77777777" w:rsidR="00B90652" w:rsidRPr="00B90652" w:rsidRDefault="00B90652" w:rsidP="06DEE822">
      <w:pPr>
        <w:jc w:val="both"/>
        <w:rPr>
          <w:rFonts w:asciiTheme="minorHAnsi" w:eastAsiaTheme="minorEastAsia" w:hAnsiTheme="minorHAnsi" w:cstheme="minorBidi"/>
          <w:sz w:val="24"/>
          <w:szCs w:val="24"/>
        </w:rPr>
      </w:pPr>
      <w:r w:rsidRPr="06DEE822">
        <w:rPr>
          <w:sz w:val="24"/>
          <w:szCs w:val="24"/>
        </w:rPr>
        <w:t xml:space="preserve">The </w:t>
      </w:r>
      <w:r w:rsidRPr="06DEE822">
        <w:rPr>
          <w:b/>
          <w:sz w:val="24"/>
          <w:szCs w:val="24"/>
        </w:rPr>
        <w:t>Low-Integrity Domain (LID)</w:t>
      </w:r>
      <w:r w:rsidRPr="06DEE822">
        <w:rPr>
          <w:sz w:val="24"/>
          <w:szCs w:val="24"/>
        </w:rPr>
        <w:t xml:space="preserve"> comprises operational firmware logic, communication protocol stacks (e.g., OCPP, ISO 15118), session management routines, and device drivers interfacing with hardware components. This domain is responsible for normal charging operations but is considered potentially exposed to external inputs and adversarial manipulation.</w:t>
      </w:r>
    </w:p>
    <w:p w14:paraId="4BE5DBE7" w14:textId="268CB192" w:rsidR="00B90652" w:rsidRDefault="00B90652" w:rsidP="06DEE822">
      <w:pPr>
        <w:jc w:val="both"/>
        <w:rPr>
          <w:sz w:val="24"/>
          <w:szCs w:val="24"/>
        </w:rPr>
      </w:pPr>
      <w:r w:rsidRPr="06DEE822">
        <w:rPr>
          <w:sz w:val="24"/>
          <w:szCs w:val="24"/>
        </w:rPr>
        <w:t xml:space="preserve">The </w:t>
      </w:r>
      <w:r w:rsidRPr="06DEE822">
        <w:rPr>
          <w:b/>
          <w:sz w:val="24"/>
          <w:szCs w:val="24"/>
        </w:rPr>
        <w:t>High-Integrity Domain (HID)</w:t>
      </w:r>
      <w:r w:rsidRPr="06DEE822">
        <w:rPr>
          <w:sz w:val="24"/>
          <w:szCs w:val="24"/>
        </w:rPr>
        <w:t xml:space="preserve"> hosts the Trusted Sovereign Monitor Core, the Policy Enforcement Engine, the Cryptographic Verification Module, and secure storage mechanisms for certificates, firmware hashes, and configuration metadata. The HID functions as the authoritative decision layer.</w:t>
      </w:r>
    </w:p>
    <w:p w14:paraId="19D44DAD" w14:textId="77777777" w:rsidR="00E00DF1" w:rsidRDefault="00E00DF1" w:rsidP="06DEE822">
      <w:pPr>
        <w:jc w:val="both"/>
        <w:rPr>
          <w:rFonts w:asciiTheme="minorHAnsi" w:eastAsiaTheme="minorEastAsia" w:hAnsiTheme="minorHAnsi" w:cstheme="minorBidi"/>
          <w:sz w:val="24"/>
          <w:szCs w:val="24"/>
        </w:rPr>
      </w:pPr>
    </w:p>
    <w:p w14:paraId="0597EC2D" w14:textId="782E8805" w:rsidR="00E233C4" w:rsidRDefault="00FC5272" w:rsidP="02496A5F">
      <w:pPr>
        <w:spacing w:after="160" w:line="257" w:lineRule="auto"/>
        <w:jc w:val="center"/>
        <w:rPr>
          <w:rFonts w:asciiTheme="minorHAnsi" w:eastAsiaTheme="minorEastAsia" w:hAnsiTheme="minorHAnsi" w:cstheme="minorBidi"/>
        </w:rPr>
      </w:pPr>
      <w:r>
        <w:rPr>
          <w:rFonts w:asciiTheme="minorHAnsi" w:eastAsiaTheme="minorEastAsia" w:hAnsiTheme="minorHAnsi" w:cstheme="minorBidi"/>
          <w:noProof/>
        </w:rPr>
        <w:drawing>
          <wp:inline distT="0" distB="0" distL="0" distR="0" wp14:anchorId="0E6293E2" wp14:editId="65ADF94E">
            <wp:extent cx="5486435" cy="3171827"/>
            <wp:effectExtent l="0" t="0" r="0" b="0"/>
            <wp:docPr id="3024755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91073" cy="3174508"/>
                    </a:xfrm>
                    <a:prstGeom prst="rect">
                      <a:avLst/>
                    </a:prstGeom>
                    <a:noFill/>
                    <a:ln>
                      <a:noFill/>
                    </a:ln>
                  </pic:spPr>
                </pic:pic>
              </a:graphicData>
            </a:graphic>
          </wp:inline>
        </w:drawing>
      </w:r>
    </w:p>
    <w:p w14:paraId="6838FED2" w14:textId="25112881" w:rsidR="00E233C4" w:rsidRDefault="00640012" w:rsidP="00640012">
      <w:pPr>
        <w:pStyle w:val="Caption"/>
        <w:rPr>
          <w:rFonts w:asciiTheme="minorHAnsi" w:eastAsiaTheme="minorEastAsia" w:hAnsiTheme="minorHAnsi" w:cstheme="minorBidi"/>
          <w:i/>
          <w:color w:val="0E2841"/>
          <w:szCs w:val="20"/>
          <w:lang w:val="en-GB"/>
        </w:rPr>
      </w:pPr>
      <w:bookmarkStart w:id="198" w:name="_Toc233112214"/>
      <w:r>
        <w:t xml:space="preserve">Figure </w:t>
      </w:r>
      <w:r w:rsidR="00113348">
        <w:fldChar w:fldCharType="begin"/>
      </w:r>
      <w:r w:rsidR="00113348">
        <w:instrText xml:space="preserve"> SEQ Figure \* ARABIC </w:instrText>
      </w:r>
      <w:r w:rsidR="00113348">
        <w:fldChar w:fldCharType="separate"/>
      </w:r>
      <w:r w:rsidR="00F8092D">
        <w:rPr>
          <w:noProof/>
        </w:rPr>
        <w:t>8</w:t>
      </w:r>
      <w:r w:rsidR="00113348">
        <w:rPr>
          <w:noProof/>
        </w:rPr>
        <w:fldChar w:fldCharType="end"/>
      </w:r>
      <w:r w:rsidR="005F55F4" w:rsidRPr="06DEE822">
        <w:rPr>
          <w:rFonts w:asciiTheme="minorHAnsi" w:eastAsiaTheme="minorEastAsia" w:hAnsiTheme="minorHAnsi" w:cstheme="minorBidi"/>
          <w:i/>
          <w:color w:val="0E2841"/>
          <w:szCs w:val="20"/>
          <w:lang w:val="en-GB"/>
        </w:rPr>
        <w:t>: TSM with Dual Domain Architecture</w:t>
      </w:r>
      <w:bookmarkEnd w:id="198"/>
    </w:p>
    <w:p w14:paraId="32824DEF" w14:textId="1C0FB3FE" w:rsidR="7C120CD3" w:rsidRDefault="7C120CD3">
      <w:pPr>
        <w:rPr>
          <w:rFonts w:asciiTheme="minorHAnsi" w:eastAsiaTheme="minorEastAsia" w:hAnsiTheme="minorHAnsi" w:cstheme="minorBidi"/>
        </w:rPr>
      </w:pPr>
    </w:p>
    <w:p w14:paraId="4C31F872" w14:textId="015D302D" w:rsidR="00B90652" w:rsidRPr="00B90652" w:rsidRDefault="00B90652" w:rsidP="02496A5F">
      <w:pPr>
        <w:jc w:val="both"/>
        <w:rPr>
          <w:rFonts w:asciiTheme="minorHAnsi" w:eastAsiaTheme="minorEastAsia" w:hAnsiTheme="minorHAnsi" w:cstheme="minorBidi"/>
          <w:sz w:val="24"/>
          <w:szCs w:val="24"/>
        </w:rPr>
      </w:pPr>
      <w:r w:rsidRPr="06DEE822">
        <w:rPr>
          <w:rFonts w:asciiTheme="minorHAnsi" w:eastAsiaTheme="minorEastAsia" w:hAnsiTheme="minorHAnsi" w:cstheme="minorBidi"/>
          <w:sz w:val="24"/>
          <w:szCs w:val="24"/>
        </w:rPr>
        <w:t>All write-access to safety-critical resources</w:t>
      </w:r>
      <w:r w:rsidR="002B5CA8" w:rsidRPr="06DEE822">
        <w:rPr>
          <w:rFonts w:asciiTheme="minorHAnsi" w:eastAsiaTheme="minorEastAsia" w:hAnsiTheme="minorHAnsi" w:cstheme="minorBidi"/>
          <w:sz w:val="24"/>
          <w:szCs w:val="24"/>
        </w:rPr>
        <w:t xml:space="preserve">, </w:t>
      </w:r>
      <w:r w:rsidRPr="06DEE822">
        <w:rPr>
          <w:rFonts w:asciiTheme="minorHAnsi" w:eastAsiaTheme="minorEastAsia" w:hAnsiTheme="minorHAnsi" w:cstheme="minorBidi"/>
          <w:sz w:val="24"/>
          <w:szCs w:val="24"/>
        </w:rPr>
        <w:t>including firmware flash memory, power setpoint registers, and persistent configuration parameters</w:t>
      </w:r>
      <w:r w:rsidR="002B5CA8" w:rsidRPr="06DEE822">
        <w:rPr>
          <w:rFonts w:asciiTheme="minorHAnsi" w:eastAsiaTheme="minorEastAsia" w:hAnsiTheme="minorHAnsi" w:cstheme="minorBidi"/>
          <w:sz w:val="24"/>
          <w:szCs w:val="24"/>
        </w:rPr>
        <w:t>,</w:t>
      </w:r>
      <w:r w:rsidRPr="06DEE822">
        <w:rPr>
          <w:rFonts w:asciiTheme="minorHAnsi" w:eastAsiaTheme="minorEastAsia" w:hAnsiTheme="minorHAnsi" w:cstheme="minorBidi"/>
          <w:sz w:val="24"/>
          <w:szCs w:val="24"/>
        </w:rPr>
        <w:t xml:space="preserve"> is gated through the HID. The LID may request actions, but execution is contingent upon HID authorization.</w:t>
      </w:r>
    </w:p>
    <w:p w14:paraId="34150ADA" w14:textId="77777777" w:rsidR="00B90652" w:rsidRPr="00B90652" w:rsidRDefault="00B90652" w:rsidP="00B90652">
      <w:pPr>
        <w:rPr>
          <w:rFonts w:asciiTheme="minorHAnsi" w:eastAsiaTheme="minorEastAsia" w:hAnsiTheme="minorHAnsi" w:cstheme="minorBidi"/>
          <w:sz w:val="24"/>
          <w:szCs w:val="24"/>
        </w:rPr>
      </w:pPr>
      <w:r w:rsidRPr="06DEE822">
        <w:rPr>
          <w:rFonts w:asciiTheme="minorHAnsi" w:eastAsiaTheme="minorEastAsia" w:hAnsiTheme="minorHAnsi" w:cstheme="minorBidi"/>
          <w:sz w:val="24"/>
          <w:szCs w:val="24"/>
        </w:rPr>
        <w:t>Let the system be formally represented as follows:</w:t>
      </w:r>
    </w:p>
    <w:p w14:paraId="264E1414" w14:textId="77147AF0" w:rsidR="00B90652" w:rsidRPr="00B90652" w:rsidRDefault="00B90652" w:rsidP="00846D08">
      <w:pPr>
        <w:numPr>
          <w:ilvl w:val="0"/>
          <w:numId w:val="34"/>
        </w:numPr>
        <w:rPr>
          <w:rFonts w:asciiTheme="minorHAnsi" w:eastAsiaTheme="minorEastAsia" w:hAnsiTheme="minorHAnsi" w:cstheme="minorBidi"/>
          <w:sz w:val="24"/>
          <w:szCs w:val="24"/>
        </w:rPr>
      </w:pPr>
      <w:r w:rsidRPr="06DEE822">
        <w:rPr>
          <w:rFonts w:asciiTheme="minorHAnsi" w:eastAsiaTheme="minorEastAsia" w:hAnsiTheme="minorHAnsi" w:cstheme="minorBidi"/>
          <w:b/>
          <w:i/>
          <w:sz w:val="24"/>
          <w:szCs w:val="24"/>
        </w:rPr>
        <w:t>S</w:t>
      </w:r>
      <w:r w:rsidR="002B5CA8" w:rsidRPr="06DEE822">
        <w:rPr>
          <w:rFonts w:asciiTheme="minorHAnsi" w:eastAsiaTheme="minorEastAsia" w:hAnsiTheme="minorHAnsi" w:cstheme="minorBidi"/>
          <w:sz w:val="24"/>
          <w:szCs w:val="24"/>
        </w:rPr>
        <w:t xml:space="preserve"> </w:t>
      </w:r>
      <w:r w:rsidRPr="06DEE822">
        <w:rPr>
          <w:rFonts w:asciiTheme="minorHAnsi" w:eastAsiaTheme="minorEastAsia" w:hAnsiTheme="minorHAnsi" w:cstheme="minorBidi"/>
          <w:sz w:val="24"/>
          <w:szCs w:val="24"/>
        </w:rPr>
        <w:t>denotes the system state vector, encapsulating operational state, firmware version, power parameters, and session context.</w:t>
      </w:r>
    </w:p>
    <w:p w14:paraId="1C6516AA" w14:textId="5EC4E13B" w:rsidR="00B90652" w:rsidRPr="00B90652" w:rsidRDefault="00B90652" w:rsidP="00846D08">
      <w:pPr>
        <w:numPr>
          <w:ilvl w:val="0"/>
          <w:numId w:val="34"/>
        </w:numPr>
        <w:rPr>
          <w:rFonts w:asciiTheme="minorHAnsi" w:eastAsiaTheme="minorEastAsia" w:hAnsiTheme="minorHAnsi" w:cstheme="minorBidi"/>
          <w:sz w:val="24"/>
          <w:szCs w:val="24"/>
        </w:rPr>
      </w:pPr>
      <w:r w:rsidRPr="06DEE822">
        <w:rPr>
          <w:rFonts w:asciiTheme="minorHAnsi" w:eastAsiaTheme="minorEastAsia" w:hAnsiTheme="minorHAnsi" w:cstheme="minorBidi"/>
          <w:b/>
          <w:i/>
          <w:sz w:val="24"/>
          <w:szCs w:val="24"/>
        </w:rPr>
        <w:t>A</w:t>
      </w:r>
      <w:r w:rsidRPr="06DEE822">
        <w:rPr>
          <w:rFonts w:asciiTheme="minorHAnsi" w:eastAsiaTheme="minorEastAsia" w:hAnsiTheme="minorHAnsi" w:cstheme="minorBidi"/>
          <w:sz w:val="24"/>
          <w:szCs w:val="24"/>
        </w:rPr>
        <w:t xml:space="preserve"> denotes a requested action issued by the LID or an external entity.</w:t>
      </w:r>
    </w:p>
    <w:p w14:paraId="6D23319A" w14:textId="5E7779BD" w:rsidR="00B90652" w:rsidRPr="00B90652" w:rsidRDefault="00B90652" w:rsidP="00846D08">
      <w:pPr>
        <w:numPr>
          <w:ilvl w:val="0"/>
          <w:numId w:val="34"/>
        </w:numPr>
        <w:rPr>
          <w:rFonts w:asciiTheme="minorHAnsi" w:eastAsiaTheme="minorEastAsia" w:hAnsiTheme="minorHAnsi" w:cstheme="minorBidi"/>
          <w:sz w:val="24"/>
          <w:szCs w:val="24"/>
        </w:rPr>
      </w:pPr>
      <w:r w:rsidRPr="06DEE822">
        <w:rPr>
          <w:rFonts w:asciiTheme="minorHAnsi" w:eastAsiaTheme="minorEastAsia" w:hAnsiTheme="minorHAnsi" w:cstheme="minorBidi"/>
          <w:b/>
          <w:i/>
          <w:sz w:val="24"/>
          <w:szCs w:val="24"/>
        </w:rPr>
        <w:t>P</w:t>
      </w:r>
      <w:r w:rsidRPr="06DEE822">
        <w:rPr>
          <w:rFonts w:asciiTheme="minorHAnsi" w:eastAsiaTheme="minorEastAsia" w:hAnsiTheme="minorHAnsi" w:cstheme="minorBidi"/>
          <w:sz w:val="24"/>
          <w:szCs w:val="24"/>
        </w:rPr>
        <w:t xml:space="preserve"> denotes the policy constraint set defining permissible actions under each state.</w:t>
      </w:r>
    </w:p>
    <w:p w14:paraId="7A32C379" w14:textId="77777777" w:rsidR="00B90652" w:rsidRPr="00B90652" w:rsidRDefault="00B90652" w:rsidP="00B90652">
      <w:pPr>
        <w:rPr>
          <w:rFonts w:asciiTheme="minorHAnsi" w:eastAsiaTheme="minorEastAsia" w:hAnsiTheme="minorHAnsi" w:cstheme="minorBidi"/>
          <w:sz w:val="24"/>
          <w:szCs w:val="24"/>
        </w:rPr>
      </w:pPr>
      <w:r w:rsidRPr="06DEE822">
        <w:rPr>
          <w:rFonts w:asciiTheme="minorHAnsi" w:eastAsiaTheme="minorEastAsia" w:hAnsiTheme="minorHAnsi" w:cstheme="minorBidi"/>
          <w:sz w:val="24"/>
          <w:szCs w:val="24"/>
        </w:rPr>
        <w:t>The TSM enforcement mechanism can therefore be defined as a decision function:</w:t>
      </w:r>
    </w:p>
    <w:p w14:paraId="0881F3C5" w14:textId="77777777" w:rsidR="00B90652" w:rsidRPr="00B90652" w:rsidRDefault="00B90652" w:rsidP="00B90652">
      <w:pPr>
        <w:rPr>
          <w:rFonts w:asciiTheme="minorHAnsi" w:eastAsiaTheme="minorEastAsia" w:hAnsiTheme="minorHAnsi" w:cstheme="minorBidi"/>
          <w:b/>
          <w:i/>
          <w:sz w:val="24"/>
          <w:szCs w:val="24"/>
        </w:rPr>
      </w:pPr>
      <w:r w:rsidRPr="06DEE822">
        <w:rPr>
          <w:rFonts w:asciiTheme="minorHAnsi" w:eastAsiaTheme="minorEastAsia" w:hAnsiTheme="minorHAnsi" w:cstheme="minorBidi"/>
          <w:b/>
          <w:i/>
          <w:sz w:val="24"/>
          <w:szCs w:val="24"/>
        </w:rPr>
        <w:t xml:space="preserve">E(A,S)E(A, S)E(A,S) </w:t>
      </w:r>
    </w:p>
    <w:p w14:paraId="7C7174F3" w14:textId="77777777" w:rsidR="00B90652" w:rsidRPr="00B90652" w:rsidRDefault="00B90652" w:rsidP="00B90652">
      <w:pPr>
        <w:rPr>
          <w:rFonts w:asciiTheme="minorHAnsi" w:eastAsiaTheme="minorEastAsia" w:hAnsiTheme="minorHAnsi" w:cstheme="minorBidi"/>
          <w:sz w:val="24"/>
          <w:szCs w:val="24"/>
        </w:rPr>
      </w:pPr>
      <w:r w:rsidRPr="06DEE822">
        <w:rPr>
          <w:rFonts w:asciiTheme="minorHAnsi" w:eastAsiaTheme="minorEastAsia" w:hAnsiTheme="minorHAnsi" w:cstheme="minorBidi"/>
          <w:sz w:val="24"/>
          <w:szCs w:val="24"/>
        </w:rPr>
        <w:t>which produces one of four outcomes:</w:t>
      </w:r>
    </w:p>
    <w:p w14:paraId="27A08ACF" w14:textId="77777777" w:rsidR="00B90652" w:rsidRPr="00B90652" w:rsidRDefault="00B90652" w:rsidP="00846D08">
      <w:pPr>
        <w:numPr>
          <w:ilvl w:val="0"/>
          <w:numId w:val="35"/>
        </w:numPr>
        <w:rPr>
          <w:rFonts w:asciiTheme="minorHAnsi" w:eastAsiaTheme="minorEastAsia" w:hAnsiTheme="minorHAnsi" w:cstheme="minorBidi"/>
          <w:sz w:val="24"/>
          <w:szCs w:val="24"/>
        </w:rPr>
      </w:pPr>
      <w:r w:rsidRPr="06DEE822">
        <w:rPr>
          <w:rFonts w:asciiTheme="minorHAnsi" w:eastAsiaTheme="minorEastAsia" w:hAnsiTheme="minorHAnsi" w:cstheme="minorBidi"/>
          <w:b/>
          <w:sz w:val="24"/>
          <w:szCs w:val="24"/>
        </w:rPr>
        <w:t>Allow</w:t>
      </w:r>
      <w:r w:rsidRPr="06DEE822">
        <w:rPr>
          <w:rFonts w:asciiTheme="minorHAnsi" w:eastAsiaTheme="minorEastAsia" w:hAnsiTheme="minorHAnsi" w:cstheme="minorBidi"/>
          <w:sz w:val="24"/>
          <w:szCs w:val="24"/>
        </w:rPr>
        <w:t xml:space="preserve"> — the requested action satisfies all policy constraints for the current state.</w:t>
      </w:r>
    </w:p>
    <w:p w14:paraId="54F9FCD7" w14:textId="77777777" w:rsidR="00B90652" w:rsidRPr="00B90652" w:rsidRDefault="00B90652" w:rsidP="00846D08">
      <w:pPr>
        <w:numPr>
          <w:ilvl w:val="0"/>
          <w:numId w:val="35"/>
        </w:numPr>
        <w:rPr>
          <w:rFonts w:asciiTheme="minorHAnsi" w:eastAsiaTheme="minorEastAsia" w:hAnsiTheme="minorHAnsi" w:cstheme="minorBidi"/>
          <w:sz w:val="24"/>
          <w:szCs w:val="24"/>
        </w:rPr>
      </w:pPr>
      <w:r w:rsidRPr="06DEE822">
        <w:rPr>
          <w:rFonts w:asciiTheme="minorHAnsi" w:eastAsiaTheme="minorEastAsia" w:hAnsiTheme="minorHAnsi" w:cstheme="minorBidi"/>
          <w:b/>
          <w:sz w:val="24"/>
          <w:szCs w:val="24"/>
        </w:rPr>
        <w:t>Override</w:t>
      </w:r>
      <w:r w:rsidRPr="06DEE822">
        <w:rPr>
          <w:rFonts w:asciiTheme="minorHAnsi" w:eastAsiaTheme="minorEastAsia" w:hAnsiTheme="minorHAnsi" w:cstheme="minorBidi"/>
          <w:sz w:val="24"/>
          <w:szCs w:val="24"/>
        </w:rPr>
        <w:t xml:space="preserve"> — the requested action exceeds policy bounds but can be corrected through bounded adjustment (e.g., power setpoint clamping).</w:t>
      </w:r>
    </w:p>
    <w:p w14:paraId="1565B58D" w14:textId="77777777" w:rsidR="00B90652" w:rsidRPr="00B90652" w:rsidRDefault="00B90652" w:rsidP="00846D08">
      <w:pPr>
        <w:numPr>
          <w:ilvl w:val="0"/>
          <w:numId w:val="35"/>
        </w:numPr>
        <w:rPr>
          <w:rFonts w:asciiTheme="minorHAnsi" w:eastAsiaTheme="minorEastAsia" w:hAnsiTheme="minorHAnsi" w:cstheme="minorBidi"/>
          <w:sz w:val="24"/>
          <w:szCs w:val="24"/>
        </w:rPr>
      </w:pPr>
      <w:r w:rsidRPr="06DEE822">
        <w:rPr>
          <w:rFonts w:asciiTheme="minorHAnsi" w:eastAsiaTheme="minorEastAsia" w:hAnsiTheme="minorHAnsi" w:cstheme="minorBidi"/>
          <w:b/>
          <w:sz w:val="24"/>
          <w:szCs w:val="24"/>
        </w:rPr>
        <w:t>Deny</w:t>
      </w:r>
      <w:r w:rsidRPr="06DEE822">
        <w:rPr>
          <w:rFonts w:asciiTheme="minorHAnsi" w:eastAsiaTheme="minorEastAsia" w:hAnsiTheme="minorHAnsi" w:cstheme="minorBidi"/>
          <w:sz w:val="24"/>
          <w:szCs w:val="24"/>
        </w:rPr>
        <w:t xml:space="preserve"> — the action violates policy constraints and cannot be safely corrected.</w:t>
      </w:r>
    </w:p>
    <w:p w14:paraId="79F295D8" w14:textId="77777777" w:rsidR="00B90652" w:rsidRPr="00B90652" w:rsidRDefault="00B90652" w:rsidP="00846D08">
      <w:pPr>
        <w:numPr>
          <w:ilvl w:val="0"/>
          <w:numId w:val="35"/>
        </w:numPr>
        <w:rPr>
          <w:rFonts w:asciiTheme="minorHAnsi" w:eastAsiaTheme="minorEastAsia" w:hAnsiTheme="minorHAnsi" w:cstheme="minorBidi"/>
          <w:sz w:val="24"/>
          <w:szCs w:val="24"/>
        </w:rPr>
      </w:pPr>
      <w:r w:rsidRPr="06DEE822">
        <w:rPr>
          <w:rFonts w:asciiTheme="minorHAnsi" w:eastAsiaTheme="minorEastAsia" w:hAnsiTheme="minorHAnsi" w:cstheme="minorBidi"/>
          <w:b/>
          <w:sz w:val="24"/>
          <w:szCs w:val="24"/>
        </w:rPr>
        <w:t>Safe</w:t>
      </w:r>
      <w:r w:rsidRPr="06DEE822">
        <w:rPr>
          <w:rFonts w:asciiTheme="minorHAnsi" w:eastAsiaTheme="minorEastAsia" w:hAnsiTheme="minorHAnsi" w:cstheme="minorBidi"/>
          <w:sz w:val="24"/>
          <w:szCs w:val="24"/>
        </w:rPr>
        <w:t xml:space="preserve"> — the system transitions to a predefined safe operational state due to detection of an unsafe or integrity-compromised condition.</w:t>
      </w:r>
    </w:p>
    <w:p w14:paraId="1FBAB5F7" w14:textId="77777777" w:rsidR="00F21EB7" w:rsidRDefault="00F21EB7" w:rsidP="00F21EB7">
      <w:pPr>
        <w:rPr>
          <w:rFonts w:asciiTheme="minorHAnsi" w:eastAsiaTheme="minorEastAsia" w:hAnsiTheme="minorHAnsi" w:cstheme="minorBidi"/>
          <w:sz w:val="24"/>
          <w:szCs w:val="24"/>
        </w:rPr>
      </w:pPr>
      <w:r w:rsidRPr="06DEE822">
        <w:rPr>
          <w:rFonts w:asciiTheme="minorHAnsi" w:eastAsiaTheme="minorEastAsia" w:hAnsiTheme="minorHAnsi" w:cstheme="minorBidi"/>
          <w:sz w:val="24"/>
          <w:szCs w:val="24"/>
        </w:rPr>
        <w:t>Formally, the enforcement function can be expressed as follows:</w:t>
      </w:r>
    </w:p>
    <w:p w14:paraId="58E38BD6" w14:textId="77777777" w:rsidR="00F21EB7" w:rsidRPr="00197CE3" w:rsidRDefault="00F21EB7" w:rsidP="00F21EB7">
      <w:pPr>
        <w:rPr>
          <w:rFonts w:asciiTheme="minorHAnsi" w:eastAsiaTheme="minorEastAsia" w:hAnsiTheme="minorHAnsi" w:cstheme="minorBidi"/>
          <w:b/>
          <w:i/>
          <w:sz w:val="24"/>
          <w:szCs w:val="24"/>
        </w:rPr>
      </w:pPr>
      <w:r w:rsidRPr="06DEE822">
        <w:rPr>
          <w:rFonts w:asciiTheme="minorHAnsi" w:eastAsiaTheme="minorEastAsia" w:hAnsiTheme="minorHAnsi" w:cstheme="minorBidi"/>
          <w:b/>
          <w:i/>
          <w:sz w:val="24"/>
          <w:szCs w:val="24"/>
        </w:rPr>
        <w:t>E(A, S) =</w:t>
      </w:r>
    </w:p>
    <w:p w14:paraId="2C78790B" w14:textId="77777777" w:rsidR="00F21EB7" w:rsidRPr="00197CE3" w:rsidRDefault="00F21EB7" w:rsidP="00F21EB7">
      <w:pPr>
        <w:rPr>
          <w:rFonts w:asciiTheme="minorHAnsi" w:eastAsiaTheme="minorEastAsia" w:hAnsiTheme="minorHAnsi" w:cstheme="minorBidi"/>
          <w:i/>
          <w:sz w:val="24"/>
          <w:szCs w:val="24"/>
        </w:rPr>
      </w:pPr>
      <w:r w:rsidRPr="06DEE822">
        <w:rPr>
          <w:rFonts w:asciiTheme="minorHAnsi" w:eastAsiaTheme="minorEastAsia" w:hAnsiTheme="minorHAnsi" w:cstheme="minorBidi"/>
          <w:i/>
          <w:sz w:val="24"/>
          <w:szCs w:val="24"/>
        </w:rPr>
        <w:t xml:space="preserve">    Allow      </w:t>
      </w:r>
      <w:r w:rsidRPr="06DEE822">
        <w:rPr>
          <w:rFonts w:asciiTheme="minorHAnsi" w:eastAsiaTheme="minorEastAsia" w:hAnsiTheme="minorHAnsi" w:cstheme="minorBidi"/>
          <w:b/>
          <w:i/>
          <w:sz w:val="24"/>
          <w:szCs w:val="24"/>
        </w:rPr>
        <w:t>if A ∈ P(S)</w:t>
      </w:r>
    </w:p>
    <w:p w14:paraId="24C86ED8" w14:textId="77777777" w:rsidR="00F21EB7" w:rsidRPr="00197CE3" w:rsidRDefault="00F21EB7" w:rsidP="00F21EB7">
      <w:pPr>
        <w:rPr>
          <w:rFonts w:asciiTheme="minorHAnsi" w:eastAsiaTheme="minorEastAsia" w:hAnsiTheme="minorHAnsi" w:cstheme="minorBidi"/>
          <w:i/>
          <w:sz w:val="24"/>
          <w:szCs w:val="24"/>
        </w:rPr>
      </w:pPr>
      <w:r w:rsidRPr="06DEE822">
        <w:rPr>
          <w:rFonts w:asciiTheme="minorHAnsi" w:eastAsiaTheme="minorEastAsia" w:hAnsiTheme="minorHAnsi" w:cstheme="minorBidi"/>
          <w:i/>
          <w:sz w:val="24"/>
          <w:szCs w:val="24"/>
        </w:rPr>
        <w:t xml:space="preserve">    Override  </w:t>
      </w:r>
      <w:r w:rsidRPr="06DEE822">
        <w:rPr>
          <w:rFonts w:asciiTheme="minorHAnsi" w:eastAsiaTheme="minorEastAsia" w:hAnsiTheme="minorHAnsi" w:cstheme="minorBidi"/>
          <w:b/>
          <w:i/>
          <w:sz w:val="24"/>
          <w:szCs w:val="24"/>
        </w:rPr>
        <w:t xml:space="preserve"> if</w:t>
      </w:r>
      <w:r w:rsidRPr="06DEE822">
        <w:rPr>
          <w:rFonts w:asciiTheme="minorHAnsi" w:eastAsiaTheme="minorEastAsia" w:hAnsiTheme="minorHAnsi" w:cstheme="minorBidi"/>
          <w:i/>
          <w:sz w:val="24"/>
          <w:szCs w:val="24"/>
        </w:rPr>
        <w:t xml:space="preserve"> the violation is bounded and correctable</w:t>
      </w:r>
    </w:p>
    <w:p w14:paraId="385111C3" w14:textId="77777777" w:rsidR="00F21EB7" w:rsidRPr="00197CE3" w:rsidRDefault="00F21EB7" w:rsidP="00F21EB7">
      <w:pPr>
        <w:rPr>
          <w:rFonts w:asciiTheme="minorHAnsi" w:eastAsiaTheme="minorEastAsia" w:hAnsiTheme="minorHAnsi" w:cstheme="minorBidi"/>
          <w:i/>
          <w:sz w:val="24"/>
          <w:szCs w:val="24"/>
        </w:rPr>
      </w:pPr>
      <w:r w:rsidRPr="06DEE822">
        <w:rPr>
          <w:rFonts w:asciiTheme="minorHAnsi" w:eastAsiaTheme="minorEastAsia" w:hAnsiTheme="minorHAnsi" w:cstheme="minorBidi"/>
          <w:i/>
          <w:sz w:val="24"/>
          <w:szCs w:val="24"/>
        </w:rPr>
        <w:t xml:space="preserve">    Deny       </w:t>
      </w:r>
      <w:r w:rsidRPr="06DEE822">
        <w:rPr>
          <w:rFonts w:asciiTheme="minorHAnsi" w:eastAsiaTheme="minorEastAsia" w:hAnsiTheme="minorHAnsi" w:cstheme="minorBidi"/>
          <w:b/>
          <w:i/>
          <w:sz w:val="24"/>
          <w:szCs w:val="24"/>
        </w:rPr>
        <w:t>if</w:t>
      </w:r>
      <w:r w:rsidRPr="06DEE822">
        <w:rPr>
          <w:rFonts w:asciiTheme="minorHAnsi" w:eastAsiaTheme="minorEastAsia" w:hAnsiTheme="minorHAnsi" w:cstheme="minorBidi"/>
          <w:i/>
          <w:sz w:val="24"/>
          <w:szCs w:val="24"/>
        </w:rPr>
        <w:t xml:space="preserve"> the action is unauthorized or policy-prohibited</w:t>
      </w:r>
    </w:p>
    <w:p w14:paraId="2EAF59DC" w14:textId="481D7C35" w:rsidR="00197CE3" w:rsidRDefault="00F21EB7" w:rsidP="00F21EB7">
      <w:pPr>
        <w:rPr>
          <w:rFonts w:asciiTheme="minorHAnsi" w:eastAsiaTheme="minorEastAsia" w:hAnsiTheme="minorHAnsi" w:cstheme="minorBidi"/>
          <w:i/>
          <w:sz w:val="24"/>
          <w:szCs w:val="24"/>
        </w:rPr>
      </w:pPr>
      <w:r w:rsidRPr="06DEE822">
        <w:rPr>
          <w:rFonts w:asciiTheme="minorHAnsi" w:eastAsiaTheme="minorEastAsia" w:hAnsiTheme="minorHAnsi" w:cstheme="minorBidi"/>
          <w:i/>
          <w:sz w:val="24"/>
          <w:szCs w:val="24"/>
        </w:rPr>
        <w:t xml:space="preserve">    Safe       </w:t>
      </w:r>
      <w:r w:rsidRPr="06DEE822">
        <w:rPr>
          <w:rFonts w:asciiTheme="minorHAnsi" w:eastAsiaTheme="minorEastAsia" w:hAnsiTheme="minorHAnsi" w:cstheme="minorBidi"/>
          <w:b/>
          <w:i/>
          <w:sz w:val="24"/>
          <w:szCs w:val="24"/>
        </w:rPr>
        <w:t>if S</w:t>
      </w:r>
      <w:r w:rsidRPr="06DEE822">
        <w:rPr>
          <w:rFonts w:asciiTheme="minorHAnsi" w:eastAsiaTheme="minorEastAsia" w:hAnsiTheme="minorHAnsi" w:cstheme="minorBidi"/>
          <w:i/>
          <w:sz w:val="24"/>
          <w:szCs w:val="24"/>
        </w:rPr>
        <w:t xml:space="preserve"> indicates an unsafe integrity </w:t>
      </w:r>
      <w:r w:rsidR="00197CE3" w:rsidRPr="06DEE822">
        <w:rPr>
          <w:rFonts w:asciiTheme="minorHAnsi" w:eastAsiaTheme="minorEastAsia" w:hAnsiTheme="minorHAnsi" w:cstheme="minorBidi"/>
          <w:i/>
          <w:sz w:val="24"/>
          <w:szCs w:val="24"/>
        </w:rPr>
        <w:t>condition</w:t>
      </w:r>
    </w:p>
    <w:p w14:paraId="3DEC846A" w14:textId="00FB2C45" w:rsidR="008C021C" w:rsidRPr="00141708" w:rsidRDefault="008C021C" w:rsidP="00141708">
      <w:pPr>
        <w:pStyle w:val="BodyText"/>
        <w:rPr>
          <w:rFonts w:asciiTheme="minorHAnsi" w:eastAsiaTheme="minorEastAsia" w:hAnsiTheme="minorHAnsi" w:cstheme="minorBidi"/>
          <w:b/>
          <w:bCs/>
        </w:rPr>
      </w:pPr>
      <w:r w:rsidRPr="00141708">
        <w:rPr>
          <w:b/>
          <w:bCs/>
        </w:rPr>
        <w:t>Core TSM Algorithms</w:t>
      </w:r>
    </w:p>
    <w:p w14:paraId="6DCE5834" w14:textId="1F921B09" w:rsidR="008C021C" w:rsidRPr="008C021C" w:rsidRDefault="008C021C" w:rsidP="008C021C">
      <w:pPr>
        <w:jc w:val="both"/>
        <w:rPr>
          <w:rFonts w:asciiTheme="minorHAnsi" w:eastAsiaTheme="minorEastAsia" w:hAnsiTheme="minorHAnsi" w:cstheme="minorBidi"/>
          <w:sz w:val="24"/>
          <w:szCs w:val="24"/>
        </w:rPr>
      </w:pPr>
      <w:r w:rsidRPr="4BE30DB7">
        <w:rPr>
          <w:sz w:val="24"/>
          <w:szCs w:val="24"/>
        </w:rPr>
        <w:t xml:space="preserve">The </w:t>
      </w:r>
      <w:r w:rsidR="00802510" w:rsidRPr="4BE30DB7">
        <w:rPr>
          <w:sz w:val="24"/>
          <w:szCs w:val="24"/>
        </w:rPr>
        <w:t>TSM</w:t>
      </w:r>
      <w:r w:rsidRPr="4BE30DB7">
        <w:rPr>
          <w:sz w:val="24"/>
          <w:szCs w:val="24"/>
        </w:rPr>
        <w:t xml:space="preserve"> operationalizes its security model through a set of deterministic enforcement algorithms. These algorithms directly implement the formal decision function </w:t>
      </w:r>
      <w:r w:rsidRPr="005713FD">
        <w:rPr>
          <w:b/>
          <w:bCs/>
          <w:i/>
          <w:iCs/>
          <w:sz w:val="24"/>
          <w:szCs w:val="24"/>
        </w:rPr>
        <w:t>E(A,S)</w:t>
      </w:r>
      <w:r w:rsidRPr="4BE30DB7">
        <w:rPr>
          <w:sz w:val="24"/>
          <w:szCs w:val="24"/>
        </w:rPr>
        <w:t xml:space="preserve"> described above and ensure that policy constraints are evaluated prior to execution of security-sensitive actions. Each algorithm corresponds to a high-impact threat category identified during architectural threat modelling. The enforcement mechanisms are structured to preserve operational continuity where possible while preventing unsafe or unauthorized behaviour.</w:t>
      </w:r>
    </w:p>
    <w:p w14:paraId="201AB8FB" w14:textId="77777777" w:rsidR="008C021C" w:rsidRPr="008C021C" w:rsidRDefault="008C021C" w:rsidP="008C021C">
      <w:pPr>
        <w:rPr>
          <w:rFonts w:asciiTheme="minorHAnsi" w:eastAsiaTheme="minorEastAsia" w:hAnsiTheme="minorHAnsi" w:cstheme="minorBidi"/>
          <w:sz w:val="24"/>
          <w:szCs w:val="24"/>
        </w:rPr>
      </w:pPr>
      <w:r w:rsidRPr="4BE30DB7">
        <w:rPr>
          <w:sz w:val="24"/>
          <w:szCs w:val="24"/>
        </w:rPr>
        <w:t>The algorithms implemented in the TSM include:</w:t>
      </w:r>
    </w:p>
    <w:p w14:paraId="3C3732DA" w14:textId="77777777" w:rsidR="008C021C" w:rsidRPr="008C021C" w:rsidRDefault="008C021C" w:rsidP="00846D08">
      <w:pPr>
        <w:numPr>
          <w:ilvl w:val="0"/>
          <w:numId w:val="36"/>
        </w:numPr>
        <w:rPr>
          <w:rFonts w:asciiTheme="minorHAnsi" w:eastAsiaTheme="minorEastAsia" w:hAnsiTheme="minorHAnsi" w:cstheme="minorBidi"/>
          <w:sz w:val="24"/>
          <w:szCs w:val="24"/>
        </w:rPr>
      </w:pPr>
      <w:r w:rsidRPr="4BE30DB7">
        <w:rPr>
          <w:sz w:val="24"/>
          <w:szCs w:val="24"/>
        </w:rPr>
        <w:t>Secure Firmware Admission Control</w:t>
      </w:r>
    </w:p>
    <w:p w14:paraId="2CA69B7B" w14:textId="77777777" w:rsidR="008C021C" w:rsidRPr="008C021C" w:rsidRDefault="008C021C" w:rsidP="00846D08">
      <w:pPr>
        <w:numPr>
          <w:ilvl w:val="0"/>
          <w:numId w:val="36"/>
        </w:numPr>
        <w:rPr>
          <w:rFonts w:asciiTheme="minorHAnsi" w:eastAsiaTheme="minorEastAsia" w:hAnsiTheme="minorHAnsi" w:cstheme="minorBidi"/>
          <w:sz w:val="24"/>
          <w:szCs w:val="24"/>
        </w:rPr>
      </w:pPr>
      <w:r w:rsidRPr="4BE30DB7">
        <w:rPr>
          <w:sz w:val="24"/>
          <w:szCs w:val="24"/>
        </w:rPr>
        <w:t>Power Setpoint Enforcement</w:t>
      </w:r>
    </w:p>
    <w:p w14:paraId="0EA77FB3" w14:textId="77777777" w:rsidR="008C021C" w:rsidRPr="008C021C" w:rsidRDefault="008C021C" w:rsidP="00846D08">
      <w:pPr>
        <w:numPr>
          <w:ilvl w:val="0"/>
          <w:numId w:val="36"/>
        </w:numPr>
        <w:rPr>
          <w:rFonts w:asciiTheme="minorHAnsi" w:eastAsiaTheme="minorEastAsia" w:hAnsiTheme="minorHAnsi" w:cstheme="minorBidi"/>
          <w:sz w:val="24"/>
          <w:szCs w:val="24"/>
        </w:rPr>
      </w:pPr>
      <w:r w:rsidRPr="4BE30DB7">
        <w:rPr>
          <w:sz w:val="24"/>
          <w:szCs w:val="24"/>
        </w:rPr>
        <w:t>Authenticated Command Validation</w:t>
      </w:r>
    </w:p>
    <w:p w14:paraId="4ADAAA7A" w14:textId="77777777" w:rsidR="008C021C" w:rsidRPr="008C021C" w:rsidRDefault="008C021C" w:rsidP="00846D08">
      <w:pPr>
        <w:numPr>
          <w:ilvl w:val="0"/>
          <w:numId w:val="36"/>
        </w:numPr>
        <w:rPr>
          <w:rFonts w:asciiTheme="minorHAnsi" w:eastAsiaTheme="minorEastAsia" w:hAnsiTheme="minorHAnsi" w:cstheme="minorBidi"/>
          <w:sz w:val="24"/>
          <w:szCs w:val="24"/>
        </w:rPr>
      </w:pPr>
      <w:r w:rsidRPr="4BE30DB7">
        <w:rPr>
          <w:sz w:val="24"/>
          <w:szCs w:val="24"/>
        </w:rPr>
        <w:t>State Transition Integrity Enforcement</w:t>
      </w:r>
    </w:p>
    <w:p w14:paraId="41CAE9DB" w14:textId="77777777" w:rsidR="008C021C" w:rsidRPr="008C021C" w:rsidRDefault="008C021C" w:rsidP="008C021C">
      <w:pPr>
        <w:rPr>
          <w:rFonts w:asciiTheme="minorHAnsi" w:eastAsiaTheme="minorEastAsia" w:hAnsiTheme="minorHAnsi" w:cstheme="minorBidi"/>
          <w:sz w:val="24"/>
          <w:szCs w:val="24"/>
        </w:rPr>
      </w:pPr>
      <w:r w:rsidRPr="4BE30DB7">
        <w:rPr>
          <w:sz w:val="24"/>
          <w:szCs w:val="24"/>
        </w:rPr>
        <w:t>Each is described below.</w:t>
      </w:r>
    </w:p>
    <w:p w14:paraId="6657448C" w14:textId="77777777" w:rsidR="007F1478" w:rsidRPr="00141708" w:rsidRDefault="007F1478" w:rsidP="00141708">
      <w:pPr>
        <w:pStyle w:val="BodyText"/>
        <w:rPr>
          <w:rFonts w:asciiTheme="minorHAnsi" w:eastAsiaTheme="minorEastAsia" w:hAnsiTheme="minorHAnsi" w:cstheme="minorBidi"/>
          <w:b/>
          <w:bCs/>
        </w:rPr>
      </w:pPr>
      <w:r w:rsidRPr="00141708">
        <w:rPr>
          <w:b/>
          <w:bCs/>
        </w:rPr>
        <w:t>Secure Firmware Admission Control</w:t>
      </w:r>
    </w:p>
    <w:p w14:paraId="3CEDA10D" w14:textId="5C67BA9D" w:rsidR="007F1478" w:rsidRDefault="007F1478" w:rsidP="007F1478">
      <w:pPr>
        <w:pStyle w:val="NormalWeb"/>
        <w:jc w:val="both"/>
        <w:rPr>
          <w:rFonts w:asciiTheme="minorHAnsi" w:eastAsiaTheme="minorEastAsia" w:hAnsiTheme="minorHAnsi" w:cstheme="minorBidi"/>
        </w:rPr>
      </w:pPr>
      <w:r w:rsidRPr="4BE30DB7">
        <w:rPr>
          <w:rFonts w:ascii="Calibri" w:hAnsi="Calibri"/>
        </w:rPr>
        <w:t>Firmware integrity represents one of the most critical security boundaries within the EVSE. Compromise at this layer enables persistent manipulation of charging logic, safety checks, and communication protocols. The Secure Firmware Admission Control algorithm ensures that only authenticated and authorized firmware images are accepted for execution.</w:t>
      </w:r>
    </w:p>
    <w:p w14:paraId="3CB61E5F" w14:textId="747502A1" w:rsidR="003A7A94" w:rsidRDefault="003A7A94" w:rsidP="007F1478">
      <w:pPr>
        <w:pStyle w:val="NormalWeb"/>
        <w:jc w:val="both"/>
        <w:rPr>
          <w:rFonts w:asciiTheme="minorHAnsi" w:eastAsiaTheme="minorEastAsia" w:hAnsiTheme="minorHAnsi" w:cstheme="minorBidi"/>
          <w:sz w:val="22"/>
          <w:szCs w:val="22"/>
        </w:rPr>
      </w:pPr>
    </w:p>
    <w:p w14:paraId="73D9C980" w14:textId="77777777" w:rsidR="00232CB6" w:rsidRDefault="00232CB6" w:rsidP="007F1478">
      <w:pPr>
        <w:pStyle w:val="NormalWeb"/>
        <w:jc w:val="both"/>
        <w:rPr>
          <w:rFonts w:asciiTheme="minorHAnsi" w:eastAsiaTheme="minorEastAsia" w:hAnsiTheme="minorHAnsi" w:cstheme="minorBidi"/>
          <w:sz w:val="22"/>
          <w:szCs w:val="22"/>
        </w:rPr>
      </w:pPr>
    </w:p>
    <w:p w14:paraId="20EEA090" w14:textId="77777777" w:rsidR="00232CB6" w:rsidRDefault="00232CB6" w:rsidP="007F1478">
      <w:pPr>
        <w:pStyle w:val="NormalWeb"/>
        <w:jc w:val="both"/>
        <w:rPr>
          <w:rFonts w:asciiTheme="minorHAnsi" w:eastAsiaTheme="minorEastAsia" w:hAnsiTheme="minorHAnsi" w:cstheme="minorBidi"/>
          <w:sz w:val="22"/>
          <w:szCs w:val="22"/>
        </w:rPr>
      </w:pPr>
    </w:p>
    <w:tbl>
      <w:tblPr>
        <w:tblStyle w:val="TableGrid"/>
        <w:tblW w:w="6799" w:type="dxa"/>
        <w:tblLook w:val="04A0" w:firstRow="1" w:lastRow="0" w:firstColumn="1" w:lastColumn="0" w:noHBand="0" w:noVBand="1"/>
      </w:tblPr>
      <w:tblGrid>
        <w:gridCol w:w="6799"/>
      </w:tblGrid>
      <w:tr w:rsidR="003E20E8" w:rsidRPr="00ED71F6" w14:paraId="1033D4D1" w14:textId="77777777" w:rsidTr="3C9E86E5">
        <w:trPr>
          <w:trHeight w:val="398"/>
        </w:trPr>
        <w:tc>
          <w:tcPr>
            <w:tcW w:w="6799" w:type="dxa"/>
            <w:shd w:val="clear" w:color="auto" w:fill="BFBFBF" w:themeFill="background2" w:themeFillShade="BF"/>
          </w:tcPr>
          <w:p w14:paraId="5DC2AB55" w14:textId="0D1FF0A9" w:rsidR="003E20E8" w:rsidRPr="00ED71F6" w:rsidRDefault="00580183" w:rsidP="007F1478">
            <w:pPr>
              <w:pStyle w:val="NormalWeb"/>
              <w:jc w:val="both"/>
              <w:rPr>
                <w:rFonts w:asciiTheme="minorHAnsi" w:eastAsiaTheme="minorEastAsia" w:hAnsiTheme="minorHAnsi" w:cstheme="minorBidi"/>
                <w:b/>
                <w:i/>
                <w:sz w:val="18"/>
                <w:szCs w:val="18"/>
              </w:rPr>
            </w:pPr>
            <w:r w:rsidRPr="3C9E86E5">
              <w:rPr>
                <w:rFonts w:asciiTheme="minorHAnsi" w:eastAsiaTheme="minorEastAsia" w:hAnsiTheme="minorHAnsi" w:cstheme="minorBidi"/>
                <w:b/>
                <w:i/>
                <w:sz w:val="18"/>
                <w:szCs w:val="18"/>
              </w:rPr>
              <w:t>Algorithm 1: Secure Firmware Admission Control</w:t>
            </w:r>
          </w:p>
        </w:tc>
      </w:tr>
      <w:tr w:rsidR="003E20E8" w:rsidRPr="00ED71F6" w14:paraId="2C04BAF8" w14:textId="77777777" w:rsidTr="00E11DDB">
        <w:trPr>
          <w:trHeight w:val="5152"/>
        </w:trPr>
        <w:tc>
          <w:tcPr>
            <w:tcW w:w="6799" w:type="dxa"/>
          </w:tcPr>
          <w:p w14:paraId="5BF118B2" w14:textId="77777777" w:rsidR="002B0D39" w:rsidRPr="00ED71F6" w:rsidRDefault="002B0D39" w:rsidP="002B0D39">
            <w:pPr>
              <w:pStyle w:val="NormalWeb"/>
              <w:jc w:val="both"/>
              <w:rPr>
                <w:rFonts w:asciiTheme="minorHAnsi" w:eastAsiaTheme="minorEastAsia" w:hAnsiTheme="minorHAnsi" w:cstheme="minorBidi"/>
                <w:i/>
                <w:sz w:val="18"/>
                <w:szCs w:val="18"/>
              </w:rPr>
            </w:pPr>
            <w:r w:rsidRPr="3C9E86E5">
              <w:rPr>
                <w:rFonts w:asciiTheme="minorHAnsi" w:eastAsiaTheme="minorEastAsia" w:hAnsiTheme="minorHAnsi" w:cstheme="minorBidi"/>
                <w:b/>
                <w:i/>
                <w:sz w:val="18"/>
                <w:szCs w:val="18"/>
              </w:rPr>
              <w:t>Input</w:t>
            </w:r>
            <w:r w:rsidRPr="3C9E86E5">
              <w:rPr>
                <w:rFonts w:asciiTheme="minorHAnsi" w:eastAsiaTheme="minorEastAsia" w:hAnsiTheme="minorHAnsi" w:cstheme="minorBidi"/>
                <w:i/>
                <w:sz w:val="18"/>
                <w:szCs w:val="18"/>
              </w:rPr>
              <w:t>: F (firmware image), σ (signature), v (version), v_current (installed version), S (state)</w:t>
            </w:r>
          </w:p>
          <w:p w14:paraId="4B4D5581" w14:textId="77777777" w:rsidR="002B0D39" w:rsidRPr="00ED71F6" w:rsidRDefault="002B0D39" w:rsidP="002B0D39">
            <w:pPr>
              <w:pStyle w:val="NormalWeb"/>
              <w:jc w:val="both"/>
              <w:rPr>
                <w:rFonts w:asciiTheme="minorHAnsi" w:eastAsiaTheme="minorEastAsia" w:hAnsiTheme="minorHAnsi" w:cstheme="minorBidi"/>
                <w:i/>
                <w:sz w:val="18"/>
                <w:szCs w:val="18"/>
              </w:rPr>
            </w:pPr>
            <w:r w:rsidRPr="3C9E86E5">
              <w:rPr>
                <w:rFonts w:asciiTheme="minorHAnsi" w:eastAsiaTheme="minorEastAsia" w:hAnsiTheme="minorHAnsi" w:cstheme="minorBidi"/>
                <w:b/>
                <w:i/>
                <w:sz w:val="18"/>
                <w:szCs w:val="18"/>
              </w:rPr>
              <w:t>Output</w:t>
            </w:r>
            <w:r w:rsidRPr="3C9E86E5">
              <w:rPr>
                <w:rFonts w:asciiTheme="minorHAnsi" w:eastAsiaTheme="minorEastAsia" w:hAnsiTheme="minorHAnsi" w:cstheme="minorBidi"/>
                <w:i/>
                <w:sz w:val="18"/>
                <w:szCs w:val="18"/>
              </w:rPr>
              <w:t>: Accept or Reject</w:t>
            </w:r>
          </w:p>
          <w:p w14:paraId="624FD997" w14:textId="77777777" w:rsidR="002B0D39" w:rsidRPr="00ED71F6" w:rsidRDefault="002B0D39" w:rsidP="002B0D39">
            <w:pPr>
              <w:pStyle w:val="NormalWeb"/>
              <w:jc w:val="both"/>
              <w:rPr>
                <w:rFonts w:asciiTheme="minorHAnsi" w:eastAsiaTheme="minorEastAsia" w:hAnsiTheme="minorHAnsi" w:cstheme="minorBidi"/>
                <w:i/>
                <w:sz w:val="18"/>
                <w:szCs w:val="18"/>
              </w:rPr>
            </w:pPr>
            <w:r w:rsidRPr="3C9E86E5">
              <w:rPr>
                <w:rFonts w:asciiTheme="minorHAnsi" w:eastAsiaTheme="minorEastAsia" w:hAnsiTheme="minorHAnsi" w:cstheme="minorBidi"/>
                <w:i/>
                <w:sz w:val="18"/>
                <w:szCs w:val="18"/>
              </w:rPr>
              <w:t>if VerifySignature(F, σ) = False then</w:t>
            </w:r>
          </w:p>
          <w:p w14:paraId="2C5B6A5F" w14:textId="77777777" w:rsidR="002B0D39" w:rsidRPr="00ED71F6" w:rsidRDefault="002B0D39" w:rsidP="002B0D39">
            <w:pPr>
              <w:pStyle w:val="NormalWeb"/>
              <w:jc w:val="both"/>
              <w:rPr>
                <w:rFonts w:asciiTheme="minorHAnsi" w:eastAsiaTheme="minorEastAsia" w:hAnsiTheme="minorHAnsi" w:cstheme="minorBidi"/>
                <w:i/>
                <w:sz w:val="18"/>
                <w:szCs w:val="18"/>
              </w:rPr>
            </w:pPr>
            <w:r w:rsidRPr="3C9E86E5">
              <w:rPr>
                <w:rFonts w:asciiTheme="minorHAnsi" w:eastAsiaTheme="minorEastAsia" w:hAnsiTheme="minorHAnsi" w:cstheme="minorBidi"/>
                <w:i/>
                <w:sz w:val="18"/>
                <w:szCs w:val="18"/>
              </w:rPr>
              <w:t xml:space="preserve">    return Reject</w:t>
            </w:r>
          </w:p>
          <w:p w14:paraId="5D15CAB5" w14:textId="77777777" w:rsidR="002B0D39" w:rsidRPr="00ED71F6" w:rsidRDefault="002B0D39" w:rsidP="002B0D39">
            <w:pPr>
              <w:pStyle w:val="NormalWeb"/>
              <w:jc w:val="both"/>
              <w:rPr>
                <w:rFonts w:asciiTheme="minorHAnsi" w:eastAsiaTheme="minorEastAsia" w:hAnsiTheme="minorHAnsi" w:cstheme="minorBidi"/>
                <w:i/>
                <w:sz w:val="18"/>
                <w:szCs w:val="18"/>
              </w:rPr>
            </w:pPr>
            <w:r w:rsidRPr="3C9E86E5">
              <w:rPr>
                <w:rFonts w:asciiTheme="minorHAnsi" w:eastAsiaTheme="minorEastAsia" w:hAnsiTheme="minorHAnsi" w:cstheme="minorBidi"/>
                <w:i/>
                <w:sz w:val="18"/>
                <w:szCs w:val="18"/>
              </w:rPr>
              <w:t>if ValidateCertificateChain(F) = False then</w:t>
            </w:r>
          </w:p>
          <w:p w14:paraId="280E6243" w14:textId="77777777" w:rsidR="002B0D39" w:rsidRPr="00ED71F6" w:rsidRDefault="002B0D39" w:rsidP="002B0D39">
            <w:pPr>
              <w:pStyle w:val="NormalWeb"/>
              <w:jc w:val="both"/>
              <w:rPr>
                <w:rFonts w:asciiTheme="minorHAnsi" w:eastAsiaTheme="minorEastAsia" w:hAnsiTheme="minorHAnsi" w:cstheme="minorBidi"/>
                <w:i/>
                <w:sz w:val="18"/>
                <w:szCs w:val="18"/>
              </w:rPr>
            </w:pPr>
            <w:r w:rsidRPr="3C9E86E5">
              <w:rPr>
                <w:rFonts w:asciiTheme="minorHAnsi" w:eastAsiaTheme="minorEastAsia" w:hAnsiTheme="minorHAnsi" w:cstheme="minorBidi"/>
                <w:i/>
                <w:sz w:val="18"/>
                <w:szCs w:val="18"/>
              </w:rPr>
              <w:t xml:space="preserve">    return Reject</w:t>
            </w:r>
          </w:p>
          <w:p w14:paraId="079C7F7E" w14:textId="77777777" w:rsidR="002B0D39" w:rsidRPr="00ED71F6" w:rsidRDefault="002B0D39" w:rsidP="002B0D39">
            <w:pPr>
              <w:pStyle w:val="NormalWeb"/>
              <w:jc w:val="both"/>
              <w:rPr>
                <w:rFonts w:asciiTheme="minorHAnsi" w:eastAsiaTheme="minorEastAsia" w:hAnsiTheme="minorHAnsi" w:cstheme="minorBidi"/>
                <w:i/>
                <w:sz w:val="18"/>
                <w:szCs w:val="18"/>
              </w:rPr>
            </w:pPr>
            <w:r w:rsidRPr="3C9E86E5">
              <w:rPr>
                <w:rFonts w:asciiTheme="minorHAnsi" w:eastAsiaTheme="minorEastAsia" w:hAnsiTheme="minorHAnsi" w:cstheme="minorBidi"/>
                <w:i/>
                <w:sz w:val="18"/>
                <w:szCs w:val="18"/>
              </w:rPr>
              <w:t>if CheckRevocationStatus(F) = Revoked then</w:t>
            </w:r>
          </w:p>
          <w:p w14:paraId="19D3A79E" w14:textId="77777777" w:rsidR="002B0D39" w:rsidRPr="00ED71F6" w:rsidRDefault="002B0D39" w:rsidP="002B0D39">
            <w:pPr>
              <w:pStyle w:val="NormalWeb"/>
              <w:jc w:val="both"/>
              <w:rPr>
                <w:rFonts w:asciiTheme="minorHAnsi" w:eastAsiaTheme="minorEastAsia" w:hAnsiTheme="minorHAnsi" w:cstheme="minorBidi"/>
                <w:i/>
                <w:sz w:val="18"/>
                <w:szCs w:val="18"/>
              </w:rPr>
            </w:pPr>
            <w:r w:rsidRPr="3C9E86E5">
              <w:rPr>
                <w:rFonts w:asciiTheme="minorHAnsi" w:eastAsiaTheme="minorEastAsia" w:hAnsiTheme="minorHAnsi" w:cstheme="minorBidi"/>
                <w:i/>
                <w:sz w:val="18"/>
                <w:szCs w:val="18"/>
              </w:rPr>
              <w:t xml:space="preserve">    return Reject</w:t>
            </w:r>
          </w:p>
          <w:p w14:paraId="02C7A367" w14:textId="77777777" w:rsidR="002B0D39" w:rsidRPr="00ED71F6" w:rsidRDefault="002B0D39" w:rsidP="002B0D39">
            <w:pPr>
              <w:pStyle w:val="NormalWeb"/>
              <w:jc w:val="both"/>
              <w:rPr>
                <w:rFonts w:asciiTheme="minorHAnsi" w:eastAsiaTheme="minorEastAsia" w:hAnsiTheme="minorHAnsi" w:cstheme="minorBidi"/>
                <w:i/>
                <w:sz w:val="18"/>
                <w:szCs w:val="18"/>
              </w:rPr>
            </w:pPr>
            <w:r w:rsidRPr="3C9E86E5">
              <w:rPr>
                <w:rFonts w:asciiTheme="minorHAnsi" w:eastAsiaTheme="minorEastAsia" w:hAnsiTheme="minorHAnsi" w:cstheme="minorBidi"/>
                <w:i/>
                <w:sz w:val="18"/>
                <w:szCs w:val="18"/>
              </w:rPr>
              <w:t>if v ≤ v_current then</w:t>
            </w:r>
          </w:p>
          <w:p w14:paraId="3FD447D6" w14:textId="77777777" w:rsidR="002B0D39" w:rsidRPr="00ED71F6" w:rsidRDefault="002B0D39" w:rsidP="002B0D39">
            <w:pPr>
              <w:pStyle w:val="NormalWeb"/>
              <w:jc w:val="both"/>
              <w:rPr>
                <w:rFonts w:asciiTheme="minorHAnsi" w:eastAsiaTheme="minorEastAsia" w:hAnsiTheme="minorHAnsi" w:cstheme="minorBidi"/>
                <w:i/>
                <w:sz w:val="18"/>
                <w:szCs w:val="18"/>
              </w:rPr>
            </w:pPr>
            <w:r w:rsidRPr="3C9E86E5">
              <w:rPr>
                <w:rFonts w:asciiTheme="minorHAnsi" w:eastAsiaTheme="minorEastAsia" w:hAnsiTheme="minorHAnsi" w:cstheme="minorBidi"/>
                <w:i/>
                <w:sz w:val="18"/>
                <w:szCs w:val="18"/>
              </w:rPr>
              <w:t xml:space="preserve">    return Reject</w:t>
            </w:r>
          </w:p>
          <w:p w14:paraId="747E9A06" w14:textId="77777777" w:rsidR="002B0D39" w:rsidRPr="00ED71F6" w:rsidRDefault="002B0D39" w:rsidP="002B0D39">
            <w:pPr>
              <w:pStyle w:val="NormalWeb"/>
              <w:jc w:val="both"/>
              <w:rPr>
                <w:rFonts w:asciiTheme="minorHAnsi" w:eastAsiaTheme="minorEastAsia" w:hAnsiTheme="minorHAnsi" w:cstheme="minorBidi"/>
                <w:i/>
                <w:sz w:val="18"/>
                <w:szCs w:val="18"/>
              </w:rPr>
            </w:pPr>
            <w:r w:rsidRPr="3C9E86E5">
              <w:rPr>
                <w:rFonts w:asciiTheme="minorHAnsi" w:eastAsiaTheme="minorEastAsia" w:hAnsiTheme="minorHAnsi" w:cstheme="minorBidi"/>
                <w:i/>
                <w:sz w:val="18"/>
                <w:szCs w:val="18"/>
              </w:rPr>
              <w:t>if S ≠ Idle then</w:t>
            </w:r>
          </w:p>
          <w:p w14:paraId="37E7DC81" w14:textId="77777777" w:rsidR="002B0D39" w:rsidRPr="00ED71F6" w:rsidRDefault="002B0D39" w:rsidP="002B0D39">
            <w:pPr>
              <w:pStyle w:val="NormalWeb"/>
              <w:jc w:val="both"/>
              <w:rPr>
                <w:rFonts w:asciiTheme="minorHAnsi" w:eastAsiaTheme="minorEastAsia" w:hAnsiTheme="minorHAnsi" w:cstheme="minorBidi"/>
                <w:i/>
                <w:sz w:val="18"/>
                <w:szCs w:val="18"/>
              </w:rPr>
            </w:pPr>
            <w:r w:rsidRPr="3C9E86E5">
              <w:rPr>
                <w:rFonts w:asciiTheme="minorHAnsi" w:eastAsiaTheme="minorEastAsia" w:hAnsiTheme="minorHAnsi" w:cstheme="minorBidi"/>
                <w:i/>
                <w:sz w:val="18"/>
                <w:szCs w:val="18"/>
              </w:rPr>
              <w:t xml:space="preserve">    return Reject</w:t>
            </w:r>
          </w:p>
          <w:p w14:paraId="5839B911" w14:textId="77777777" w:rsidR="003E20E8" w:rsidRPr="00ED71F6" w:rsidRDefault="002B0D39" w:rsidP="002B0D39">
            <w:pPr>
              <w:pStyle w:val="NormalWeb"/>
              <w:jc w:val="both"/>
              <w:rPr>
                <w:rFonts w:asciiTheme="minorHAnsi" w:eastAsiaTheme="minorEastAsia" w:hAnsiTheme="minorHAnsi" w:cstheme="minorBidi"/>
                <w:i/>
                <w:sz w:val="18"/>
                <w:szCs w:val="18"/>
              </w:rPr>
            </w:pPr>
            <w:r w:rsidRPr="3C9E86E5">
              <w:rPr>
                <w:rFonts w:asciiTheme="minorHAnsi" w:eastAsiaTheme="minorEastAsia" w:hAnsiTheme="minorHAnsi" w:cstheme="minorBidi"/>
                <w:i/>
                <w:sz w:val="18"/>
                <w:szCs w:val="18"/>
              </w:rPr>
              <w:t>CommitFirmware</w:t>
            </w:r>
          </w:p>
          <w:p w14:paraId="3A22D492" w14:textId="77777777" w:rsidR="008F3896" w:rsidRPr="008F3896" w:rsidRDefault="008F3896" w:rsidP="008F3896">
            <w:pPr>
              <w:pStyle w:val="NormalWeb"/>
              <w:jc w:val="both"/>
              <w:rPr>
                <w:rFonts w:asciiTheme="minorHAnsi" w:eastAsiaTheme="minorEastAsia" w:hAnsiTheme="minorHAnsi" w:cstheme="minorBidi"/>
                <w:i/>
                <w:sz w:val="18"/>
                <w:szCs w:val="18"/>
              </w:rPr>
            </w:pPr>
            <w:r w:rsidRPr="3C9E86E5">
              <w:rPr>
                <w:rFonts w:asciiTheme="minorHAnsi" w:eastAsiaTheme="minorEastAsia" w:hAnsiTheme="minorHAnsi" w:cstheme="minorBidi"/>
                <w:i/>
                <w:sz w:val="18"/>
                <w:szCs w:val="18"/>
              </w:rPr>
              <w:t>CommitFirmware(F)</w:t>
            </w:r>
          </w:p>
          <w:p w14:paraId="2F780FD9" w14:textId="74FDCFB3" w:rsidR="008F3896" w:rsidRPr="00ED71F6" w:rsidRDefault="008F3896" w:rsidP="00580183">
            <w:pPr>
              <w:pStyle w:val="NormalWeb"/>
              <w:jc w:val="both"/>
              <w:rPr>
                <w:rFonts w:asciiTheme="minorHAnsi" w:eastAsiaTheme="minorEastAsia" w:hAnsiTheme="minorHAnsi" w:cstheme="minorBidi"/>
                <w:i/>
                <w:sz w:val="18"/>
                <w:szCs w:val="18"/>
              </w:rPr>
            </w:pPr>
            <w:r w:rsidRPr="3C9E86E5">
              <w:rPr>
                <w:rFonts w:asciiTheme="minorHAnsi" w:eastAsiaTheme="minorEastAsia" w:hAnsiTheme="minorHAnsi" w:cstheme="minorBidi"/>
                <w:b/>
                <w:i/>
                <w:sz w:val="18"/>
                <w:szCs w:val="18"/>
              </w:rPr>
              <w:t>return</w:t>
            </w:r>
            <w:r w:rsidRPr="3C9E86E5">
              <w:rPr>
                <w:rFonts w:asciiTheme="minorHAnsi" w:eastAsiaTheme="minorEastAsia" w:hAnsiTheme="minorHAnsi" w:cstheme="minorBidi"/>
                <w:i/>
                <w:sz w:val="18"/>
                <w:szCs w:val="18"/>
              </w:rPr>
              <w:t xml:space="preserve"> Accept</w:t>
            </w:r>
          </w:p>
        </w:tc>
      </w:tr>
    </w:tbl>
    <w:p w14:paraId="635FB707" w14:textId="5628A228" w:rsidR="00CC719B" w:rsidRDefault="00CC719B" w:rsidP="00CC719B">
      <w:pPr>
        <w:pStyle w:val="NormalWeb"/>
        <w:jc w:val="both"/>
        <w:rPr>
          <w:rFonts w:asciiTheme="minorHAnsi" w:eastAsiaTheme="minorEastAsia" w:hAnsiTheme="minorHAnsi" w:cstheme="minorBidi"/>
        </w:rPr>
      </w:pPr>
      <w:r w:rsidRPr="4BE30DB7">
        <w:rPr>
          <w:rFonts w:ascii="Calibri" w:hAnsi="Calibri"/>
        </w:rPr>
        <w:t xml:space="preserve">If any validation step fails, the firmware update is </w:t>
      </w:r>
      <w:r w:rsidR="00243B1C" w:rsidRPr="4BE30DB7">
        <w:rPr>
          <w:rFonts w:ascii="Calibri" w:hAnsi="Calibri"/>
        </w:rPr>
        <w:t>rejected,</w:t>
      </w:r>
      <w:r w:rsidRPr="4BE30DB7">
        <w:rPr>
          <w:rFonts w:ascii="Calibri" w:hAnsi="Calibri"/>
        </w:rPr>
        <w:t xml:space="preserve"> and a policy violation is recorded. Importantly, validation occurs within the High-Integrity Domain and cannot be bypassed by Low-Integrity Domain components.</w:t>
      </w:r>
    </w:p>
    <w:p w14:paraId="7390746E" w14:textId="1600043B" w:rsidR="006D56F4" w:rsidRDefault="006D56F4" w:rsidP="00CC719B">
      <w:pPr>
        <w:pStyle w:val="NormalWeb"/>
        <w:jc w:val="both"/>
        <w:rPr>
          <w:rFonts w:asciiTheme="minorHAnsi" w:eastAsiaTheme="minorEastAsia" w:hAnsiTheme="minorHAnsi" w:cstheme="minorBidi"/>
        </w:rPr>
      </w:pPr>
      <w:r w:rsidRPr="4BE30DB7">
        <w:rPr>
          <w:rFonts w:ascii="Calibri" w:eastAsiaTheme="majorEastAsia" w:hAnsi="Calibri" w:cstheme="majorBidi"/>
          <w:b/>
          <w:color w:val="auto"/>
          <w:spacing w:val="1"/>
        </w:rPr>
        <w:t>Power Setpoint Enforcement</w:t>
      </w:r>
      <w:r w:rsidRPr="4BE30DB7">
        <w:rPr>
          <w:rFonts w:ascii="Calibri" w:hAnsi="Calibri"/>
        </w:rPr>
        <w:t xml:space="preserve"> </w:t>
      </w:r>
    </w:p>
    <w:p w14:paraId="42B30093" w14:textId="77777777" w:rsidR="00AF1628" w:rsidRDefault="00AF1628" w:rsidP="00AF1628">
      <w:pPr>
        <w:pStyle w:val="NormalWeb"/>
        <w:jc w:val="both"/>
        <w:rPr>
          <w:rFonts w:asciiTheme="minorHAnsi" w:eastAsiaTheme="minorEastAsia" w:hAnsiTheme="minorHAnsi" w:cstheme="minorBidi"/>
        </w:rPr>
      </w:pPr>
      <w:r w:rsidRPr="4BE30DB7">
        <w:rPr>
          <w:rFonts w:ascii="Calibri" w:hAnsi="Calibri"/>
        </w:rPr>
        <w:t>The EVSE operates as a grid-connected cyber-physical system. Manipulation of power delivery parameters can impact both battery safety and grid stability. The Power Setpoint Enforcement algorithm ensures that commanded power values remain within policy-defined safety bounds.</w:t>
      </w:r>
    </w:p>
    <w:p w14:paraId="1F2457B2" w14:textId="77777777" w:rsidR="00EE14F4" w:rsidRDefault="00EE14F4" w:rsidP="00AF1628">
      <w:pPr>
        <w:pStyle w:val="NormalWeb"/>
        <w:jc w:val="both"/>
        <w:rPr>
          <w:rFonts w:asciiTheme="minorHAnsi" w:eastAsiaTheme="minorEastAsia" w:hAnsiTheme="minorHAnsi" w:cstheme="minorBidi"/>
          <w:sz w:val="22"/>
          <w:szCs w:val="22"/>
        </w:rPr>
      </w:pPr>
    </w:p>
    <w:tbl>
      <w:tblPr>
        <w:tblStyle w:val="TableGrid"/>
        <w:tblW w:w="0" w:type="auto"/>
        <w:tblLook w:val="04A0" w:firstRow="1" w:lastRow="0" w:firstColumn="1" w:lastColumn="0" w:noHBand="0" w:noVBand="1"/>
      </w:tblPr>
      <w:tblGrid>
        <w:gridCol w:w="4459"/>
      </w:tblGrid>
      <w:tr w:rsidR="001741B0" w:rsidRPr="00ED71F6" w14:paraId="5D4D35BE" w14:textId="77777777" w:rsidTr="3C9E86E5">
        <w:trPr>
          <w:trHeight w:val="329"/>
        </w:trPr>
        <w:tc>
          <w:tcPr>
            <w:tcW w:w="4459" w:type="dxa"/>
            <w:shd w:val="clear" w:color="auto" w:fill="BFBFBF" w:themeFill="background2" w:themeFillShade="BF"/>
          </w:tcPr>
          <w:p w14:paraId="19473F1F" w14:textId="3F03A393" w:rsidR="001741B0" w:rsidRPr="00ED71F6" w:rsidRDefault="00E11DDB" w:rsidP="00AF1628">
            <w:pPr>
              <w:pStyle w:val="NormalWeb"/>
              <w:jc w:val="both"/>
              <w:rPr>
                <w:rFonts w:asciiTheme="minorHAnsi" w:hAnsiTheme="minorHAnsi" w:cstheme="minorHAnsi"/>
                <w:b/>
                <w:bCs/>
                <w:i/>
                <w:iCs/>
                <w:sz w:val="18"/>
                <w:szCs w:val="18"/>
              </w:rPr>
            </w:pPr>
            <w:r w:rsidRPr="00ED71F6">
              <w:rPr>
                <w:rFonts w:asciiTheme="minorHAnsi" w:hAnsiTheme="minorHAnsi" w:cstheme="minorHAnsi"/>
                <w:b/>
                <w:bCs/>
                <w:i/>
                <w:iCs/>
                <w:sz w:val="18"/>
                <w:szCs w:val="18"/>
              </w:rPr>
              <w:t>Algorithm 2: Power Setpoint Enforcement</w:t>
            </w:r>
          </w:p>
        </w:tc>
      </w:tr>
      <w:tr w:rsidR="001741B0" w:rsidRPr="00ED71F6" w14:paraId="6994E603" w14:textId="77777777" w:rsidTr="00E11DDB">
        <w:trPr>
          <w:trHeight w:val="2578"/>
        </w:trPr>
        <w:tc>
          <w:tcPr>
            <w:tcW w:w="4459" w:type="dxa"/>
          </w:tcPr>
          <w:p w14:paraId="42EFA4BC" w14:textId="77777777" w:rsidR="001741B0" w:rsidRPr="001741B0" w:rsidRDefault="001741B0" w:rsidP="001741B0">
            <w:pPr>
              <w:pStyle w:val="NormalWeb"/>
              <w:jc w:val="both"/>
              <w:rPr>
                <w:rFonts w:asciiTheme="minorHAnsi" w:hAnsiTheme="minorHAnsi" w:cstheme="minorHAnsi"/>
                <w:i/>
                <w:iCs/>
                <w:sz w:val="18"/>
                <w:szCs w:val="18"/>
                <w:lang w:val="en-US"/>
              </w:rPr>
            </w:pPr>
            <w:r w:rsidRPr="001741B0">
              <w:rPr>
                <w:rFonts w:asciiTheme="minorHAnsi" w:hAnsiTheme="minorHAnsi" w:cstheme="minorHAnsi"/>
                <w:b/>
                <w:bCs/>
                <w:i/>
                <w:iCs/>
                <w:sz w:val="18"/>
                <w:szCs w:val="18"/>
                <w:lang w:val="en-US"/>
              </w:rPr>
              <w:t>Input</w:t>
            </w:r>
            <w:r w:rsidRPr="001741B0">
              <w:rPr>
                <w:rFonts w:asciiTheme="minorHAnsi" w:hAnsiTheme="minorHAnsi" w:cstheme="minorHAnsi"/>
                <w:i/>
                <w:iCs/>
                <w:sz w:val="18"/>
                <w:szCs w:val="18"/>
                <w:lang w:val="en-US"/>
              </w:rPr>
              <w:t>: P_req (requested power), P_max (policy threshold)</w:t>
            </w:r>
          </w:p>
          <w:p w14:paraId="7E8F8B12" w14:textId="77777777" w:rsidR="001741B0" w:rsidRPr="001741B0" w:rsidRDefault="001741B0" w:rsidP="001741B0">
            <w:pPr>
              <w:pStyle w:val="NormalWeb"/>
              <w:jc w:val="both"/>
              <w:rPr>
                <w:rFonts w:asciiTheme="minorHAnsi" w:hAnsiTheme="minorHAnsi" w:cstheme="minorHAnsi"/>
                <w:i/>
                <w:iCs/>
                <w:sz w:val="18"/>
                <w:szCs w:val="18"/>
                <w:lang w:val="en-US"/>
              </w:rPr>
            </w:pPr>
            <w:r w:rsidRPr="001741B0">
              <w:rPr>
                <w:rFonts w:asciiTheme="minorHAnsi" w:hAnsiTheme="minorHAnsi" w:cstheme="minorHAnsi"/>
                <w:b/>
                <w:bCs/>
                <w:i/>
                <w:iCs/>
                <w:sz w:val="18"/>
                <w:szCs w:val="18"/>
                <w:lang w:val="en-US"/>
              </w:rPr>
              <w:t>Output</w:t>
            </w:r>
            <w:r w:rsidRPr="001741B0">
              <w:rPr>
                <w:rFonts w:asciiTheme="minorHAnsi" w:hAnsiTheme="minorHAnsi" w:cstheme="minorHAnsi"/>
                <w:i/>
                <w:iCs/>
                <w:sz w:val="18"/>
                <w:szCs w:val="18"/>
                <w:lang w:val="en-US"/>
              </w:rPr>
              <w:t>: P_out (enforced power output)</w:t>
            </w:r>
          </w:p>
          <w:p w14:paraId="53344568" w14:textId="77777777" w:rsidR="001741B0" w:rsidRPr="001741B0" w:rsidRDefault="001741B0" w:rsidP="001741B0">
            <w:pPr>
              <w:pStyle w:val="NormalWeb"/>
              <w:jc w:val="both"/>
              <w:rPr>
                <w:rFonts w:asciiTheme="minorHAnsi" w:hAnsiTheme="minorHAnsi" w:cstheme="minorHAnsi"/>
                <w:i/>
                <w:iCs/>
                <w:sz w:val="18"/>
                <w:szCs w:val="18"/>
                <w:lang w:val="en-US"/>
              </w:rPr>
            </w:pPr>
            <w:r w:rsidRPr="001741B0">
              <w:rPr>
                <w:rFonts w:asciiTheme="minorHAnsi" w:hAnsiTheme="minorHAnsi" w:cstheme="minorHAnsi"/>
                <w:i/>
                <w:iCs/>
                <w:sz w:val="18"/>
                <w:szCs w:val="18"/>
                <w:lang w:val="en-US"/>
              </w:rPr>
              <w:t>if P_req ≤ P_max then</w:t>
            </w:r>
          </w:p>
          <w:p w14:paraId="17577D67" w14:textId="77777777" w:rsidR="001741B0" w:rsidRPr="001741B0" w:rsidRDefault="001741B0" w:rsidP="001741B0">
            <w:pPr>
              <w:pStyle w:val="NormalWeb"/>
              <w:jc w:val="both"/>
              <w:rPr>
                <w:rFonts w:asciiTheme="minorHAnsi" w:hAnsiTheme="minorHAnsi" w:cstheme="minorHAnsi"/>
                <w:i/>
                <w:iCs/>
                <w:sz w:val="18"/>
                <w:szCs w:val="18"/>
                <w:lang w:val="en-US"/>
              </w:rPr>
            </w:pPr>
            <w:r w:rsidRPr="001741B0">
              <w:rPr>
                <w:rFonts w:asciiTheme="minorHAnsi" w:hAnsiTheme="minorHAnsi" w:cstheme="minorHAnsi"/>
                <w:i/>
                <w:iCs/>
                <w:sz w:val="18"/>
                <w:szCs w:val="18"/>
                <w:lang w:val="en-US"/>
              </w:rPr>
              <w:t xml:space="preserve">    P_out = P_req</w:t>
            </w:r>
          </w:p>
          <w:p w14:paraId="12728AFF" w14:textId="77777777" w:rsidR="001741B0" w:rsidRPr="001741B0" w:rsidRDefault="001741B0" w:rsidP="001741B0">
            <w:pPr>
              <w:pStyle w:val="NormalWeb"/>
              <w:jc w:val="both"/>
              <w:rPr>
                <w:rFonts w:asciiTheme="minorHAnsi" w:hAnsiTheme="minorHAnsi" w:cstheme="minorHAnsi"/>
                <w:i/>
                <w:iCs/>
                <w:sz w:val="18"/>
                <w:szCs w:val="18"/>
                <w:lang w:val="en-US"/>
              </w:rPr>
            </w:pPr>
            <w:r w:rsidRPr="001741B0">
              <w:rPr>
                <w:rFonts w:asciiTheme="minorHAnsi" w:hAnsiTheme="minorHAnsi" w:cstheme="minorHAnsi"/>
                <w:i/>
                <w:iCs/>
                <w:sz w:val="18"/>
                <w:szCs w:val="18"/>
                <w:lang w:val="en-US"/>
              </w:rPr>
              <w:t>else</w:t>
            </w:r>
          </w:p>
          <w:p w14:paraId="4F4B236A" w14:textId="77777777" w:rsidR="001741B0" w:rsidRPr="001741B0" w:rsidRDefault="001741B0" w:rsidP="001741B0">
            <w:pPr>
              <w:pStyle w:val="NormalWeb"/>
              <w:jc w:val="both"/>
              <w:rPr>
                <w:rFonts w:asciiTheme="minorHAnsi" w:hAnsiTheme="minorHAnsi" w:cstheme="minorHAnsi"/>
                <w:i/>
                <w:iCs/>
                <w:sz w:val="18"/>
                <w:szCs w:val="18"/>
                <w:lang w:val="en-US"/>
              </w:rPr>
            </w:pPr>
            <w:r w:rsidRPr="001741B0">
              <w:rPr>
                <w:rFonts w:asciiTheme="minorHAnsi" w:hAnsiTheme="minorHAnsi" w:cstheme="minorHAnsi"/>
                <w:i/>
                <w:iCs/>
                <w:sz w:val="18"/>
                <w:szCs w:val="18"/>
                <w:lang w:val="en-US"/>
              </w:rPr>
              <w:t xml:space="preserve">    P_out = P_max</w:t>
            </w:r>
          </w:p>
          <w:p w14:paraId="11E01CA5" w14:textId="77777777" w:rsidR="001741B0" w:rsidRPr="001741B0" w:rsidRDefault="001741B0" w:rsidP="001741B0">
            <w:pPr>
              <w:pStyle w:val="NormalWeb"/>
              <w:jc w:val="both"/>
              <w:rPr>
                <w:rFonts w:asciiTheme="minorHAnsi" w:hAnsiTheme="minorHAnsi" w:cstheme="minorHAnsi"/>
                <w:i/>
                <w:iCs/>
                <w:sz w:val="18"/>
                <w:szCs w:val="18"/>
                <w:lang w:val="en-US"/>
              </w:rPr>
            </w:pPr>
            <w:r w:rsidRPr="001741B0">
              <w:rPr>
                <w:rFonts w:asciiTheme="minorHAnsi" w:hAnsiTheme="minorHAnsi" w:cstheme="minorHAnsi"/>
                <w:i/>
                <w:iCs/>
                <w:sz w:val="18"/>
                <w:szCs w:val="18"/>
                <w:lang w:val="en-US"/>
              </w:rPr>
              <w:t>LogEnforcement(P_req, P_out)</w:t>
            </w:r>
          </w:p>
          <w:p w14:paraId="76139DAD" w14:textId="5DB78F3A" w:rsidR="001741B0" w:rsidRPr="00ED71F6" w:rsidRDefault="001741B0" w:rsidP="001741B0">
            <w:pPr>
              <w:pStyle w:val="NormalWeb"/>
              <w:jc w:val="both"/>
              <w:rPr>
                <w:rFonts w:asciiTheme="minorHAnsi" w:hAnsiTheme="minorHAnsi" w:cstheme="minorHAnsi"/>
                <w:i/>
                <w:iCs/>
                <w:sz w:val="18"/>
                <w:szCs w:val="18"/>
              </w:rPr>
            </w:pPr>
            <w:r w:rsidRPr="00ED71F6">
              <w:rPr>
                <w:rFonts w:asciiTheme="minorHAnsi" w:hAnsiTheme="minorHAnsi" w:cstheme="minorHAnsi"/>
                <w:b/>
                <w:bCs/>
                <w:i/>
                <w:iCs/>
                <w:sz w:val="18"/>
                <w:szCs w:val="18"/>
                <w:lang w:val="en-US"/>
              </w:rPr>
              <w:t>return</w:t>
            </w:r>
            <w:r w:rsidRPr="00ED71F6">
              <w:rPr>
                <w:rFonts w:asciiTheme="minorHAnsi" w:hAnsiTheme="minorHAnsi" w:cstheme="minorHAnsi"/>
                <w:i/>
                <w:iCs/>
                <w:sz w:val="18"/>
                <w:szCs w:val="18"/>
                <w:lang w:val="en-US"/>
              </w:rPr>
              <w:t xml:space="preserve"> P_out</w:t>
            </w:r>
          </w:p>
        </w:tc>
      </w:tr>
    </w:tbl>
    <w:p w14:paraId="38ED8CD8" w14:textId="77777777" w:rsidR="00183DDD" w:rsidRDefault="00183DDD" w:rsidP="00AF1628">
      <w:pPr>
        <w:pStyle w:val="NormalWeb"/>
        <w:jc w:val="both"/>
        <w:rPr>
          <w:rFonts w:asciiTheme="minorHAnsi" w:eastAsiaTheme="minorEastAsia" w:hAnsiTheme="minorHAnsi" w:cstheme="minorBidi"/>
          <w:sz w:val="22"/>
          <w:szCs w:val="22"/>
        </w:rPr>
      </w:pPr>
    </w:p>
    <w:p w14:paraId="7446F9BC" w14:textId="09A2784B" w:rsidR="001741B0" w:rsidRDefault="00183DDD" w:rsidP="00AF1628">
      <w:pPr>
        <w:pStyle w:val="NormalWeb"/>
        <w:jc w:val="both"/>
        <w:rPr>
          <w:rFonts w:asciiTheme="minorHAnsi" w:eastAsiaTheme="minorEastAsia" w:hAnsiTheme="minorHAnsi" w:cstheme="minorBidi"/>
        </w:rPr>
      </w:pPr>
      <w:r w:rsidRPr="4BE30DB7">
        <w:rPr>
          <w:rFonts w:ascii="Calibri" w:hAnsi="Calibri"/>
        </w:rPr>
        <w:t>The bounded override mechanism ensures that malicious or erroneous commands cannot induce unsafe behaviour. Unlike binary rejection, bounded override preserves service continuity while enforcing safety constraints.</w:t>
      </w:r>
    </w:p>
    <w:p w14:paraId="7534BBF7" w14:textId="4D1A208E" w:rsidR="00AF1628" w:rsidRPr="00CC719B" w:rsidRDefault="000A2038" w:rsidP="00CC719B">
      <w:pPr>
        <w:pStyle w:val="NormalWeb"/>
        <w:jc w:val="both"/>
        <w:rPr>
          <w:rFonts w:asciiTheme="minorHAnsi" w:eastAsiaTheme="minorEastAsia" w:hAnsiTheme="minorHAnsi" w:cstheme="minorBidi"/>
          <w:b/>
          <w:color w:val="auto"/>
          <w:spacing w:val="1"/>
        </w:rPr>
      </w:pPr>
      <w:r w:rsidRPr="4BE30DB7">
        <w:rPr>
          <w:rFonts w:ascii="Calibri" w:eastAsiaTheme="majorEastAsia" w:hAnsi="Calibri" w:cstheme="majorBidi"/>
          <w:b/>
          <w:color w:val="auto"/>
          <w:spacing w:val="1"/>
        </w:rPr>
        <w:t>Authenticated Command Validation</w:t>
      </w:r>
    </w:p>
    <w:p w14:paraId="6B2D1AD7" w14:textId="3FE88224" w:rsidR="00CC719B" w:rsidRPr="007F1478" w:rsidRDefault="00E0470C" w:rsidP="007F1478">
      <w:pPr>
        <w:pStyle w:val="NormalWeb"/>
        <w:jc w:val="both"/>
        <w:rPr>
          <w:rFonts w:asciiTheme="minorHAnsi" w:eastAsiaTheme="minorEastAsia" w:hAnsiTheme="minorHAnsi" w:cstheme="minorBidi"/>
        </w:rPr>
      </w:pPr>
      <w:r w:rsidRPr="4BE30DB7">
        <w:rPr>
          <w:rFonts w:ascii="Calibri" w:hAnsi="Calibri"/>
        </w:rPr>
        <w:t>Backend communication channels represent a critical attack surface. Unauthorized commands transmitted over compromised channels could manipulate charging behaviour or initiate unsafe firmware updates.</w:t>
      </w:r>
    </w:p>
    <w:tbl>
      <w:tblPr>
        <w:tblStyle w:val="TableGrid"/>
        <w:tblW w:w="0" w:type="auto"/>
        <w:tblLook w:val="04A0" w:firstRow="1" w:lastRow="0" w:firstColumn="1" w:lastColumn="0" w:noHBand="0" w:noVBand="1"/>
      </w:tblPr>
      <w:tblGrid>
        <w:gridCol w:w="4459"/>
      </w:tblGrid>
      <w:tr w:rsidR="00E0470C" w:rsidRPr="00ED71F6" w14:paraId="149F39DB" w14:textId="77777777" w:rsidTr="3C9E86E5">
        <w:trPr>
          <w:trHeight w:val="329"/>
        </w:trPr>
        <w:tc>
          <w:tcPr>
            <w:tcW w:w="4459" w:type="dxa"/>
            <w:shd w:val="clear" w:color="auto" w:fill="BFBFBF" w:themeFill="background2" w:themeFillShade="BF"/>
          </w:tcPr>
          <w:p w14:paraId="1F582C11" w14:textId="5466435C" w:rsidR="00E0470C" w:rsidRPr="00ED71F6" w:rsidRDefault="00B867FD">
            <w:pPr>
              <w:pStyle w:val="NormalWeb"/>
              <w:jc w:val="both"/>
              <w:rPr>
                <w:rFonts w:asciiTheme="minorHAnsi" w:hAnsiTheme="minorHAnsi" w:cstheme="minorHAnsi"/>
                <w:b/>
                <w:bCs/>
                <w:i/>
                <w:iCs/>
                <w:sz w:val="18"/>
                <w:szCs w:val="18"/>
              </w:rPr>
            </w:pPr>
            <w:r w:rsidRPr="00ED71F6">
              <w:rPr>
                <w:rFonts w:asciiTheme="minorHAnsi" w:hAnsiTheme="minorHAnsi" w:cstheme="minorHAnsi"/>
                <w:b/>
                <w:bCs/>
                <w:i/>
                <w:iCs/>
                <w:sz w:val="18"/>
                <w:szCs w:val="18"/>
              </w:rPr>
              <w:t>Algorithm 3: Authenticated Command Validation</w:t>
            </w:r>
          </w:p>
        </w:tc>
      </w:tr>
      <w:tr w:rsidR="00E0470C" w:rsidRPr="00ED71F6" w14:paraId="6B1B71CE" w14:textId="77777777">
        <w:trPr>
          <w:trHeight w:val="2578"/>
        </w:trPr>
        <w:tc>
          <w:tcPr>
            <w:tcW w:w="4459" w:type="dxa"/>
          </w:tcPr>
          <w:p w14:paraId="54108BCE" w14:textId="77777777" w:rsidR="00860A99" w:rsidRPr="00ED71F6" w:rsidRDefault="00860A99" w:rsidP="00860A99">
            <w:pPr>
              <w:pStyle w:val="NormalWeb"/>
              <w:jc w:val="both"/>
              <w:rPr>
                <w:rFonts w:asciiTheme="minorHAnsi" w:hAnsiTheme="minorHAnsi" w:cstheme="minorHAnsi"/>
                <w:i/>
                <w:iCs/>
                <w:sz w:val="18"/>
                <w:szCs w:val="18"/>
                <w:lang w:val="en-US"/>
              </w:rPr>
            </w:pPr>
            <w:r w:rsidRPr="00ED71F6">
              <w:rPr>
                <w:rFonts w:asciiTheme="minorHAnsi" w:hAnsiTheme="minorHAnsi" w:cstheme="minorHAnsi"/>
                <w:b/>
                <w:bCs/>
                <w:i/>
                <w:iCs/>
                <w:sz w:val="18"/>
                <w:szCs w:val="18"/>
                <w:lang w:val="en-US"/>
              </w:rPr>
              <w:t>Input</w:t>
            </w:r>
            <w:r w:rsidRPr="00ED71F6">
              <w:rPr>
                <w:rFonts w:asciiTheme="minorHAnsi" w:hAnsiTheme="minorHAnsi" w:cstheme="minorHAnsi"/>
                <w:i/>
                <w:iCs/>
                <w:sz w:val="18"/>
                <w:szCs w:val="18"/>
                <w:lang w:val="en-US"/>
              </w:rPr>
              <w:t>: M (control message)</w:t>
            </w:r>
          </w:p>
          <w:p w14:paraId="19D02EC3" w14:textId="77777777" w:rsidR="00860A99" w:rsidRPr="00ED71F6" w:rsidRDefault="00860A99" w:rsidP="00860A99">
            <w:pPr>
              <w:pStyle w:val="NormalWeb"/>
              <w:jc w:val="both"/>
              <w:rPr>
                <w:rFonts w:asciiTheme="minorHAnsi" w:hAnsiTheme="minorHAnsi" w:cstheme="minorHAnsi"/>
                <w:i/>
                <w:iCs/>
                <w:sz w:val="18"/>
                <w:szCs w:val="18"/>
                <w:lang w:val="en-US"/>
              </w:rPr>
            </w:pPr>
            <w:r w:rsidRPr="00ED71F6">
              <w:rPr>
                <w:rFonts w:asciiTheme="minorHAnsi" w:hAnsiTheme="minorHAnsi" w:cstheme="minorHAnsi"/>
                <w:b/>
                <w:bCs/>
                <w:i/>
                <w:iCs/>
                <w:sz w:val="18"/>
                <w:szCs w:val="18"/>
                <w:lang w:val="en-US"/>
              </w:rPr>
              <w:t>Output</w:t>
            </w:r>
            <w:r w:rsidRPr="00ED71F6">
              <w:rPr>
                <w:rFonts w:asciiTheme="minorHAnsi" w:hAnsiTheme="minorHAnsi" w:cstheme="minorHAnsi"/>
                <w:i/>
                <w:iCs/>
                <w:sz w:val="18"/>
                <w:szCs w:val="18"/>
                <w:lang w:val="en-US"/>
              </w:rPr>
              <w:t>: Accept or Reject</w:t>
            </w:r>
          </w:p>
          <w:p w14:paraId="7BC2C3B7" w14:textId="77777777" w:rsidR="00860A99" w:rsidRPr="00ED71F6" w:rsidRDefault="00860A99" w:rsidP="00860A99">
            <w:pPr>
              <w:pStyle w:val="NormalWeb"/>
              <w:jc w:val="both"/>
              <w:rPr>
                <w:rFonts w:asciiTheme="minorHAnsi" w:hAnsiTheme="minorHAnsi" w:cstheme="minorHAnsi"/>
                <w:i/>
                <w:iCs/>
                <w:sz w:val="18"/>
                <w:szCs w:val="18"/>
                <w:lang w:val="en-US"/>
              </w:rPr>
            </w:pPr>
            <w:r w:rsidRPr="00ED71F6">
              <w:rPr>
                <w:rFonts w:asciiTheme="minorHAnsi" w:hAnsiTheme="minorHAnsi" w:cstheme="minorHAnsi"/>
                <w:i/>
                <w:iCs/>
                <w:sz w:val="18"/>
                <w:szCs w:val="18"/>
                <w:lang w:val="en-US"/>
              </w:rPr>
              <w:t>if VerifyTLS(M) = False then</w:t>
            </w:r>
          </w:p>
          <w:p w14:paraId="79DB31D9" w14:textId="77777777" w:rsidR="00860A99" w:rsidRPr="00ED71F6" w:rsidRDefault="00860A99" w:rsidP="00860A99">
            <w:pPr>
              <w:pStyle w:val="NormalWeb"/>
              <w:jc w:val="both"/>
              <w:rPr>
                <w:rFonts w:asciiTheme="minorHAnsi" w:hAnsiTheme="minorHAnsi" w:cstheme="minorHAnsi"/>
                <w:i/>
                <w:iCs/>
                <w:sz w:val="18"/>
                <w:szCs w:val="18"/>
                <w:lang w:val="en-US"/>
              </w:rPr>
            </w:pPr>
            <w:r w:rsidRPr="00ED71F6">
              <w:rPr>
                <w:rFonts w:asciiTheme="minorHAnsi" w:hAnsiTheme="minorHAnsi" w:cstheme="minorHAnsi"/>
                <w:i/>
                <w:iCs/>
                <w:sz w:val="18"/>
                <w:szCs w:val="18"/>
                <w:lang w:val="en-US"/>
              </w:rPr>
              <w:t xml:space="preserve">    return Reject</w:t>
            </w:r>
          </w:p>
          <w:p w14:paraId="4912523E" w14:textId="77777777" w:rsidR="00860A99" w:rsidRPr="00ED71F6" w:rsidRDefault="00860A99" w:rsidP="00860A99">
            <w:pPr>
              <w:pStyle w:val="NormalWeb"/>
              <w:jc w:val="both"/>
              <w:rPr>
                <w:rFonts w:asciiTheme="minorHAnsi" w:hAnsiTheme="minorHAnsi" w:cstheme="minorHAnsi"/>
                <w:i/>
                <w:iCs/>
                <w:sz w:val="18"/>
                <w:szCs w:val="18"/>
                <w:lang w:val="en-US"/>
              </w:rPr>
            </w:pPr>
            <w:r w:rsidRPr="00ED71F6">
              <w:rPr>
                <w:rFonts w:asciiTheme="minorHAnsi" w:hAnsiTheme="minorHAnsi" w:cstheme="minorHAnsi"/>
                <w:i/>
                <w:iCs/>
                <w:sz w:val="18"/>
                <w:szCs w:val="18"/>
                <w:lang w:val="en-US"/>
              </w:rPr>
              <w:t>if ValidateClientCertificate(M) = False then</w:t>
            </w:r>
          </w:p>
          <w:p w14:paraId="5EE9FF85" w14:textId="77777777" w:rsidR="00860A99" w:rsidRPr="00ED71F6" w:rsidRDefault="00860A99" w:rsidP="00860A99">
            <w:pPr>
              <w:pStyle w:val="NormalWeb"/>
              <w:jc w:val="both"/>
              <w:rPr>
                <w:rFonts w:asciiTheme="minorHAnsi" w:hAnsiTheme="minorHAnsi" w:cstheme="minorHAnsi"/>
                <w:i/>
                <w:iCs/>
                <w:sz w:val="18"/>
                <w:szCs w:val="18"/>
                <w:lang w:val="en-US"/>
              </w:rPr>
            </w:pPr>
            <w:r w:rsidRPr="00ED71F6">
              <w:rPr>
                <w:rFonts w:asciiTheme="minorHAnsi" w:hAnsiTheme="minorHAnsi" w:cstheme="minorHAnsi"/>
                <w:i/>
                <w:iCs/>
                <w:sz w:val="18"/>
                <w:szCs w:val="18"/>
                <w:lang w:val="en-US"/>
              </w:rPr>
              <w:t xml:space="preserve">    return Reject</w:t>
            </w:r>
          </w:p>
          <w:p w14:paraId="5DDB15DB" w14:textId="77777777" w:rsidR="00860A99" w:rsidRPr="00ED71F6" w:rsidRDefault="00860A99" w:rsidP="00860A99">
            <w:pPr>
              <w:pStyle w:val="NormalWeb"/>
              <w:jc w:val="both"/>
              <w:rPr>
                <w:rFonts w:asciiTheme="minorHAnsi" w:hAnsiTheme="minorHAnsi" w:cstheme="minorHAnsi"/>
                <w:i/>
                <w:iCs/>
                <w:sz w:val="18"/>
                <w:szCs w:val="18"/>
                <w:lang w:val="en-US"/>
              </w:rPr>
            </w:pPr>
            <w:r w:rsidRPr="00ED71F6">
              <w:rPr>
                <w:rFonts w:asciiTheme="minorHAnsi" w:hAnsiTheme="minorHAnsi" w:cstheme="minorHAnsi"/>
                <w:i/>
                <w:iCs/>
                <w:sz w:val="18"/>
                <w:szCs w:val="18"/>
                <w:lang w:val="en-US"/>
              </w:rPr>
              <w:t>if CheckAuthorizationRole(M) = False then</w:t>
            </w:r>
          </w:p>
          <w:p w14:paraId="38E249DA" w14:textId="77777777" w:rsidR="00860A99" w:rsidRPr="00ED71F6" w:rsidRDefault="00860A99" w:rsidP="00860A99">
            <w:pPr>
              <w:pStyle w:val="NormalWeb"/>
              <w:jc w:val="both"/>
              <w:rPr>
                <w:rFonts w:asciiTheme="minorHAnsi" w:hAnsiTheme="minorHAnsi" w:cstheme="minorHAnsi"/>
                <w:i/>
                <w:iCs/>
                <w:sz w:val="18"/>
                <w:szCs w:val="18"/>
                <w:lang w:val="en-US"/>
              </w:rPr>
            </w:pPr>
            <w:r w:rsidRPr="00ED71F6">
              <w:rPr>
                <w:rFonts w:asciiTheme="minorHAnsi" w:hAnsiTheme="minorHAnsi" w:cstheme="minorHAnsi"/>
                <w:i/>
                <w:iCs/>
                <w:sz w:val="18"/>
                <w:szCs w:val="18"/>
                <w:lang w:val="en-US"/>
              </w:rPr>
              <w:t xml:space="preserve">    return Reject</w:t>
            </w:r>
          </w:p>
          <w:p w14:paraId="6AA9C6AD" w14:textId="77777777" w:rsidR="00860A99" w:rsidRPr="00ED71F6" w:rsidRDefault="00860A99" w:rsidP="00860A99">
            <w:pPr>
              <w:pStyle w:val="NormalWeb"/>
              <w:jc w:val="both"/>
              <w:rPr>
                <w:rFonts w:asciiTheme="minorHAnsi" w:hAnsiTheme="minorHAnsi" w:cstheme="minorHAnsi"/>
                <w:i/>
                <w:iCs/>
                <w:sz w:val="18"/>
                <w:szCs w:val="18"/>
                <w:lang w:val="en-US"/>
              </w:rPr>
            </w:pPr>
            <w:r w:rsidRPr="00ED71F6">
              <w:rPr>
                <w:rFonts w:asciiTheme="minorHAnsi" w:hAnsiTheme="minorHAnsi" w:cstheme="minorHAnsi"/>
                <w:i/>
                <w:iCs/>
                <w:sz w:val="18"/>
                <w:szCs w:val="18"/>
                <w:lang w:val="en-US"/>
              </w:rPr>
              <w:t>ExecuteCommand(M)</w:t>
            </w:r>
          </w:p>
          <w:p w14:paraId="6DDDA54D" w14:textId="0E37C2B4" w:rsidR="00E0470C" w:rsidRPr="00ED71F6" w:rsidRDefault="00860A99" w:rsidP="00860A99">
            <w:pPr>
              <w:pStyle w:val="NormalWeb"/>
              <w:jc w:val="both"/>
              <w:rPr>
                <w:rFonts w:asciiTheme="minorHAnsi" w:hAnsiTheme="minorHAnsi" w:cstheme="minorHAnsi"/>
                <w:i/>
                <w:iCs/>
                <w:sz w:val="18"/>
                <w:szCs w:val="18"/>
              </w:rPr>
            </w:pPr>
            <w:r w:rsidRPr="00ED71F6">
              <w:rPr>
                <w:rFonts w:asciiTheme="minorHAnsi" w:hAnsiTheme="minorHAnsi" w:cstheme="minorHAnsi"/>
                <w:b/>
                <w:bCs/>
                <w:i/>
                <w:iCs/>
                <w:sz w:val="18"/>
                <w:szCs w:val="18"/>
                <w:lang w:val="en-US"/>
              </w:rPr>
              <w:t>return</w:t>
            </w:r>
            <w:r w:rsidRPr="00ED71F6">
              <w:rPr>
                <w:rFonts w:asciiTheme="minorHAnsi" w:hAnsiTheme="minorHAnsi" w:cstheme="minorHAnsi"/>
                <w:i/>
                <w:iCs/>
                <w:sz w:val="18"/>
                <w:szCs w:val="18"/>
                <w:lang w:val="en-US"/>
              </w:rPr>
              <w:t xml:space="preserve"> Accept</w:t>
            </w:r>
          </w:p>
        </w:tc>
      </w:tr>
    </w:tbl>
    <w:p w14:paraId="2486A9D0" w14:textId="15668AE6" w:rsidR="00F941BC" w:rsidRDefault="006D01CC" w:rsidP="005641B9">
      <w:pPr>
        <w:rPr>
          <w:rFonts w:asciiTheme="minorHAnsi" w:eastAsiaTheme="minorEastAsia" w:hAnsiTheme="minorHAnsi" w:cstheme="minorBidi"/>
          <w:sz w:val="24"/>
          <w:szCs w:val="24"/>
        </w:rPr>
      </w:pPr>
      <w:r w:rsidRPr="07683BFA">
        <w:rPr>
          <w:sz w:val="24"/>
          <w:szCs w:val="24"/>
        </w:rPr>
        <w:t>Only commands satisfying all cryptographic and authorization checks are forwarded to execution.</w:t>
      </w:r>
    </w:p>
    <w:p w14:paraId="1F82A4FD" w14:textId="77777777" w:rsidR="00CD34AD" w:rsidRPr="00CD34AD" w:rsidRDefault="00CD34AD" w:rsidP="00CD34AD">
      <w:pPr>
        <w:pStyle w:val="NormalWeb"/>
        <w:jc w:val="both"/>
        <w:rPr>
          <w:rFonts w:asciiTheme="minorHAnsi" w:eastAsiaTheme="minorEastAsia" w:hAnsiTheme="minorHAnsi" w:cstheme="minorBidi"/>
          <w:b/>
          <w:color w:val="auto"/>
          <w:spacing w:val="1"/>
        </w:rPr>
      </w:pPr>
      <w:r w:rsidRPr="07683BFA">
        <w:rPr>
          <w:rFonts w:ascii="Calibri" w:eastAsiaTheme="majorEastAsia" w:hAnsi="Calibri" w:cstheme="majorBidi"/>
          <w:b/>
          <w:color w:val="auto"/>
          <w:spacing w:val="1"/>
        </w:rPr>
        <w:t>State Transition Integrity Enforcement</w:t>
      </w:r>
    </w:p>
    <w:p w14:paraId="45AD96AE" w14:textId="0F0B76C4" w:rsidR="00CD34AD" w:rsidRDefault="00CD34AD" w:rsidP="00CD34AD">
      <w:pPr>
        <w:rPr>
          <w:rFonts w:asciiTheme="minorHAnsi" w:eastAsiaTheme="minorEastAsia" w:hAnsiTheme="minorHAnsi" w:cstheme="minorBidi"/>
          <w:sz w:val="24"/>
          <w:szCs w:val="24"/>
        </w:rPr>
      </w:pPr>
      <w:r w:rsidRPr="07683BFA">
        <w:rPr>
          <w:sz w:val="24"/>
          <w:szCs w:val="24"/>
        </w:rPr>
        <w:t>The TSM enforces correctness of operational state transitions. Charging state transitions follow a defined state machine, and unsafe transitions are blocked.</w:t>
      </w:r>
    </w:p>
    <w:tbl>
      <w:tblPr>
        <w:tblStyle w:val="TableGrid"/>
        <w:tblW w:w="0" w:type="auto"/>
        <w:tblLook w:val="04A0" w:firstRow="1" w:lastRow="0" w:firstColumn="1" w:lastColumn="0" w:noHBand="0" w:noVBand="1"/>
      </w:tblPr>
      <w:tblGrid>
        <w:gridCol w:w="4459"/>
      </w:tblGrid>
      <w:tr w:rsidR="001D13A2" w:rsidRPr="00ED71F6" w14:paraId="46484452" w14:textId="77777777" w:rsidTr="3C9E86E5">
        <w:trPr>
          <w:trHeight w:val="329"/>
        </w:trPr>
        <w:tc>
          <w:tcPr>
            <w:tcW w:w="4459" w:type="dxa"/>
            <w:shd w:val="clear" w:color="auto" w:fill="BFBFBF" w:themeFill="background2" w:themeFillShade="BF"/>
          </w:tcPr>
          <w:p w14:paraId="329CD947" w14:textId="6045A0A7" w:rsidR="001D13A2" w:rsidRPr="00ED71F6" w:rsidRDefault="001D13A2">
            <w:pPr>
              <w:pStyle w:val="NormalWeb"/>
              <w:jc w:val="both"/>
              <w:rPr>
                <w:rFonts w:asciiTheme="minorHAnsi" w:hAnsiTheme="minorHAnsi" w:cstheme="minorHAnsi"/>
                <w:b/>
                <w:bCs/>
                <w:i/>
                <w:iCs/>
                <w:sz w:val="18"/>
                <w:szCs w:val="18"/>
              </w:rPr>
            </w:pPr>
            <w:r w:rsidRPr="00ED71F6">
              <w:rPr>
                <w:rFonts w:asciiTheme="minorHAnsi" w:hAnsiTheme="minorHAnsi" w:cstheme="minorHAnsi"/>
                <w:b/>
                <w:bCs/>
                <w:i/>
                <w:iCs/>
                <w:sz w:val="18"/>
                <w:szCs w:val="18"/>
              </w:rPr>
              <w:t xml:space="preserve">Algorithm </w:t>
            </w:r>
            <w:r w:rsidR="00A93C1F" w:rsidRPr="00ED71F6">
              <w:rPr>
                <w:rFonts w:asciiTheme="minorHAnsi" w:hAnsiTheme="minorHAnsi" w:cstheme="minorHAnsi"/>
                <w:b/>
                <w:bCs/>
                <w:i/>
                <w:iCs/>
                <w:sz w:val="18"/>
                <w:szCs w:val="18"/>
              </w:rPr>
              <w:t>4</w:t>
            </w:r>
            <w:r w:rsidRPr="00ED71F6">
              <w:rPr>
                <w:rFonts w:asciiTheme="minorHAnsi" w:hAnsiTheme="minorHAnsi" w:cstheme="minorHAnsi"/>
                <w:b/>
                <w:bCs/>
                <w:i/>
                <w:iCs/>
                <w:sz w:val="18"/>
                <w:szCs w:val="18"/>
              </w:rPr>
              <w:t xml:space="preserve">: </w:t>
            </w:r>
            <w:r w:rsidR="00A93C1F" w:rsidRPr="00ED71F6">
              <w:rPr>
                <w:rFonts w:asciiTheme="minorHAnsi" w:hAnsiTheme="minorHAnsi" w:cstheme="minorHAnsi"/>
                <w:b/>
                <w:bCs/>
                <w:i/>
                <w:iCs/>
                <w:sz w:val="18"/>
                <w:szCs w:val="18"/>
              </w:rPr>
              <w:t>State Transition Integrity Enforcement</w:t>
            </w:r>
          </w:p>
        </w:tc>
      </w:tr>
      <w:tr w:rsidR="001D13A2" w:rsidRPr="00ED71F6" w14:paraId="46C5EF27" w14:textId="77777777">
        <w:trPr>
          <w:trHeight w:val="2578"/>
        </w:trPr>
        <w:tc>
          <w:tcPr>
            <w:tcW w:w="4459" w:type="dxa"/>
          </w:tcPr>
          <w:p w14:paraId="0DF1748B" w14:textId="77777777" w:rsidR="006D2F4F" w:rsidRPr="00ED71F6" w:rsidRDefault="006D2F4F" w:rsidP="006D2F4F">
            <w:pPr>
              <w:pStyle w:val="NormalWeb"/>
              <w:jc w:val="both"/>
              <w:rPr>
                <w:rFonts w:asciiTheme="minorHAnsi" w:hAnsiTheme="minorHAnsi" w:cstheme="minorHAnsi"/>
                <w:i/>
                <w:iCs/>
                <w:sz w:val="18"/>
                <w:szCs w:val="18"/>
                <w:lang w:val="en-US"/>
              </w:rPr>
            </w:pPr>
            <w:r w:rsidRPr="00ED71F6">
              <w:rPr>
                <w:rFonts w:asciiTheme="minorHAnsi" w:hAnsiTheme="minorHAnsi" w:cstheme="minorHAnsi"/>
                <w:b/>
                <w:bCs/>
                <w:i/>
                <w:iCs/>
                <w:sz w:val="18"/>
                <w:szCs w:val="18"/>
                <w:lang w:val="en-US"/>
              </w:rPr>
              <w:t>Input</w:t>
            </w:r>
            <w:r w:rsidRPr="00ED71F6">
              <w:rPr>
                <w:rFonts w:asciiTheme="minorHAnsi" w:hAnsiTheme="minorHAnsi" w:cstheme="minorHAnsi"/>
                <w:i/>
                <w:iCs/>
                <w:sz w:val="18"/>
                <w:szCs w:val="18"/>
                <w:lang w:val="en-US"/>
              </w:rPr>
              <w:t>: S_t (current state), S_next (requested state)</w:t>
            </w:r>
          </w:p>
          <w:p w14:paraId="0310AB9A" w14:textId="77777777" w:rsidR="006D2F4F" w:rsidRPr="00ED71F6" w:rsidRDefault="006D2F4F" w:rsidP="006D2F4F">
            <w:pPr>
              <w:pStyle w:val="NormalWeb"/>
              <w:jc w:val="both"/>
              <w:rPr>
                <w:rFonts w:asciiTheme="minorHAnsi" w:hAnsiTheme="minorHAnsi" w:cstheme="minorHAnsi"/>
                <w:i/>
                <w:iCs/>
                <w:sz w:val="18"/>
                <w:szCs w:val="18"/>
                <w:lang w:val="en-US"/>
              </w:rPr>
            </w:pPr>
            <w:r w:rsidRPr="00ED71F6">
              <w:rPr>
                <w:rFonts w:asciiTheme="minorHAnsi" w:hAnsiTheme="minorHAnsi" w:cstheme="minorHAnsi"/>
                <w:b/>
                <w:bCs/>
                <w:i/>
                <w:iCs/>
                <w:sz w:val="18"/>
                <w:szCs w:val="18"/>
                <w:lang w:val="en-US"/>
              </w:rPr>
              <w:t>Output</w:t>
            </w:r>
            <w:r w:rsidRPr="00ED71F6">
              <w:rPr>
                <w:rFonts w:asciiTheme="minorHAnsi" w:hAnsiTheme="minorHAnsi" w:cstheme="minorHAnsi"/>
                <w:i/>
                <w:iCs/>
                <w:sz w:val="18"/>
                <w:szCs w:val="18"/>
                <w:lang w:val="en-US"/>
              </w:rPr>
              <w:t>: Allow or Deny</w:t>
            </w:r>
          </w:p>
          <w:p w14:paraId="114956EE" w14:textId="77777777" w:rsidR="006D2F4F" w:rsidRPr="00ED71F6" w:rsidRDefault="006D2F4F" w:rsidP="006D2F4F">
            <w:pPr>
              <w:pStyle w:val="NormalWeb"/>
              <w:jc w:val="both"/>
              <w:rPr>
                <w:rFonts w:asciiTheme="minorHAnsi" w:hAnsiTheme="minorHAnsi" w:cstheme="minorHAnsi"/>
                <w:i/>
                <w:iCs/>
                <w:sz w:val="18"/>
                <w:szCs w:val="18"/>
                <w:lang w:val="en-US"/>
              </w:rPr>
            </w:pPr>
            <w:r w:rsidRPr="00ED71F6">
              <w:rPr>
                <w:rFonts w:asciiTheme="minorHAnsi" w:hAnsiTheme="minorHAnsi" w:cstheme="minorHAnsi"/>
                <w:i/>
                <w:iCs/>
                <w:sz w:val="18"/>
                <w:szCs w:val="18"/>
                <w:lang w:val="en-US"/>
              </w:rPr>
              <w:t xml:space="preserve">if S_next </w:t>
            </w:r>
            <w:r w:rsidRPr="3C9E86E5">
              <w:rPr>
                <w:rFonts w:asciiTheme="minorHAnsi" w:eastAsiaTheme="minorEastAsia" w:hAnsiTheme="minorHAnsi" w:cstheme="minorBidi"/>
                <w:i/>
                <w:sz w:val="18"/>
                <w:szCs w:val="18"/>
                <w:lang w:val="en-US"/>
              </w:rPr>
              <w:t>∉</w:t>
            </w:r>
            <w:r w:rsidRPr="00ED71F6">
              <w:rPr>
                <w:rFonts w:asciiTheme="minorHAnsi" w:hAnsiTheme="minorHAnsi" w:cstheme="minorHAnsi"/>
                <w:i/>
                <w:iCs/>
                <w:sz w:val="18"/>
                <w:szCs w:val="18"/>
                <w:lang w:val="en-US"/>
              </w:rPr>
              <w:t xml:space="preserve"> ValidTransitions(S_t) then</w:t>
            </w:r>
          </w:p>
          <w:p w14:paraId="4598A574" w14:textId="77777777" w:rsidR="006D2F4F" w:rsidRPr="00ED71F6" w:rsidRDefault="006D2F4F" w:rsidP="006D2F4F">
            <w:pPr>
              <w:pStyle w:val="NormalWeb"/>
              <w:jc w:val="both"/>
              <w:rPr>
                <w:rFonts w:asciiTheme="minorHAnsi" w:hAnsiTheme="minorHAnsi" w:cstheme="minorHAnsi"/>
                <w:i/>
                <w:iCs/>
                <w:sz w:val="18"/>
                <w:szCs w:val="18"/>
                <w:lang w:val="en-US"/>
              </w:rPr>
            </w:pPr>
            <w:r w:rsidRPr="00ED71F6">
              <w:rPr>
                <w:rFonts w:asciiTheme="minorHAnsi" w:hAnsiTheme="minorHAnsi" w:cstheme="minorHAnsi"/>
                <w:i/>
                <w:iCs/>
                <w:sz w:val="18"/>
                <w:szCs w:val="18"/>
                <w:lang w:val="en-US"/>
              </w:rPr>
              <w:t xml:space="preserve">    return Deny</w:t>
            </w:r>
          </w:p>
          <w:p w14:paraId="62C5B46C" w14:textId="77777777" w:rsidR="006D2F4F" w:rsidRPr="00ED71F6" w:rsidRDefault="006D2F4F" w:rsidP="006D2F4F">
            <w:pPr>
              <w:pStyle w:val="NormalWeb"/>
              <w:jc w:val="both"/>
              <w:rPr>
                <w:rFonts w:asciiTheme="minorHAnsi" w:hAnsiTheme="minorHAnsi" w:cstheme="minorHAnsi"/>
                <w:i/>
                <w:iCs/>
                <w:sz w:val="18"/>
                <w:szCs w:val="18"/>
                <w:lang w:val="en-US"/>
              </w:rPr>
            </w:pPr>
            <w:r w:rsidRPr="00ED71F6">
              <w:rPr>
                <w:rFonts w:asciiTheme="minorHAnsi" w:hAnsiTheme="minorHAnsi" w:cstheme="minorHAnsi"/>
                <w:i/>
                <w:iCs/>
                <w:sz w:val="18"/>
                <w:szCs w:val="18"/>
                <w:lang w:val="en-US"/>
              </w:rPr>
              <w:t>UpdateState(S_next)</w:t>
            </w:r>
          </w:p>
          <w:p w14:paraId="3FB9678A" w14:textId="55A7910A" w:rsidR="001D13A2" w:rsidRPr="00ED71F6" w:rsidRDefault="006D2F4F" w:rsidP="006D2F4F">
            <w:pPr>
              <w:pStyle w:val="NormalWeb"/>
              <w:jc w:val="both"/>
              <w:rPr>
                <w:rFonts w:asciiTheme="minorHAnsi" w:hAnsiTheme="minorHAnsi" w:cstheme="minorHAnsi"/>
                <w:i/>
                <w:iCs/>
                <w:sz w:val="18"/>
                <w:szCs w:val="18"/>
              </w:rPr>
            </w:pPr>
            <w:r w:rsidRPr="00ED71F6">
              <w:rPr>
                <w:rFonts w:asciiTheme="minorHAnsi" w:hAnsiTheme="minorHAnsi" w:cstheme="minorHAnsi"/>
                <w:b/>
                <w:bCs/>
                <w:i/>
                <w:iCs/>
                <w:sz w:val="18"/>
                <w:szCs w:val="18"/>
                <w:lang w:val="en-US"/>
              </w:rPr>
              <w:t>return</w:t>
            </w:r>
            <w:r w:rsidRPr="00ED71F6">
              <w:rPr>
                <w:rFonts w:asciiTheme="minorHAnsi" w:hAnsiTheme="minorHAnsi" w:cstheme="minorHAnsi"/>
                <w:i/>
                <w:iCs/>
                <w:sz w:val="18"/>
                <w:szCs w:val="18"/>
                <w:lang w:val="en-US"/>
              </w:rPr>
              <w:t xml:space="preserve"> Allow</w:t>
            </w:r>
          </w:p>
        </w:tc>
      </w:tr>
    </w:tbl>
    <w:p w14:paraId="267C4D3C" w14:textId="37E9CD4A" w:rsidR="009B0A8E" w:rsidRPr="00141708" w:rsidRDefault="009B0A8E" w:rsidP="00141708">
      <w:pPr>
        <w:pStyle w:val="BodyText"/>
        <w:rPr>
          <w:rFonts w:asciiTheme="minorHAnsi" w:eastAsiaTheme="minorEastAsia" w:hAnsiTheme="minorHAnsi" w:cstheme="minorBidi"/>
          <w:b/>
          <w:bCs/>
        </w:rPr>
      </w:pPr>
      <w:r w:rsidRPr="00141708">
        <w:rPr>
          <w:b/>
          <w:bCs/>
        </w:rPr>
        <w:t>TSM Operational State Model</w:t>
      </w:r>
    </w:p>
    <w:p w14:paraId="09ABCB9F" w14:textId="501657FA" w:rsidR="009B0A8E" w:rsidRDefault="009B0A8E" w:rsidP="00FE1C58">
      <w:pPr>
        <w:jc w:val="both"/>
        <w:rPr>
          <w:rFonts w:asciiTheme="minorHAnsi" w:eastAsiaTheme="minorEastAsia" w:hAnsiTheme="minorHAnsi" w:cstheme="minorBidi"/>
          <w:sz w:val="24"/>
          <w:szCs w:val="24"/>
        </w:rPr>
      </w:pPr>
      <w:r w:rsidRPr="07683BFA">
        <w:rPr>
          <w:sz w:val="24"/>
          <w:szCs w:val="24"/>
        </w:rPr>
        <w:t>The TSM operates as a state-aware supervisory controller that evaluates enforcement decisions in the context of the operational condition of the EVSE. Security-sensitive actions are not validated in isolation but are interpreted relative to the current execution state of the charger. This ensures that actions that may be permissible in one state are appropriately restricted in another. The operational state model</w:t>
      </w:r>
      <w:r w:rsidR="001F60B0" w:rsidRPr="07683BFA">
        <w:rPr>
          <w:sz w:val="24"/>
          <w:szCs w:val="24"/>
        </w:rPr>
        <w:t>,</w:t>
      </w:r>
      <w:r w:rsidRPr="07683BFA">
        <w:rPr>
          <w:sz w:val="24"/>
          <w:szCs w:val="24"/>
        </w:rPr>
        <w:t xml:space="preserve"> therefore</w:t>
      </w:r>
      <w:r w:rsidR="001F60B0" w:rsidRPr="07683BFA">
        <w:rPr>
          <w:sz w:val="24"/>
          <w:szCs w:val="24"/>
        </w:rPr>
        <w:t>,</w:t>
      </w:r>
      <w:r w:rsidRPr="07683BFA">
        <w:rPr>
          <w:sz w:val="24"/>
          <w:szCs w:val="24"/>
        </w:rPr>
        <w:t xml:space="preserve"> provides the semantic foundation for policy enforcement, transition validation, and safe execution control.</w:t>
      </w:r>
    </w:p>
    <w:p w14:paraId="42F2FD2E" w14:textId="44E49047" w:rsidR="009B0A8E" w:rsidRPr="007F0241" w:rsidRDefault="009B0A8E" w:rsidP="00FE1C58">
      <w:pPr>
        <w:jc w:val="both"/>
        <w:rPr>
          <w:rFonts w:asciiTheme="minorHAnsi" w:eastAsiaTheme="minorEastAsia" w:hAnsiTheme="minorHAnsi" w:cstheme="minorBidi"/>
          <w:b/>
          <w:i/>
          <w:sz w:val="24"/>
          <w:szCs w:val="24"/>
        </w:rPr>
      </w:pPr>
      <w:r w:rsidRPr="07683BFA">
        <w:rPr>
          <w:sz w:val="24"/>
          <w:szCs w:val="24"/>
        </w:rPr>
        <w:t xml:space="preserve">The EVSE under TSM supervision is modelled as a finite-state system </w:t>
      </w:r>
      <w:r w:rsidRPr="07683BFA">
        <w:rPr>
          <w:b/>
          <w:i/>
          <w:sz w:val="24"/>
          <w:szCs w:val="24"/>
        </w:rPr>
        <w:t>M = (S, T, I),</w:t>
      </w:r>
      <w:r>
        <w:rPr>
          <w:b/>
          <w:i/>
          <w:sz w:val="24"/>
          <w:szCs w:val="24"/>
        </w:rPr>
        <w:t xml:space="preserve"> </w:t>
      </w:r>
      <w:r w:rsidRPr="07683BFA">
        <w:rPr>
          <w:sz w:val="24"/>
          <w:szCs w:val="24"/>
        </w:rPr>
        <w:t xml:space="preserve">where S represents the set of operational states, T represents the permitted transition relation between </w:t>
      </w:r>
      <w:r w:rsidR="005713FD" w:rsidRPr="07683BFA">
        <w:rPr>
          <w:sz w:val="24"/>
          <w:szCs w:val="24"/>
        </w:rPr>
        <w:t>states and</w:t>
      </w:r>
      <w:r w:rsidRPr="07683BFA">
        <w:rPr>
          <w:sz w:val="24"/>
          <w:szCs w:val="24"/>
        </w:rPr>
        <w:t xml:space="preserve"> </w:t>
      </w:r>
      <w:r w:rsidR="001F60B0" w:rsidRPr="07683BFA">
        <w:rPr>
          <w:sz w:val="24"/>
          <w:szCs w:val="24"/>
        </w:rPr>
        <w:t>represents</w:t>
      </w:r>
      <w:r w:rsidRPr="07683BFA">
        <w:rPr>
          <w:sz w:val="24"/>
          <w:szCs w:val="24"/>
        </w:rPr>
        <w:t xml:space="preserve"> the safety invariants that must hold within each state. The TSM continuously monitors state transitions and enforces invariant preservation through deterministic evaluation of requested actions.</w:t>
      </w:r>
      <w:r w:rsidR="00FE1C58" w:rsidRPr="07683BFA">
        <w:rPr>
          <w:sz w:val="24"/>
          <w:szCs w:val="24"/>
        </w:rPr>
        <w:t xml:space="preserve"> </w:t>
      </w:r>
      <w:r w:rsidRPr="07683BFA">
        <w:rPr>
          <w:sz w:val="24"/>
          <w:szCs w:val="24"/>
        </w:rPr>
        <w:t xml:space="preserve">By integrating state awareness into the enforcement logic, the TSM ensures that runtime decisions are context-sensitive and aligned with operational safety requirements. </w:t>
      </w:r>
      <w:r w:rsidR="001F60B0" w:rsidRPr="07683BFA">
        <w:rPr>
          <w:sz w:val="24"/>
          <w:szCs w:val="24"/>
        </w:rPr>
        <w:t>The figure</w:t>
      </w:r>
      <w:r w:rsidR="001E66D8" w:rsidRPr="07683BFA">
        <w:rPr>
          <w:sz w:val="24"/>
          <w:szCs w:val="24"/>
        </w:rPr>
        <w:t xml:space="preserve"> </w:t>
      </w:r>
      <w:r w:rsidR="00FC7B9C">
        <w:rPr>
          <w:sz w:val="24"/>
          <w:szCs w:val="24"/>
        </w:rPr>
        <w:t>9</w:t>
      </w:r>
      <w:r w:rsidR="00FC7B9C" w:rsidRPr="07683BFA">
        <w:rPr>
          <w:sz w:val="24"/>
          <w:szCs w:val="24"/>
        </w:rPr>
        <w:t xml:space="preserve"> </w:t>
      </w:r>
      <w:r w:rsidR="001E66D8" w:rsidRPr="07683BFA">
        <w:rPr>
          <w:sz w:val="24"/>
          <w:szCs w:val="24"/>
        </w:rPr>
        <w:t xml:space="preserve">illustrates the supervisory abstraction of the TSM state machine. At the highest level, the system transitions from </w:t>
      </w:r>
      <w:r w:rsidR="001E66D8" w:rsidRPr="005713FD">
        <w:rPr>
          <w:b/>
          <w:bCs/>
          <w:i/>
          <w:iCs/>
          <w:sz w:val="24"/>
          <w:szCs w:val="24"/>
        </w:rPr>
        <w:t>BOOTING to OPERATIONAL</w:t>
      </w:r>
      <w:r w:rsidR="001E66D8" w:rsidRPr="07683BFA">
        <w:rPr>
          <w:sz w:val="24"/>
          <w:szCs w:val="24"/>
        </w:rPr>
        <w:t xml:space="preserve"> only after successful secure boot validation and integrity verification. If an integrity failure or tamper condition is detected during boot, the system transitions directly to FAIL_SAFE, ensuring fail-secure containment. During runtime, any critical policy violation within the </w:t>
      </w:r>
      <w:r w:rsidR="001E66D8" w:rsidRPr="07683BFA">
        <w:rPr>
          <w:b/>
          <w:sz w:val="24"/>
          <w:szCs w:val="24"/>
        </w:rPr>
        <w:t>OPERATIONAL</w:t>
      </w:r>
      <w:r w:rsidR="001E66D8" w:rsidRPr="07683BFA">
        <w:rPr>
          <w:sz w:val="24"/>
          <w:szCs w:val="24"/>
        </w:rPr>
        <w:t xml:space="preserve"> state similarly results in </w:t>
      </w:r>
      <w:r w:rsidR="001F60B0" w:rsidRPr="07683BFA">
        <w:rPr>
          <w:sz w:val="24"/>
          <w:szCs w:val="24"/>
        </w:rPr>
        <w:t xml:space="preserve">a </w:t>
      </w:r>
      <w:r w:rsidR="001E66D8" w:rsidRPr="07683BFA">
        <w:rPr>
          <w:sz w:val="24"/>
          <w:szCs w:val="24"/>
        </w:rPr>
        <w:t>transition to FAIL_SAFE. Recovery from FAIL_SAFE requires authorized manual reset, preserving administrative control and preventing automatic recovery from integrity compromise.</w:t>
      </w:r>
    </w:p>
    <w:p w14:paraId="6C20978A" w14:textId="77777777" w:rsidR="001C6161" w:rsidRPr="001C6161" w:rsidRDefault="001C6161" w:rsidP="005713FD">
      <w:pPr>
        <w:spacing w:before="100" w:beforeAutospacing="1" w:after="100" w:afterAutospacing="1"/>
        <w:jc w:val="center"/>
        <w:rPr>
          <w:rFonts w:ascii="Times New Roman" w:eastAsia="Times New Roman" w:hAnsi="Times New Roman"/>
          <w:color w:val="auto"/>
          <w:sz w:val="24"/>
          <w:szCs w:val="24"/>
        </w:rPr>
      </w:pPr>
      <w:r w:rsidRPr="001C6161">
        <w:rPr>
          <w:rFonts w:ascii="Times New Roman" w:eastAsia="Times New Roman" w:hAnsi="Times New Roman"/>
          <w:noProof/>
          <w:color w:val="auto"/>
          <w:sz w:val="24"/>
          <w:szCs w:val="24"/>
        </w:rPr>
        <w:drawing>
          <wp:inline distT="0" distB="0" distL="0" distR="0" wp14:anchorId="3962873D" wp14:editId="7BE86BC9">
            <wp:extent cx="4810760" cy="2325629"/>
            <wp:effectExtent l="19050" t="19050" r="27940" b="17780"/>
            <wp:docPr id="1570811604" name="Picture 1" descr="A diagram of a safety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811604" name="Picture 1" descr="A diagram of a safety system&#10;&#10;AI-generated content may be incorrect."/>
                    <pic:cNvPicPr>
                      <a:picLocks noChangeAspect="1" noChangeArrowheads="1"/>
                    </pic:cNvPicPr>
                  </pic:nvPicPr>
                  <pic:blipFill rotWithShape="1">
                    <a:blip r:embed="rId26">
                      <a:extLst>
                        <a:ext uri="{28A0092B-C50C-407E-A947-70E740481C1C}">
                          <a14:useLocalDpi xmlns:a14="http://schemas.microsoft.com/office/drawing/2010/main" val="0"/>
                        </a:ext>
                      </a:extLst>
                    </a:blip>
                    <a:srcRect b="6244"/>
                    <a:stretch>
                      <a:fillRect/>
                    </a:stretch>
                  </pic:blipFill>
                  <pic:spPr bwMode="auto">
                    <a:xfrm>
                      <a:off x="0" y="0"/>
                      <a:ext cx="4876970" cy="2357637"/>
                    </a:xfrm>
                    <a:prstGeom prst="rect">
                      <a:avLst/>
                    </a:prstGeom>
                    <a:noFill/>
                    <a:ln w="6350">
                      <a:solidFill>
                        <a:schemeClr val="tx1"/>
                      </a:solidFill>
                    </a:ln>
                    <a:extLst>
                      <a:ext uri="{53640926-AAD7-44D8-BBD7-CCE9431645EC}">
                        <a14:shadowObscured xmlns:a14="http://schemas.microsoft.com/office/drawing/2010/main"/>
                      </a:ext>
                    </a:extLst>
                  </pic:spPr>
                </pic:pic>
              </a:graphicData>
            </a:graphic>
          </wp:inline>
        </w:drawing>
      </w:r>
    </w:p>
    <w:p w14:paraId="5C5C35C7" w14:textId="51334FB2" w:rsidR="0981F828" w:rsidRDefault="00824E71" w:rsidP="00640012">
      <w:pPr>
        <w:pStyle w:val="Caption"/>
        <w:rPr>
          <w:rFonts w:asciiTheme="minorHAnsi" w:eastAsiaTheme="minorEastAsia" w:hAnsiTheme="minorHAnsi" w:cstheme="minorBidi"/>
          <w:i/>
          <w:iCs/>
          <w:color w:val="0E2841"/>
          <w:szCs w:val="20"/>
          <w:lang w:val="en-GB"/>
        </w:rPr>
      </w:pPr>
      <w:r>
        <w:rPr>
          <w:rFonts w:asciiTheme="minorHAnsi" w:eastAsiaTheme="minorEastAsia" w:hAnsiTheme="minorHAnsi" w:cstheme="minorBidi"/>
        </w:rPr>
        <w:t xml:space="preserve">               </w:t>
      </w:r>
      <w:bookmarkStart w:id="199" w:name="_Toc233112215"/>
      <w:r w:rsidR="00640012">
        <w:t xml:space="preserve">Figure </w:t>
      </w:r>
      <w:r w:rsidR="00113348">
        <w:fldChar w:fldCharType="begin"/>
      </w:r>
      <w:r w:rsidR="00113348">
        <w:instrText xml:space="preserve"> SEQ Figure \* ARABIC </w:instrText>
      </w:r>
      <w:r w:rsidR="00113348">
        <w:fldChar w:fldCharType="separate"/>
      </w:r>
      <w:r w:rsidR="00F8092D">
        <w:rPr>
          <w:noProof/>
        </w:rPr>
        <w:t>9</w:t>
      </w:r>
      <w:r w:rsidR="00113348">
        <w:rPr>
          <w:noProof/>
        </w:rPr>
        <w:fldChar w:fldCharType="end"/>
      </w:r>
      <w:r w:rsidR="50CFEE66" w:rsidRPr="4E37BFFE">
        <w:rPr>
          <w:rFonts w:asciiTheme="minorHAnsi" w:eastAsiaTheme="minorEastAsia" w:hAnsiTheme="minorHAnsi" w:cstheme="minorBidi"/>
          <w:i/>
          <w:iCs/>
          <w:color w:val="0E2841"/>
          <w:szCs w:val="20"/>
          <w:lang w:val="en-GB"/>
        </w:rPr>
        <w:t>: TSM Abstract Operational States</w:t>
      </w:r>
      <w:bookmarkEnd w:id="199"/>
    </w:p>
    <w:p w14:paraId="04F383B3" w14:textId="3D715FE6" w:rsidR="0981F828" w:rsidRDefault="0981F828" w:rsidP="4E37BFFE">
      <w:pPr>
        <w:jc w:val="both"/>
        <w:rPr>
          <w:rFonts w:asciiTheme="minorHAnsi" w:eastAsiaTheme="minorEastAsia" w:hAnsiTheme="minorHAnsi" w:cstheme="minorBidi"/>
        </w:rPr>
      </w:pPr>
    </w:p>
    <w:p w14:paraId="7EE7A932" w14:textId="77777777" w:rsidR="009B0A8E" w:rsidRPr="00141708" w:rsidRDefault="009B0A8E" w:rsidP="00141708">
      <w:pPr>
        <w:pStyle w:val="BodyText"/>
        <w:rPr>
          <w:rFonts w:asciiTheme="minorHAnsi" w:eastAsiaTheme="minorEastAsia" w:hAnsiTheme="minorHAnsi" w:cstheme="minorBidi"/>
          <w:b/>
          <w:bCs/>
        </w:rPr>
      </w:pPr>
      <w:r w:rsidRPr="00141708">
        <w:rPr>
          <w:b/>
          <w:bCs/>
        </w:rPr>
        <w:t>Operational States under TSM Supervision</w:t>
      </w:r>
    </w:p>
    <w:p w14:paraId="28B91D15" w14:textId="55C925CA" w:rsidR="00F93D24" w:rsidRDefault="00F93D24" w:rsidP="4E37BFFE">
      <w:pPr>
        <w:pStyle w:val="BodyText"/>
        <w:jc w:val="both"/>
        <w:rPr>
          <w:rFonts w:asciiTheme="minorHAnsi" w:eastAsiaTheme="minorEastAsia" w:hAnsiTheme="minorHAnsi" w:cstheme="minorBidi"/>
        </w:rPr>
      </w:pPr>
      <w:r w:rsidRPr="4E37BFFE">
        <w:rPr>
          <w:szCs w:val="24"/>
        </w:rPr>
        <w:t>The internal operational states supervised by the TSM are summarized in Table below. These states refine the high-level supervisory model and define the permissible runtime behaviour of the EVSE under policy enforcement.</w:t>
      </w:r>
    </w:p>
    <w:p w14:paraId="7A8562CE" w14:textId="2396F405" w:rsidR="00CB0692" w:rsidRPr="00F93D24" w:rsidRDefault="00946632" w:rsidP="00946632">
      <w:pPr>
        <w:pStyle w:val="Caption"/>
        <w:rPr>
          <w:rFonts w:asciiTheme="minorHAnsi" w:eastAsiaTheme="minorEastAsia" w:hAnsiTheme="minorHAnsi" w:cstheme="minorBidi"/>
        </w:rPr>
      </w:pPr>
      <w:bookmarkStart w:id="200" w:name="_Toc233112259"/>
      <w:r>
        <w:t xml:space="preserve">Table </w:t>
      </w:r>
      <w:r w:rsidR="00113348">
        <w:fldChar w:fldCharType="begin"/>
      </w:r>
      <w:r w:rsidR="00113348">
        <w:instrText xml:space="preserve"> SEQ Table \* ARABIC </w:instrText>
      </w:r>
      <w:r w:rsidR="00113348">
        <w:fldChar w:fldCharType="separate"/>
      </w:r>
      <w:r w:rsidR="00F8092D">
        <w:rPr>
          <w:noProof/>
        </w:rPr>
        <w:t>5</w:t>
      </w:r>
      <w:r w:rsidR="00113348">
        <w:rPr>
          <w:noProof/>
        </w:rPr>
        <w:fldChar w:fldCharType="end"/>
      </w:r>
      <w:r w:rsidR="00CB0692">
        <w:t>: TSM internal operational states</w:t>
      </w:r>
      <w:bookmarkEnd w:id="200"/>
    </w:p>
    <w:tbl>
      <w:tblPr>
        <w:tblStyle w:val="TableCSIRO"/>
        <w:tblW w:w="0" w:type="auto"/>
        <w:tblLook w:val="04A0" w:firstRow="1" w:lastRow="0" w:firstColumn="1" w:lastColumn="0" w:noHBand="0" w:noVBand="1"/>
      </w:tblPr>
      <w:tblGrid>
        <w:gridCol w:w="2880"/>
        <w:gridCol w:w="2880"/>
        <w:gridCol w:w="2880"/>
      </w:tblGrid>
      <w:tr w:rsidR="00B23B41" w:rsidRPr="00B23B41" w14:paraId="3F5514DE" w14:textId="77777777" w:rsidTr="000D12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065998F5" w14:textId="79301A60" w:rsidR="00B23B41" w:rsidRPr="00B23B41" w:rsidRDefault="00B23B41" w:rsidP="00B23B41">
            <w:pPr>
              <w:spacing w:after="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Boot</w:t>
            </w:r>
          </w:p>
        </w:tc>
        <w:tc>
          <w:tcPr>
            <w:tcW w:w="2880" w:type="dxa"/>
          </w:tcPr>
          <w:p w14:paraId="364D9CB6" w14:textId="15ADE660" w:rsidR="00B23B41" w:rsidRPr="00B23B41" w:rsidRDefault="00B23B41" w:rsidP="00B23B41">
            <w:pPr>
              <w:spacing w:after="0"/>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Secure initialization and integrity verification.</w:t>
            </w:r>
          </w:p>
        </w:tc>
        <w:tc>
          <w:tcPr>
            <w:tcW w:w="2880" w:type="dxa"/>
          </w:tcPr>
          <w:p w14:paraId="5A81C450" w14:textId="7E6FA120" w:rsidR="00B23B41" w:rsidRPr="00B23B41" w:rsidRDefault="00B23B41" w:rsidP="00B23B41">
            <w:pPr>
              <w:spacing w:after="0"/>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No charging or external command execution.</w:t>
            </w:r>
          </w:p>
        </w:tc>
      </w:tr>
      <w:tr w:rsidR="00B23B41" w:rsidRPr="00B23B41" w14:paraId="76150A5C" w14:textId="77777777" w:rsidTr="000D12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3E0E6064" w14:textId="6578459E" w:rsidR="00B23B41" w:rsidRPr="00B23B41" w:rsidRDefault="00B23B41" w:rsidP="00B23B41">
            <w:pPr>
              <w:spacing w:after="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Idle</w:t>
            </w:r>
          </w:p>
        </w:tc>
        <w:tc>
          <w:tcPr>
            <w:tcW w:w="2880" w:type="dxa"/>
          </w:tcPr>
          <w:p w14:paraId="4894AAB4" w14:textId="5717330F" w:rsidR="00B23B41" w:rsidRPr="00B23B41" w:rsidRDefault="00B23B41" w:rsidP="00B23B41">
            <w:pPr>
              <w:spacing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Charger available; no active power delivery.</w:t>
            </w:r>
          </w:p>
        </w:tc>
        <w:tc>
          <w:tcPr>
            <w:tcW w:w="2880" w:type="dxa"/>
          </w:tcPr>
          <w:p w14:paraId="0A659515" w14:textId="407AB6C4" w:rsidR="00B23B41" w:rsidRPr="00B23B41" w:rsidRDefault="00B23B41" w:rsidP="00B23B41">
            <w:pPr>
              <w:spacing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Firmware updates permitted; power output must remain zero.</w:t>
            </w:r>
          </w:p>
        </w:tc>
      </w:tr>
      <w:tr w:rsidR="00B23B41" w:rsidRPr="00B23B41" w14:paraId="5D9254B4" w14:textId="77777777" w:rsidTr="000D12F6">
        <w:tc>
          <w:tcPr>
            <w:cnfStyle w:val="001000000000" w:firstRow="0" w:lastRow="0" w:firstColumn="1" w:lastColumn="0" w:oddVBand="0" w:evenVBand="0" w:oddHBand="0" w:evenHBand="0" w:firstRowFirstColumn="0" w:firstRowLastColumn="0" w:lastRowFirstColumn="0" w:lastRowLastColumn="0"/>
            <w:tcW w:w="2880" w:type="dxa"/>
          </w:tcPr>
          <w:p w14:paraId="203B736B" w14:textId="3E72CB1C" w:rsidR="00B23B41" w:rsidRPr="00B23B41" w:rsidRDefault="00B23B41" w:rsidP="00B23B41">
            <w:pPr>
              <w:spacing w:after="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Preparing</w:t>
            </w:r>
          </w:p>
        </w:tc>
        <w:tc>
          <w:tcPr>
            <w:tcW w:w="2880" w:type="dxa"/>
          </w:tcPr>
          <w:p w14:paraId="23C79D6D" w14:textId="36B3507E" w:rsidR="00B23B41" w:rsidRPr="00B23B41" w:rsidRDefault="00B23B41" w:rsidP="00B23B41">
            <w:pPr>
              <w:spacing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Session authentication and negotiation.</w:t>
            </w:r>
          </w:p>
        </w:tc>
        <w:tc>
          <w:tcPr>
            <w:tcW w:w="2880" w:type="dxa"/>
          </w:tcPr>
          <w:p w14:paraId="3BEF1200" w14:textId="302D38DF" w:rsidR="00B23B41" w:rsidRPr="00B23B41" w:rsidRDefault="00B23B41" w:rsidP="00B23B41">
            <w:pPr>
              <w:spacing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Configuration limited; firmware updates prohibited.</w:t>
            </w:r>
          </w:p>
        </w:tc>
      </w:tr>
      <w:tr w:rsidR="00B23B41" w:rsidRPr="00B23B41" w14:paraId="3E7961B0" w14:textId="77777777" w:rsidTr="000D12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51C85AE6" w14:textId="56AB0BD7" w:rsidR="00B23B41" w:rsidRPr="00B23B41" w:rsidRDefault="00B23B41" w:rsidP="00B23B41">
            <w:pPr>
              <w:spacing w:after="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Charging</w:t>
            </w:r>
          </w:p>
        </w:tc>
        <w:tc>
          <w:tcPr>
            <w:tcW w:w="2880" w:type="dxa"/>
          </w:tcPr>
          <w:p w14:paraId="0E541DC6" w14:textId="36246732" w:rsidR="00B23B41" w:rsidRPr="00B23B41" w:rsidRDefault="00B23B41" w:rsidP="00B23B41">
            <w:pPr>
              <w:spacing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Active power transfer.</w:t>
            </w:r>
          </w:p>
        </w:tc>
        <w:tc>
          <w:tcPr>
            <w:tcW w:w="2880" w:type="dxa"/>
          </w:tcPr>
          <w:p w14:paraId="4C06DDD7" w14:textId="30AB1FD9" w:rsidR="00B23B41" w:rsidRPr="00B23B41" w:rsidRDefault="00B23B41" w:rsidP="00B23B41">
            <w:pPr>
              <w:spacing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Power constrained (P ≤ P_max); firmware updates prohibited.</w:t>
            </w:r>
          </w:p>
        </w:tc>
      </w:tr>
      <w:tr w:rsidR="00B23B41" w:rsidRPr="00B23B41" w14:paraId="50CAA37A" w14:textId="77777777" w:rsidTr="000D12F6">
        <w:tc>
          <w:tcPr>
            <w:cnfStyle w:val="001000000000" w:firstRow="0" w:lastRow="0" w:firstColumn="1" w:lastColumn="0" w:oddVBand="0" w:evenVBand="0" w:oddHBand="0" w:evenHBand="0" w:firstRowFirstColumn="0" w:firstRowLastColumn="0" w:lastRowFirstColumn="0" w:lastRowLastColumn="0"/>
            <w:tcW w:w="2880" w:type="dxa"/>
          </w:tcPr>
          <w:p w14:paraId="51A57BF2" w14:textId="638F1842" w:rsidR="00B23B41" w:rsidRPr="00B23B41" w:rsidRDefault="00B23B41" w:rsidP="00B23B41">
            <w:pPr>
              <w:spacing w:after="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Finishing</w:t>
            </w:r>
          </w:p>
        </w:tc>
        <w:tc>
          <w:tcPr>
            <w:tcW w:w="2880" w:type="dxa"/>
          </w:tcPr>
          <w:p w14:paraId="5490D90A" w14:textId="0DD03F19" w:rsidR="00B23B41" w:rsidRPr="00B23B41" w:rsidRDefault="00B23B41" w:rsidP="00B23B41">
            <w:pPr>
              <w:spacing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Controlled session termination.</w:t>
            </w:r>
          </w:p>
        </w:tc>
        <w:tc>
          <w:tcPr>
            <w:tcW w:w="2880" w:type="dxa"/>
          </w:tcPr>
          <w:p w14:paraId="53E34493" w14:textId="781AAB7B" w:rsidR="00B23B41" w:rsidRPr="00B23B41" w:rsidRDefault="00B23B41" w:rsidP="00B23B41">
            <w:pPr>
              <w:spacing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No configuration changes; controlled shutdown only.</w:t>
            </w:r>
          </w:p>
        </w:tc>
      </w:tr>
      <w:tr w:rsidR="00B23B41" w:rsidRPr="00B23B41" w14:paraId="19E3F06D" w14:textId="77777777" w:rsidTr="000D12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08EE64A1" w14:textId="322E4E70" w:rsidR="00B23B41" w:rsidRPr="00B23B41" w:rsidRDefault="00B23B41" w:rsidP="00B23B41">
            <w:pPr>
              <w:spacing w:after="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Fault</w:t>
            </w:r>
          </w:p>
        </w:tc>
        <w:tc>
          <w:tcPr>
            <w:tcW w:w="2880" w:type="dxa"/>
          </w:tcPr>
          <w:p w14:paraId="3C9717C8" w14:textId="2027A425" w:rsidR="00B23B41" w:rsidRPr="00B23B41" w:rsidRDefault="00B23B41" w:rsidP="00B23B41">
            <w:pPr>
              <w:spacing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Operational anomaly detected.</w:t>
            </w:r>
          </w:p>
        </w:tc>
        <w:tc>
          <w:tcPr>
            <w:tcW w:w="2880" w:type="dxa"/>
          </w:tcPr>
          <w:p w14:paraId="0B781C57" w14:textId="05BF6CF8" w:rsidR="00B23B41" w:rsidRPr="00B23B41" w:rsidRDefault="00B23B41" w:rsidP="00B23B41">
            <w:pPr>
              <w:spacing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Power restricted or disabled.</w:t>
            </w:r>
          </w:p>
        </w:tc>
      </w:tr>
      <w:tr w:rsidR="00B23B41" w:rsidRPr="00B23B41" w14:paraId="24DF7E28" w14:textId="77777777" w:rsidTr="000D12F6">
        <w:tc>
          <w:tcPr>
            <w:cnfStyle w:val="001000000000" w:firstRow="0" w:lastRow="0" w:firstColumn="1" w:lastColumn="0" w:oddVBand="0" w:evenVBand="0" w:oddHBand="0" w:evenHBand="0" w:firstRowFirstColumn="0" w:firstRowLastColumn="0" w:lastRowFirstColumn="0" w:lastRowLastColumn="0"/>
            <w:tcW w:w="2880" w:type="dxa"/>
          </w:tcPr>
          <w:p w14:paraId="588B4FA0" w14:textId="4CBCABB8" w:rsidR="00B23B41" w:rsidRPr="00B23B41" w:rsidRDefault="00B23B41" w:rsidP="00B23B41">
            <w:pPr>
              <w:spacing w:after="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Safe</w:t>
            </w:r>
          </w:p>
        </w:tc>
        <w:tc>
          <w:tcPr>
            <w:tcW w:w="2880" w:type="dxa"/>
          </w:tcPr>
          <w:p w14:paraId="737A98A5" w14:textId="1A14152B" w:rsidR="00B23B41" w:rsidRPr="00B23B41" w:rsidRDefault="00B23B41" w:rsidP="00B23B41">
            <w:pPr>
              <w:spacing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Supervisory fail-secure containment.</w:t>
            </w:r>
          </w:p>
        </w:tc>
        <w:tc>
          <w:tcPr>
            <w:tcW w:w="2880" w:type="dxa"/>
          </w:tcPr>
          <w:p w14:paraId="413EE4E2" w14:textId="2917752D" w:rsidR="00B23B41" w:rsidRPr="00B23B41" w:rsidRDefault="00B23B41" w:rsidP="00B23B41">
            <w:pPr>
              <w:spacing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Output minimized or disconnected; commands restric</w:t>
            </w:r>
            <w:r w:rsidR="005713FD">
              <w:rPr>
                <w:rFonts w:asciiTheme="minorHAnsi" w:eastAsiaTheme="minorEastAsia" w:hAnsiTheme="minorHAnsi" w:cstheme="minorBidi"/>
                <w:sz w:val="18"/>
                <w:szCs w:val="18"/>
              </w:rPr>
              <w:t>ted.</w:t>
            </w:r>
          </w:p>
        </w:tc>
      </w:tr>
    </w:tbl>
    <w:p w14:paraId="32484493" w14:textId="77777777" w:rsidR="000D12F6" w:rsidRDefault="000D12F6" w:rsidP="009B0A8E">
      <w:pPr>
        <w:rPr>
          <w:rFonts w:asciiTheme="minorHAnsi" w:eastAsiaTheme="minorEastAsia" w:hAnsiTheme="minorHAnsi" w:cstheme="minorBidi"/>
        </w:rPr>
      </w:pPr>
    </w:p>
    <w:p w14:paraId="72D380CD" w14:textId="5443DE29" w:rsidR="009B0A8E" w:rsidRDefault="009B0A8E" w:rsidP="00FE1C58">
      <w:pPr>
        <w:jc w:val="both"/>
        <w:rPr>
          <w:rFonts w:asciiTheme="minorHAnsi" w:eastAsiaTheme="minorEastAsia" w:hAnsiTheme="minorHAnsi" w:cstheme="minorBidi"/>
        </w:rPr>
      </w:pPr>
      <w:r>
        <w:t xml:space="preserve">The transition relation T defines the permitted successor states for each operational condition. Transitions not belonging to the valid transition set are rejected by the TSM. For instance, transition from Charging directly to a firmware update state is explicitly prohibited. However, transition from Charging to Finishing and subsequently to Idle is permitted under normal session termination. The TSM validates each requested transition </w:t>
      </w:r>
      <w:r w:rsidRPr="002B5CA8">
        <w:rPr>
          <w:b/>
          <w:bCs/>
          <w:i/>
          <w:iCs/>
        </w:rPr>
        <w:t>S(t+1</w:t>
      </w:r>
      <w:r>
        <w:t xml:space="preserve">) against the allowable transition set </w:t>
      </w:r>
      <w:r w:rsidRPr="002B5CA8">
        <w:rPr>
          <w:b/>
          <w:bCs/>
          <w:i/>
          <w:iCs/>
        </w:rPr>
        <w:t>T(S(t))</w:t>
      </w:r>
      <w:r>
        <w:t xml:space="preserve"> prior to execution.</w:t>
      </w:r>
      <w:r w:rsidR="00FE1C58">
        <w:t xml:space="preserve"> </w:t>
      </w:r>
      <w:r>
        <w:t xml:space="preserve">Safety invariants are defined for each state to ensure integrity preservation. During Charging, the active power setpoint must satisfy </w:t>
      </w:r>
      <w:r w:rsidR="00CE1F1F" w:rsidRPr="003048F6">
        <w:rPr>
          <w:b/>
          <w:bCs/>
        </w:rPr>
        <w:t>P≤P</w:t>
      </w:r>
      <w:r w:rsidR="00CE1F1F" w:rsidRPr="00CE1F1F">
        <w:rPr>
          <w:b/>
          <w:bCs/>
          <w:sz w:val="16"/>
          <w:szCs w:val="16"/>
        </w:rPr>
        <w:t>max</w:t>
      </w:r>
      <w:r>
        <w:t xml:space="preserve">. In </w:t>
      </w:r>
      <w:r w:rsidR="00190F51">
        <w:t>the idle</w:t>
      </w:r>
      <w:r>
        <w:t xml:space="preserve"> state, power output must remain zero. In </w:t>
      </w:r>
      <w:r w:rsidR="00190F51">
        <w:t>the safe</w:t>
      </w:r>
      <w:r>
        <w:t xml:space="preserve"> state, output is clamped to minimal or disconnected entirely. Violation of any invariant results in immediate supervisory evaluation through the enforcement function </w:t>
      </w:r>
      <w:r w:rsidRPr="002B5CA8">
        <w:rPr>
          <w:b/>
          <w:bCs/>
          <w:i/>
          <w:iCs/>
        </w:rPr>
        <w:t>E(A,</w:t>
      </w:r>
      <w:r w:rsidR="00190F51">
        <w:rPr>
          <w:b/>
          <w:bCs/>
          <w:i/>
          <w:iCs/>
        </w:rPr>
        <w:t xml:space="preserve"> </w:t>
      </w:r>
      <w:r w:rsidRPr="002B5CA8">
        <w:rPr>
          <w:b/>
          <w:bCs/>
          <w:i/>
          <w:iCs/>
        </w:rPr>
        <w:t>S</w:t>
      </w:r>
      <w:r>
        <w:t>), potentially triggering state transition to Safe.</w:t>
      </w:r>
    </w:p>
    <w:p w14:paraId="788B93D0" w14:textId="5BC5D1A9" w:rsidR="00AE2CE8" w:rsidRPr="00141708" w:rsidRDefault="00AE2CE8" w:rsidP="00141708">
      <w:pPr>
        <w:pStyle w:val="BodyText"/>
        <w:rPr>
          <w:rFonts w:asciiTheme="minorHAnsi" w:eastAsiaTheme="minorEastAsia" w:hAnsiTheme="minorHAnsi" w:cstheme="minorBidi"/>
          <w:b/>
          <w:bCs/>
        </w:rPr>
      </w:pPr>
      <w:r w:rsidRPr="00141708">
        <w:rPr>
          <w:b/>
          <w:bCs/>
        </w:rPr>
        <w:t xml:space="preserve">TSM Integration within the Co-Simulation </w:t>
      </w:r>
      <w:r w:rsidR="00CE6E2C" w:rsidRPr="00141708">
        <w:rPr>
          <w:b/>
          <w:bCs/>
        </w:rPr>
        <w:t>Platform</w:t>
      </w:r>
    </w:p>
    <w:p w14:paraId="74B3F2B0" w14:textId="47018B48" w:rsidR="00AE2CE8" w:rsidRDefault="00AE2CE8" w:rsidP="33445E77">
      <w:pPr>
        <w:jc w:val="both"/>
        <w:rPr>
          <w:rFonts w:asciiTheme="minorHAnsi" w:eastAsiaTheme="minorEastAsia" w:hAnsiTheme="minorHAnsi" w:cstheme="minorBidi"/>
          <w:sz w:val="24"/>
          <w:szCs w:val="24"/>
        </w:rPr>
      </w:pPr>
      <w:r w:rsidRPr="33445E77">
        <w:rPr>
          <w:sz w:val="24"/>
          <w:szCs w:val="24"/>
        </w:rPr>
        <w:t>The TSM was integrated into the EVSE–grid co-simulation platform as a supervisory control component positioned between operational logic and safety-critical actuation layers. The objective of this integration was to evaluate enforcement behaviour under realistic cyber-physical conditions without altering baseline system functionality. The co-simulation environment comprises three principal logical entities:</w:t>
      </w:r>
    </w:p>
    <w:p w14:paraId="367250BC" w14:textId="22DCE8C1" w:rsidR="00AE2CE8" w:rsidRDefault="00AE2CE8" w:rsidP="33445E77">
      <w:pPr>
        <w:pStyle w:val="ListParagraph"/>
        <w:numPr>
          <w:ilvl w:val="1"/>
          <w:numId w:val="22"/>
        </w:numPr>
        <w:jc w:val="both"/>
        <w:rPr>
          <w:rFonts w:asciiTheme="minorHAnsi" w:eastAsiaTheme="minorEastAsia" w:hAnsiTheme="minorHAnsi" w:cstheme="minorBidi"/>
        </w:rPr>
      </w:pPr>
      <w:r w:rsidRPr="33445E77">
        <w:t>the EVSE operational model,</w:t>
      </w:r>
    </w:p>
    <w:p w14:paraId="5A900D71" w14:textId="1C493E98" w:rsidR="00AE2CE8" w:rsidRDefault="00AE2CE8" w:rsidP="33445E77">
      <w:pPr>
        <w:pStyle w:val="ListParagraph"/>
        <w:numPr>
          <w:ilvl w:val="1"/>
          <w:numId w:val="22"/>
        </w:numPr>
        <w:jc w:val="both"/>
        <w:rPr>
          <w:rFonts w:asciiTheme="minorHAnsi" w:eastAsiaTheme="minorEastAsia" w:hAnsiTheme="minorHAnsi" w:cstheme="minorBidi"/>
        </w:rPr>
      </w:pPr>
      <w:r w:rsidRPr="33445E77">
        <w:t>the grid simulation model, and</w:t>
      </w:r>
    </w:p>
    <w:p w14:paraId="63609D63" w14:textId="40D49CAE" w:rsidR="00AE2CE8" w:rsidRDefault="00AE2CE8" w:rsidP="33445E77">
      <w:pPr>
        <w:pStyle w:val="ListParagraph"/>
        <w:numPr>
          <w:ilvl w:val="1"/>
          <w:numId w:val="22"/>
        </w:numPr>
        <w:jc w:val="both"/>
        <w:rPr>
          <w:rFonts w:asciiTheme="minorHAnsi" w:eastAsiaTheme="minorEastAsia" w:hAnsiTheme="minorHAnsi" w:cstheme="minorBidi"/>
        </w:rPr>
      </w:pPr>
      <w:r w:rsidRPr="33445E77">
        <w:t>the threat injection module.</w:t>
      </w:r>
    </w:p>
    <w:p w14:paraId="1EC3CDCF" w14:textId="77777777" w:rsidR="006F3B4A" w:rsidRDefault="00AE2CE8" w:rsidP="33445E77">
      <w:pPr>
        <w:jc w:val="both"/>
        <w:rPr>
          <w:rFonts w:asciiTheme="minorHAnsi" w:eastAsiaTheme="minorEastAsia" w:hAnsiTheme="minorHAnsi" w:cstheme="minorBidi"/>
          <w:sz w:val="24"/>
          <w:szCs w:val="24"/>
        </w:rPr>
      </w:pPr>
      <w:r w:rsidRPr="33445E77">
        <w:rPr>
          <w:sz w:val="24"/>
          <w:szCs w:val="24"/>
        </w:rPr>
        <w:t xml:space="preserve">The TSM is inserted as an intermediary enforcement layer that mediates all security-sensitive control paths. Specifically, all requests originating from the EVSE logic, backend communication channels, or simulated adversarial inputs are routed through the TSM </w:t>
      </w:r>
      <w:r w:rsidR="00CE6E2C" w:rsidRPr="33445E77">
        <w:rPr>
          <w:sz w:val="24"/>
          <w:szCs w:val="24"/>
        </w:rPr>
        <w:t>before</w:t>
      </w:r>
      <w:r w:rsidRPr="33445E77">
        <w:rPr>
          <w:sz w:val="24"/>
          <w:szCs w:val="24"/>
        </w:rPr>
        <w:t xml:space="preserve"> execution.</w:t>
      </w:r>
    </w:p>
    <w:p w14:paraId="19056CED" w14:textId="5A611853" w:rsidR="006F3B4A" w:rsidRPr="00141708" w:rsidRDefault="006F3B4A" w:rsidP="00141708">
      <w:pPr>
        <w:pStyle w:val="BodyText"/>
        <w:rPr>
          <w:rFonts w:asciiTheme="minorHAnsi" w:eastAsiaTheme="minorEastAsia" w:hAnsiTheme="minorHAnsi" w:cstheme="minorBidi"/>
          <w:b/>
          <w:bCs/>
        </w:rPr>
      </w:pPr>
      <w:r w:rsidRPr="00141708">
        <w:rPr>
          <w:b/>
          <w:bCs/>
        </w:rPr>
        <w:t>TSM Mediation and Integration Architecture</w:t>
      </w:r>
    </w:p>
    <w:p w14:paraId="58E4BE3B" w14:textId="278FC0BF" w:rsidR="00A66F40" w:rsidRDefault="006F3B4A" w:rsidP="33445E77">
      <w:pPr>
        <w:jc w:val="both"/>
        <w:rPr>
          <w:rFonts w:asciiTheme="minorHAnsi" w:eastAsiaTheme="minorEastAsia" w:hAnsiTheme="minorHAnsi" w:cstheme="minorBidi"/>
          <w:sz w:val="24"/>
          <w:szCs w:val="24"/>
        </w:rPr>
      </w:pPr>
      <w:r w:rsidRPr="33445E77">
        <w:rPr>
          <w:sz w:val="24"/>
          <w:szCs w:val="24"/>
        </w:rPr>
        <w:t xml:space="preserve">The TSM is integrated into the co-simulation environment as a supervisory mediation layer positioned between EVSE operational logic and safety-critical actuation components. All security-sensitive requests, including firmware updates, power setpoint changes, state transitions, and backend control commands, are intercepted before execution. </w:t>
      </w:r>
      <w:r w:rsidR="00A66F40" w:rsidRPr="33445E77">
        <w:rPr>
          <w:sz w:val="24"/>
          <w:szCs w:val="24"/>
        </w:rPr>
        <w:t xml:space="preserve">The TSM is integrated into the HELICS co-simulation environment as a supervisory mediation layer between EVSE operational logic and grid-facing actuation components. As shown in </w:t>
      </w:r>
      <w:r w:rsidR="00190F51">
        <w:rPr>
          <w:sz w:val="24"/>
          <w:szCs w:val="24"/>
        </w:rPr>
        <w:t>the figure</w:t>
      </w:r>
      <w:r w:rsidR="00A66F40" w:rsidRPr="33445E77">
        <w:rPr>
          <w:sz w:val="24"/>
          <w:szCs w:val="24"/>
        </w:rPr>
        <w:t xml:space="preserve"> </w:t>
      </w:r>
      <w:r w:rsidR="00A20956">
        <w:rPr>
          <w:sz w:val="24"/>
          <w:szCs w:val="24"/>
        </w:rPr>
        <w:t>10</w:t>
      </w:r>
      <w:r w:rsidR="00A66F40" w:rsidRPr="33445E77">
        <w:rPr>
          <w:sz w:val="24"/>
          <w:szCs w:val="24"/>
        </w:rPr>
        <w:t>, requests generated by the EVSE Federate (Low-Integrity Domain</w:t>
      </w:r>
      <w:r w:rsidR="00AC6C9C" w:rsidRPr="33445E77">
        <w:rPr>
          <w:sz w:val="24"/>
          <w:szCs w:val="24"/>
        </w:rPr>
        <w:t xml:space="preserve"> (</w:t>
      </w:r>
      <w:r w:rsidR="00AC6C9C" w:rsidRPr="33445E77">
        <w:rPr>
          <w:b/>
          <w:bCs/>
          <w:i/>
          <w:iCs/>
          <w:sz w:val="24"/>
          <w:szCs w:val="24"/>
        </w:rPr>
        <w:t>LID</w:t>
      </w:r>
      <w:r w:rsidR="00AC6C9C" w:rsidRPr="33445E77">
        <w:rPr>
          <w:sz w:val="24"/>
          <w:szCs w:val="24"/>
        </w:rPr>
        <w:t>)</w:t>
      </w:r>
      <w:r w:rsidR="00A66F40" w:rsidRPr="33445E77">
        <w:rPr>
          <w:sz w:val="24"/>
          <w:szCs w:val="24"/>
        </w:rPr>
        <w:t>) are routed through the TSM Federate before execution within the grid or power electronics model, establishing a clear trust boundary between operational logic and high-integrity enforcement.</w:t>
      </w:r>
    </w:p>
    <w:p w14:paraId="74C6D025" w14:textId="3DA05099" w:rsidR="00DD4815" w:rsidRDefault="00DD4815" w:rsidP="33445E77">
      <w:pPr>
        <w:jc w:val="both"/>
        <w:rPr>
          <w:sz w:val="24"/>
          <w:szCs w:val="24"/>
        </w:rPr>
      </w:pPr>
      <w:r w:rsidRPr="33445E77">
        <w:rPr>
          <w:sz w:val="24"/>
          <w:szCs w:val="24"/>
        </w:rPr>
        <w:t xml:space="preserve">Each requested action A is evaluated together with the current system state S using the enforcement function </w:t>
      </w:r>
      <w:r w:rsidRPr="33445E77">
        <w:rPr>
          <w:b/>
          <w:bCs/>
          <w:i/>
          <w:iCs/>
          <w:sz w:val="24"/>
          <w:szCs w:val="24"/>
        </w:rPr>
        <w:t>E(A,S).</w:t>
      </w:r>
      <w:r w:rsidRPr="33445E77">
        <w:rPr>
          <w:sz w:val="24"/>
          <w:szCs w:val="24"/>
        </w:rPr>
        <w:t xml:space="preserve"> Only actions producing Allow or bounded Override outcomes are propagated to the power electronics abstraction layer. All other requests are rejected or result in transition to </w:t>
      </w:r>
      <w:r w:rsidR="00190F51">
        <w:rPr>
          <w:sz w:val="24"/>
          <w:szCs w:val="24"/>
        </w:rPr>
        <w:t xml:space="preserve">the </w:t>
      </w:r>
      <w:r w:rsidRPr="33445E77">
        <w:rPr>
          <w:sz w:val="24"/>
          <w:szCs w:val="24"/>
        </w:rPr>
        <w:t>Safe state, ensuring complete mediation of critical operations.</w:t>
      </w:r>
      <w:r w:rsidR="00E233C4" w:rsidRPr="33445E77">
        <w:rPr>
          <w:sz w:val="24"/>
          <w:szCs w:val="24"/>
        </w:rPr>
        <w:t xml:space="preserve"> </w:t>
      </w:r>
      <w:r w:rsidRPr="33445E77">
        <w:rPr>
          <w:sz w:val="24"/>
          <w:szCs w:val="24"/>
        </w:rPr>
        <w:t xml:space="preserve">Power control commands are validated against policy thresholds, enforcing the constraint </w:t>
      </w:r>
      <w:r w:rsidRPr="33445E77">
        <w:rPr>
          <w:b/>
          <w:bCs/>
          <w:sz w:val="24"/>
          <w:szCs w:val="24"/>
        </w:rPr>
        <w:t>P≤Pmax</w:t>
      </w:r>
      <w:r w:rsidRPr="33445E77">
        <w:rPr>
          <w:sz w:val="24"/>
          <w:szCs w:val="24"/>
        </w:rPr>
        <w:t xml:space="preserve"> , with bounded override applied when necessary. Firmware updates are gated through cryptographic validation, monotonic version enforcement, and state eligibility checks (Idle required), followed by integrity re-verification upon reboot. Enforcement is executed synchronously within each simulation cycle before state commitment, preserving deterministic behaviour. The baseline EVSE logic remains unchanged; the sole architectural difference between configurations is the presence of the TSM mediation layer, enabling controlled evaluation of supervisory security impact.</w:t>
      </w:r>
    </w:p>
    <w:p w14:paraId="432AC82D" w14:textId="77777777" w:rsidR="00861A6A" w:rsidRPr="00B67180" w:rsidRDefault="00861A6A" w:rsidP="00861A6A">
      <w:pPr>
        <w:pStyle w:val="BodyText"/>
        <w:rPr>
          <w:rFonts w:asciiTheme="minorHAnsi" w:eastAsiaTheme="minorEastAsia" w:hAnsiTheme="minorHAnsi" w:cstheme="minorBidi"/>
          <w:b/>
          <w:bCs/>
        </w:rPr>
      </w:pPr>
      <w:r w:rsidRPr="00B67180">
        <w:rPr>
          <w:b/>
          <w:bCs/>
        </w:rPr>
        <w:t>Experimental Design and Threat Injection</w:t>
      </w:r>
    </w:p>
    <w:p w14:paraId="5B4E41AF" w14:textId="7B2A4DB8" w:rsidR="00861A6A" w:rsidRPr="00DD107E" w:rsidRDefault="00861A6A" w:rsidP="00861A6A">
      <w:pPr>
        <w:pStyle w:val="NormalWeb"/>
        <w:jc w:val="both"/>
        <w:rPr>
          <w:rFonts w:asciiTheme="minorHAnsi" w:eastAsiaTheme="minorEastAsia" w:hAnsiTheme="minorHAnsi" w:cstheme="minorBidi"/>
        </w:rPr>
      </w:pPr>
      <w:r w:rsidRPr="33445E77">
        <w:rPr>
          <w:rFonts w:ascii="Calibri" w:hAnsi="Calibri"/>
        </w:rPr>
        <w:t>Building upon the mediation architecture described in the previous section, a controlled experimental framework was established to evaluate the supervisory effectiveness of the TSM. Two configurations were executed under identical HELICS synchronization: (i) baseline EVSE operation without TSM enforcement, and (ii) supervised operation with the TSM mediation layer enabled. This structural consistency ensures that observed differences are attributable solely to enforcement behaviour. Threat scenarios were injected via the Scenario Manager and Threat Injector, including malicious firmware updates, power setpoint escalation, unauthorized backend commands, and invalid state transitions. Each scenario was triggered at predefined simulation timestamps to ensure deterministic and repeatable evaluation. System response was assessed through two evidence streams: grid-level stability metrics (ΔV, Δf, RoCoF, ramp rate, recovery time) and TSM enforcement traces</w:t>
      </w:r>
      <w:r w:rsidR="000C43A7">
        <w:rPr>
          <w:rFonts w:ascii="Calibri" w:hAnsi="Calibri"/>
        </w:rPr>
        <w:t>, refer to figure below</w:t>
      </w:r>
      <w:r w:rsidRPr="33445E77">
        <w:rPr>
          <w:rFonts w:ascii="Calibri" w:hAnsi="Calibri"/>
        </w:rPr>
        <w:t>.</w:t>
      </w:r>
    </w:p>
    <w:p w14:paraId="42ED6AC6" w14:textId="77777777" w:rsidR="00407697" w:rsidRPr="00407697" w:rsidRDefault="00407697" w:rsidP="005713FD">
      <w:pPr>
        <w:spacing w:before="100" w:beforeAutospacing="1" w:after="100" w:afterAutospacing="1"/>
        <w:jc w:val="center"/>
        <w:rPr>
          <w:rFonts w:ascii="Times New Roman" w:eastAsia="Times New Roman" w:hAnsi="Times New Roman"/>
          <w:color w:val="auto"/>
          <w:sz w:val="24"/>
          <w:szCs w:val="24"/>
        </w:rPr>
      </w:pPr>
      <w:r w:rsidRPr="00407697">
        <w:rPr>
          <w:rFonts w:ascii="Times New Roman" w:eastAsia="Times New Roman" w:hAnsi="Times New Roman"/>
          <w:noProof/>
          <w:color w:val="auto"/>
          <w:sz w:val="24"/>
          <w:szCs w:val="24"/>
        </w:rPr>
        <w:drawing>
          <wp:inline distT="0" distB="0" distL="0" distR="0" wp14:anchorId="29260167" wp14:editId="1350B23C">
            <wp:extent cx="5798206" cy="3356659"/>
            <wp:effectExtent l="0" t="0" r="0" b="0"/>
            <wp:docPr id="529710021" name="Picture 52971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13088" cy="3365274"/>
                    </a:xfrm>
                    <a:prstGeom prst="rect">
                      <a:avLst/>
                    </a:prstGeom>
                    <a:noFill/>
                    <a:ln>
                      <a:noFill/>
                    </a:ln>
                  </pic:spPr>
                </pic:pic>
              </a:graphicData>
            </a:graphic>
          </wp:inline>
        </w:drawing>
      </w:r>
    </w:p>
    <w:p w14:paraId="5B50D228" w14:textId="5179E458" w:rsidR="676EDC06" w:rsidRDefault="00CD2C25" w:rsidP="00A66AD5">
      <w:pPr>
        <w:spacing w:after="160" w:line="257" w:lineRule="auto"/>
        <w:rPr>
          <w:rFonts w:asciiTheme="minorHAnsi" w:eastAsiaTheme="minorEastAsia" w:hAnsiTheme="minorHAnsi" w:cstheme="minorBidi"/>
          <w:i/>
          <w:color w:val="0E2841"/>
          <w:szCs w:val="20"/>
          <w:lang w:val="en-GB"/>
        </w:rPr>
      </w:pPr>
      <w:bookmarkStart w:id="201" w:name="_Toc233112216"/>
      <w:r>
        <w:t xml:space="preserve">Figure </w:t>
      </w:r>
      <w:r w:rsidR="00113348">
        <w:fldChar w:fldCharType="begin"/>
      </w:r>
      <w:r w:rsidR="00113348">
        <w:instrText xml:space="preserve"> SEQ Figure \* ARABIC </w:instrText>
      </w:r>
      <w:r w:rsidR="00113348">
        <w:fldChar w:fldCharType="separate"/>
      </w:r>
      <w:r w:rsidR="00F8092D">
        <w:rPr>
          <w:noProof/>
        </w:rPr>
        <w:t>10</w:t>
      </w:r>
      <w:r w:rsidR="00113348">
        <w:rPr>
          <w:noProof/>
        </w:rPr>
        <w:fldChar w:fldCharType="end"/>
      </w:r>
      <w:r w:rsidR="676EDC06" w:rsidRPr="33445E77">
        <w:rPr>
          <w:rFonts w:ascii="Aptos" w:eastAsia="Aptos" w:hAnsi="Aptos" w:cs="Aptos"/>
          <w:i/>
          <w:iCs/>
          <w:color w:val="0E2841"/>
          <w:szCs w:val="20"/>
          <w:lang w:val="en-GB"/>
        </w:rPr>
        <w:t>: Integration of the TSM within the Co-Simulation Platform employing supervisory mediation and trust boundary separation</w:t>
      </w:r>
      <w:bookmarkEnd w:id="201"/>
    </w:p>
    <w:p w14:paraId="04A192F8" w14:textId="6764E18B" w:rsidR="004A06CD" w:rsidRDefault="004A563B" w:rsidP="000B3155">
      <w:pPr>
        <w:pStyle w:val="Heading3"/>
        <w:rPr>
          <w:rFonts w:asciiTheme="minorHAnsi" w:eastAsiaTheme="minorEastAsia" w:hAnsiTheme="minorHAnsi" w:cstheme="minorBidi"/>
        </w:rPr>
      </w:pPr>
      <w:bookmarkStart w:id="202" w:name="_Toc228799282"/>
      <w:bookmarkStart w:id="203" w:name="_Toc233106285"/>
      <w:bookmarkStart w:id="204" w:name="_Toc233106370"/>
      <w:bookmarkStart w:id="205" w:name="_Toc233111940"/>
      <w:bookmarkStart w:id="206" w:name="_Toc228799283"/>
      <w:bookmarkStart w:id="207" w:name="_Toc233106286"/>
      <w:bookmarkStart w:id="208" w:name="_Toc233106371"/>
      <w:bookmarkStart w:id="209" w:name="_Toc233111941"/>
      <w:bookmarkStart w:id="210" w:name="_Toc234310794"/>
      <w:bookmarkEnd w:id="202"/>
      <w:bookmarkEnd w:id="203"/>
      <w:bookmarkEnd w:id="204"/>
      <w:bookmarkEnd w:id="205"/>
      <w:bookmarkEnd w:id="206"/>
      <w:bookmarkEnd w:id="207"/>
      <w:bookmarkEnd w:id="208"/>
      <w:bookmarkEnd w:id="209"/>
      <w:r>
        <w:t xml:space="preserve">Phase </w:t>
      </w:r>
      <w:r w:rsidR="00B66DFF">
        <w:t>4</w:t>
      </w:r>
      <w:r>
        <w:t xml:space="preserve">. </w:t>
      </w:r>
      <w:r w:rsidR="0095339F" w:rsidRPr="0095339F">
        <w:t>Policy Recommendations and Dissemination</w:t>
      </w:r>
      <w:bookmarkEnd w:id="210"/>
    </w:p>
    <w:p w14:paraId="112B5F5F" w14:textId="14C96450" w:rsidR="0095339F" w:rsidRDefault="00975E5B" w:rsidP="33445E77">
      <w:pPr>
        <w:jc w:val="both"/>
        <w:rPr>
          <w:rFonts w:asciiTheme="minorHAnsi" w:eastAsiaTheme="minorEastAsia" w:hAnsiTheme="minorHAnsi" w:cstheme="minorBidi"/>
          <w:sz w:val="24"/>
          <w:szCs w:val="24"/>
        </w:rPr>
      </w:pPr>
      <w:r w:rsidRPr="33445E77">
        <w:rPr>
          <w:sz w:val="24"/>
          <w:szCs w:val="24"/>
        </w:rPr>
        <w:t>The final phase of the project extends the technical and experimental findings toward policy implementation and sector-wide adoption. Building on the architectural validation and enforcement assessment conducted earlier, this stage aims to develop a practical roadmap for integrating TSM-enabled DER devices into Australia’s energy system. This phase combines empirical insights from vulnerability analysis, formal security modelling, and co-simulation experimentation to guide governance, standards alignment, and regulatory pathways. Structured stakeholder consultation is conducted with AEMO, the Australian EV Council, DNSPs, and relevant standards organizations to ensure practical adherence to AS/NZS charger and inverter standards. Consideration is also given to regulatory mechanisms, including potential mandatory TSM functionality for higher-capacity DER devices.</w:t>
      </w:r>
    </w:p>
    <w:p w14:paraId="55176095" w14:textId="01D02624" w:rsidR="004A563B" w:rsidRDefault="007A105E" w:rsidP="001702BA">
      <w:pPr>
        <w:pStyle w:val="Heading2"/>
        <w:rPr>
          <w:rFonts w:asciiTheme="minorHAnsi" w:eastAsiaTheme="minorEastAsia" w:hAnsiTheme="minorHAnsi" w:cstheme="minorBidi"/>
        </w:rPr>
      </w:pPr>
      <w:bookmarkStart w:id="211" w:name="_Toc234310795"/>
      <w:r>
        <w:t>Summary</w:t>
      </w:r>
      <w:bookmarkEnd w:id="211"/>
    </w:p>
    <w:p w14:paraId="65AE6532" w14:textId="1039AC02" w:rsidR="00CE6E2C" w:rsidRPr="00CE6E2C" w:rsidRDefault="00BD2085" w:rsidP="1A30863F">
      <w:pPr>
        <w:jc w:val="both"/>
        <w:rPr>
          <w:rFonts w:asciiTheme="minorHAnsi" w:eastAsiaTheme="minorEastAsia" w:hAnsiTheme="minorHAnsi" w:cstheme="minorBidi"/>
          <w:sz w:val="24"/>
          <w:szCs w:val="24"/>
        </w:rPr>
      </w:pPr>
      <w:r w:rsidRPr="1A30863F">
        <w:rPr>
          <w:sz w:val="24"/>
          <w:szCs w:val="24"/>
        </w:rPr>
        <w:t>The methodology establishes a structured progression from EVSE architectural exploration and empirical vulnerability analysis to hybrid threat modelling and TSM-based formal security modelling, culminating in supervised integration and controlled experimentation to assess DER stability and cyber-physical impact. The following section presents the consolidated results across all project stages, demonstrating the effects of threat modelling, architectural specification, and TSM enforcement under simulated adversarial conditions.</w:t>
      </w:r>
    </w:p>
    <w:p w14:paraId="5AD28F17" w14:textId="46EC1D0D" w:rsidR="00A943B2" w:rsidRDefault="005E320F" w:rsidP="00B17D2F">
      <w:pPr>
        <w:pStyle w:val="Heading1"/>
        <w:ind w:left="1134" w:hanging="1134"/>
        <w:rPr>
          <w:rFonts w:asciiTheme="minorHAnsi" w:eastAsiaTheme="minorEastAsia" w:hAnsiTheme="minorHAnsi" w:cstheme="minorBidi"/>
        </w:rPr>
      </w:pPr>
      <w:bookmarkStart w:id="212" w:name="_Toc222954478"/>
      <w:bookmarkStart w:id="213" w:name="_Toc223022374"/>
      <w:bookmarkStart w:id="214" w:name="_Toc234310796"/>
      <w:r>
        <w:t>Results</w:t>
      </w:r>
      <w:bookmarkEnd w:id="212"/>
      <w:bookmarkEnd w:id="213"/>
      <w:bookmarkEnd w:id="214"/>
    </w:p>
    <w:p w14:paraId="0B69224B" w14:textId="3AF3CFF1" w:rsidR="00C764C3" w:rsidRPr="00C764C3" w:rsidRDefault="00C764C3" w:rsidP="1A30863F">
      <w:pPr>
        <w:spacing w:before="100" w:beforeAutospacing="1" w:after="100" w:afterAutospacing="1"/>
        <w:jc w:val="both"/>
        <w:rPr>
          <w:rFonts w:asciiTheme="minorHAnsi" w:eastAsiaTheme="minorEastAsia" w:hAnsiTheme="minorHAnsi" w:cstheme="minorBidi"/>
          <w:sz w:val="24"/>
          <w:szCs w:val="24"/>
        </w:rPr>
      </w:pPr>
      <w:r w:rsidRPr="1A30863F">
        <w:rPr>
          <w:sz w:val="24"/>
          <w:szCs w:val="24"/>
        </w:rPr>
        <w:t>This section presents the project outcomes across different phases</w:t>
      </w:r>
      <w:r w:rsidR="00AD160A" w:rsidRPr="1A30863F">
        <w:rPr>
          <w:sz w:val="24"/>
          <w:szCs w:val="24"/>
        </w:rPr>
        <w:t xml:space="preserve"> outlined in Section 2 above</w:t>
      </w:r>
      <w:r w:rsidR="00E05BE1" w:rsidRPr="1A30863F">
        <w:rPr>
          <w:sz w:val="24"/>
          <w:szCs w:val="24"/>
        </w:rPr>
        <w:t xml:space="preserve">. It provides </w:t>
      </w:r>
      <w:r w:rsidRPr="1A30863F">
        <w:rPr>
          <w:sz w:val="24"/>
          <w:szCs w:val="24"/>
        </w:rPr>
        <w:t xml:space="preserve">threat modelling results, including vulnerabilities, attack surfaces, and systemic risk pathways, </w:t>
      </w:r>
      <w:r w:rsidR="00E05BE1" w:rsidRPr="1A30863F">
        <w:rPr>
          <w:sz w:val="24"/>
          <w:szCs w:val="24"/>
        </w:rPr>
        <w:t>and related</w:t>
      </w:r>
      <w:r w:rsidRPr="1A30863F">
        <w:rPr>
          <w:sz w:val="24"/>
          <w:szCs w:val="24"/>
        </w:rPr>
        <w:t xml:space="preserve"> findings</w:t>
      </w:r>
      <w:r w:rsidR="00116A7D" w:rsidRPr="1A30863F">
        <w:rPr>
          <w:sz w:val="24"/>
          <w:szCs w:val="24"/>
        </w:rPr>
        <w:t>. EVSE</w:t>
      </w:r>
      <w:r w:rsidRPr="1A30863F">
        <w:rPr>
          <w:sz w:val="24"/>
          <w:szCs w:val="24"/>
        </w:rPr>
        <w:t xml:space="preserve"> baseline co-simulation results for the EVSE–grid platform under normal operation</w:t>
      </w:r>
      <w:r w:rsidR="00C62756" w:rsidRPr="1A30863F">
        <w:rPr>
          <w:sz w:val="24"/>
          <w:szCs w:val="24"/>
        </w:rPr>
        <w:t>s</w:t>
      </w:r>
      <w:r w:rsidR="00116A7D" w:rsidRPr="1A30863F">
        <w:rPr>
          <w:sz w:val="24"/>
          <w:szCs w:val="24"/>
        </w:rPr>
        <w:t xml:space="preserve"> are presented</w:t>
      </w:r>
      <w:r w:rsidR="001E0C81" w:rsidRPr="1A30863F">
        <w:rPr>
          <w:sz w:val="24"/>
          <w:szCs w:val="24"/>
        </w:rPr>
        <w:t xml:space="preserve"> next</w:t>
      </w:r>
      <w:r w:rsidRPr="1A30863F">
        <w:rPr>
          <w:sz w:val="24"/>
          <w:szCs w:val="24"/>
        </w:rPr>
        <w:t>. Finally, it provides implementation and experimentation results, including threat injection scenarios and comparative evaluation (with and without TSM) to quantify security effectiveness and DER stability impacts.</w:t>
      </w:r>
    </w:p>
    <w:p w14:paraId="7C2A2D4B" w14:textId="730CBB64" w:rsidR="00883255" w:rsidRPr="00BC584E" w:rsidRDefault="00883255" w:rsidP="00BC584E">
      <w:pPr>
        <w:pStyle w:val="Heading2"/>
        <w:ind w:left="567"/>
        <w:rPr>
          <w:rFonts w:asciiTheme="minorHAnsi" w:eastAsiaTheme="minorEastAsia" w:hAnsiTheme="minorHAnsi" w:cstheme="minorBidi"/>
          <w:b/>
        </w:rPr>
      </w:pPr>
      <w:bookmarkStart w:id="215" w:name="_Toc222954479"/>
      <w:bookmarkStart w:id="216" w:name="_Toc223022375"/>
      <w:bookmarkStart w:id="217" w:name="_Toc234310797"/>
      <w:r w:rsidRPr="00BC584E">
        <w:rPr>
          <w:b/>
          <w:bCs w:val="0"/>
        </w:rPr>
        <w:t>EVSE Vulnerabilities Analysis</w:t>
      </w:r>
      <w:bookmarkEnd w:id="215"/>
      <w:bookmarkEnd w:id="216"/>
      <w:bookmarkEnd w:id="217"/>
      <w:r w:rsidRPr="00BC584E">
        <w:rPr>
          <w:b/>
          <w:bCs w:val="0"/>
        </w:rPr>
        <w:t xml:space="preserve"> </w:t>
      </w:r>
    </w:p>
    <w:p w14:paraId="5561FE97" w14:textId="24F7FE91" w:rsidR="001050AC" w:rsidRPr="00AB36B3" w:rsidRDefault="00CB5838" w:rsidP="1A30863F">
      <w:pPr>
        <w:pStyle w:val="BodyText"/>
        <w:jc w:val="both"/>
        <w:rPr>
          <w:rFonts w:asciiTheme="minorHAnsi" w:eastAsiaTheme="minorEastAsia" w:hAnsiTheme="minorHAnsi" w:cstheme="minorBidi"/>
        </w:rPr>
      </w:pPr>
      <w:r w:rsidRPr="1A30863F">
        <w:rPr>
          <w:szCs w:val="24"/>
        </w:rPr>
        <w:t xml:space="preserve">The </w:t>
      </w:r>
      <w:r w:rsidR="001050AC" w:rsidRPr="1A30863F">
        <w:rPr>
          <w:szCs w:val="24"/>
        </w:rPr>
        <w:t xml:space="preserve">EVSE ecosystem is very complex, and to aid </w:t>
      </w:r>
      <w:r w:rsidR="00541F7D" w:rsidRPr="1A30863F">
        <w:rPr>
          <w:szCs w:val="24"/>
        </w:rPr>
        <w:t>vulnerability</w:t>
      </w:r>
      <w:r w:rsidR="001050AC" w:rsidRPr="1A30863F">
        <w:rPr>
          <w:szCs w:val="24"/>
        </w:rPr>
        <w:t xml:space="preserve"> exploration</w:t>
      </w:r>
      <w:r w:rsidR="00541F7D" w:rsidRPr="1A30863F">
        <w:rPr>
          <w:szCs w:val="24"/>
        </w:rPr>
        <w:t>,</w:t>
      </w:r>
      <w:r w:rsidR="001050AC" w:rsidRPr="1A30863F">
        <w:rPr>
          <w:szCs w:val="24"/>
        </w:rPr>
        <w:t xml:space="preserve"> we adopted </w:t>
      </w:r>
      <w:r w:rsidRPr="1A30863F">
        <w:rPr>
          <w:szCs w:val="24"/>
        </w:rPr>
        <w:t xml:space="preserve">an </w:t>
      </w:r>
      <w:r w:rsidR="00541F7D" w:rsidRPr="1A30863F">
        <w:rPr>
          <w:szCs w:val="24"/>
        </w:rPr>
        <w:t>evidence</w:t>
      </w:r>
      <w:r w:rsidR="05320A8C" w:rsidRPr="1A30863F">
        <w:rPr>
          <w:szCs w:val="24"/>
        </w:rPr>
        <w:t>-</w:t>
      </w:r>
      <w:r w:rsidR="00541F7D" w:rsidRPr="1A30863F">
        <w:rPr>
          <w:szCs w:val="24"/>
        </w:rPr>
        <w:t xml:space="preserve">based approach </w:t>
      </w:r>
      <w:r w:rsidR="00F63B67" w:rsidRPr="1A30863F">
        <w:rPr>
          <w:szCs w:val="24"/>
        </w:rPr>
        <w:t xml:space="preserve">combining EVSE vulnerabilities from existing literature and NVD databases.  An analysis of identified vulnerabilities is provided below. </w:t>
      </w:r>
    </w:p>
    <w:p w14:paraId="50FD666A" w14:textId="05756934" w:rsidR="00781CFE" w:rsidRPr="00467CAA" w:rsidRDefault="00781CFE" w:rsidP="00467CAA">
      <w:pPr>
        <w:pStyle w:val="Heading3"/>
        <w:rPr>
          <w:rFonts w:asciiTheme="minorHAnsi" w:eastAsiaTheme="minorEastAsia" w:hAnsiTheme="minorHAnsi" w:cstheme="minorBidi"/>
        </w:rPr>
      </w:pPr>
      <w:bookmarkStart w:id="218" w:name="_Toc234310798"/>
      <w:r w:rsidRPr="00467CAA">
        <w:t xml:space="preserve">Vulnerabilities </w:t>
      </w:r>
      <w:r w:rsidR="005D4FF4">
        <w:t>Findings</w:t>
      </w:r>
      <w:bookmarkEnd w:id="218"/>
    </w:p>
    <w:p w14:paraId="4C51F257" w14:textId="0A74CE56" w:rsidR="005C5E4C" w:rsidRPr="00AB36B3" w:rsidRDefault="00781CFE" w:rsidP="1A30863F">
      <w:pPr>
        <w:pStyle w:val="BodyText"/>
        <w:jc w:val="both"/>
        <w:rPr>
          <w:rFonts w:asciiTheme="minorHAnsi" w:eastAsiaTheme="minorEastAsia" w:hAnsiTheme="minorHAnsi" w:cstheme="minorBidi"/>
        </w:rPr>
      </w:pPr>
      <w:r w:rsidRPr="1A30863F">
        <w:rPr>
          <w:szCs w:val="24"/>
        </w:rPr>
        <w:t>The academic and industry literature reveals several recurring themes and classes of vulnerabilities that plague the EVSE ecosystem. These findings</w:t>
      </w:r>
      <w:r w:rsidR="001F19EC" w:rsidRPr="1A30863F">
        <w:rPr>
          <w:szCs w:val="24"/>
        </w:rPr>
        <w:t xml:space="preserve"> were</w:t>
      </w:r>
      <w:r w:rsidRPr="1A30863F">
        <w:rPr>
          <w:szCs w:val="24"/>
        </w:rPr>
        <w:t xml:space="preserve"> drawn from the extensive survey</w:t>
      </w:r>
      <w:r w:rsidR="000F720F" w:rsidRPr="1A30863F">
        <w:rPr>
          <w:szCs w:val="24"/>
        </w:rPr>
        <w:t xml:space="preserve">s. </w:t>
      </w:r>
      <w:r w:rsidR="00D543C5" w:rsidRPr="1A30863F">
        <w:rPr>
          <w:szCs w:val="24"/>
        </w:rPr>
        <w:t xml:space="preserve">With these findings EVSE attack surface is developed </w:t>
      </w:r>
      <w:r w:rsidR="00143514" w:rsidRPr="1A30863F">
        <w:rPr>
          <w:szCs w:val="24"/>
        </w:rPr>
        <w:t xml:space="preserve">with key architectural components </w:t>
      </w:r>
      <w:r w:rsidR="004B7A28" w:rsidRPr="1A30863F">
        <w:rPr>
          <w:szCs w:val="24"/>
        </w:rPr>
        <w:t xml:space="preserve">and interfaces. </w:t>
      </w:r>
      <w:r w:rsidRPr="1A30863F">
        <w:rPr>
          <w:szCs w:val="24"/>
        </w:rPr>
        <w:t xml:space="preserve"> </w:t>
      </w:r>
      <w:r w:rsidR="001F55FD" w:rsidRPr="1A30863F">
        <w:rPr>
          <w:szCs w:val="24"/>
        </w:rPr>
        <w:t xml:space="preserve">The attack surface is depicted in the </w:t>
      </w:r>
      <w:r w:rsidR="00782FEB">
        <w:rPr>
          <w:szCs w:val="24"/>
        </w:rPr>
        <w:t>f</w:t>
      </w:r>
      <w:r w:rsidR="001F55FD" w:rsidRPr="1A30863F">
        <w:rPr>
          <w:szCs w:val="24"/>
        </w:rPr>
        <w:t xml:space="preserve">igure </w:t>
      </w:r>
      <w:r w:rsidR="4A3D3794" w:rsidRPr="1A30863F">
        <w:rPr>
          <w:szCs w:val="24"/>
        </w:rPr>
        <w:t xml:space="preserve">11 </w:t>
      </w:r>
      <w:r w:rsidR="001F55FD" w:rsidRPr="1A30863F">
        <w:rPr>
          <w:szCs w:val="24"/>
        </w:rPr>
        <w:t xml:space="preserve">below. </w:t>
      </w:r>
    </w:p>
    <w:p w14:paraId="2DCA7187" w14:textId="07DD7539" w:rsidR="1A30863F" w:rsidRDefault="1A30863F" w:rsidP="1A30863F">
      <w:pPr>
        <w:pStyle w:val="BodyText"/>
        <w:jc w:val="both"/>
        <w:rPr>
          <w:rFonts w:asciiTheme="minorHAnsi" w:eastAsiaTheme="minorEastAsia" w:hAnsiTheme="minorHAnsi" w:cstheme="minorBidi"/>
        </w:rPr>
      </w:pPr>
      <w:bookmarkStart w:id="219" w:name="_Toc222954480"/>
    </w:p>
    <w:p w14:paraId="299CE87D" w14:textId="181DF08B" w:rsidR="481AE665" w:rsidRDefault="481AE665" w:rsidP="00E13EFC">
      <w:pPr>
        <w:spacing w:after="160" w:line="257" w:lineRule="auto"/>
        <w:jc w:val="center"/>
        <w:rPr>
          <w:rFonts w:asciiTheme="minorHAnsi" w:eastAsiaTheme="minorEastAsia" w:hAnsiTheme="minorHAnsi" w:cstheme="minorBidi"/>
        </w:rPr>
      </w:pPr>
      <w:r>
        <w:rPr>
          <w:noProof/>
        </w:rPr>
        <w:drawing>
          <wp:inline distT="0" distB="0" distL="0" distR="0" wp14:anchorId="7E4F7DF2" wp14:editId="6F62945A">
            <wp:extent cx="5619750" cy="3028950"/>
            <wp:effectExtent l="0" t="0" r="0" b="0"/>
            <wp:docPr id="181167942" name="drawing" title="A diagram of software and network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67942" name="Picture 181167942"/>
                    <pic:cNvPicPr/>
                  </pic:nvPicPr>
                  <pic:blipFill>
                    <a:blip r:embed="rId28">
                      <a:extLst>
                        <a:ext uri="{28A0092B-C50C-407E-A947-70E740481C1C}">
                          <a14:useLocalDpi xmlns:a14="http://schemas.microsoft.com/office/drawing/2010/main"/>
                        </a:ext>
                      </a:extLst>
                    </a:blip>
                    <a:stretch>
                      <a:fillRect/>
                    </a:stretch>
                  </pic:blipFill>
                  <pic:spPr>
                    <a:xfrm>
                      <a:off x="0" y="0"/>
                      <a:ext cx="5619750" cy="3028950"/>
                    </a:xfrm>
                    <a:prstGeom prst="rect">
                      <a:avLst/>
                    </a:prstGeom>
                  </pic:spPr>
                </pic:pic>
              </a:graphicData>
            </a:graphic>
          </wp:inline>
        </w:drawing>
      </w:r>
    </w:p>
    <w:p w14:paraId="090647E3" w14:textId="7F7B915E" w:rsidR="481AE665" w:rsidRDefault="00CD2C25" w:rsidP="00CD2C25">
      <w:pPr>
        <w:pStyle w:val="Caption"/>
        <w:rPr>
          <w:rFonts w:asciiTheme="minorHAnsi" w:eastAsiaTheme="minorEastAsia" w:hAnsiTheme="minorHAnsi" w:cstheme="minorBidi"/>
          <w:i/>
          <w:color w:val="0E2841"/>
          <w:sz w:val="18"/>
          <w:lang w:val="en-GB"/>
        </w:rPr>
      </w:pPr>
      <w:bookmarkStart w:id="220" w:name="_Toc233112217"/>
      <w:r>
        <w:t xml:space="preserve">Figure </w:t>
      </w:r>
      <w:r w:rsidR="00113348">
        <w:fldChar w:fldCharType="begin"/>
      </w:r>
      <w:r w:rsidR="00113348">
        <w:instrText xml:space="preserve"> SEQ Figure \* ARABIC </w:instrText>
      </w:r>
      <w:r w:rsidR="00113348">
        <w:fldChar w:fldCharType="separate"/>
      </w:r>
      <w:r w:rsidR="00F8092D">
        <w:rPr>
          <w:noProof/>
        </w:rPr>
        <w:t>11</w:t>
      </w:r>
      <w:r w:rsidR="00113348">
        <w:rPr>
          <w:noProof/>
        </w:rPr>
        <w:fldChar w:fldCharType="end"/>
      </w:r>
      <w:r w:rsidR="481AE665" w:rsidRPr="027A8E3F">
        <w:rPr>
          <w:rFonts w:ascii="Aptos" w:eastAsia="Aptos" w:hAnsi="Aptos" w:cs="Aptos"/>
          <w:i/>
          <w:iCs/>
          <w:color w:val="0E2841"/>
          <w:sz w:val="18"/>
          <w:lang w:val="en-GB"/>
        </w:rPr>
        <w:t>:</w:t>
      </w:r>
      <w:r w:rsidR="481AE665" w:rsidRPr="027A8E3F">
        <w:rPr>
          <w:rFonts w:ascii="Aptos" w:eastAsia="Aptos" w:hAnsi="Aptos" w:cs="Aptos"/>
          <w:i/>
          <w:color w:val="0E2841"/>
          <w:sz w:val="18"/>
          <w:lang w:val="en-GB"/>
        </w:rPr>
        <w:t xml:space="preserve"> Key Interfaces and Components that Contribute to the EVSE Attack Surface</w:t>
      </w:r>
      <w:bookmarkEnd w:id="220"/>
    </w:p>
    <w:p w14:paraId="2AD5A601" w14:textId="7EDDEEBE" w:rsidR="027A8E3F" w:rsidRDefault="027A8E3F" w:rsidP="027A8E3F">
      <w:pPr>
        <w:pStyle w:val="BodyText"/>
        <w:rPr>
          <w:rFonts w:asciiTheme="minorHAnsi" w:eastAsiaTheme="minorEastAsia" w:hAnsiTheme="minorHAnsi" w:cstheme="minorBidi"/>
          <w:sz w:val="22"/>
        </w:rPr>
      </w:pPr>
    </w:p>
    <w:bookmarkEnd w:id="219"/>
    <w:p w14:paraId="552805BE" w14:textId="59461EFD" w:rsidR="00BB70FB" w:rsidRPr="00AB36B3" w:rsidRDefault="00BB70FB" w:rsidP="1A30863F">
      <w:pPr>
        <w:pStyle w:val="BodyText"/>
        <w:jc w:val="both"/>
        <w:rPr>
          <w:rFonts w:asciiTheme="minorHAnsi" w:eastAsiaTheme="minorEastAsia" w:hAnsiTheme="minorHAnsi" w:cstheme="minorBidi"/>
        </w:rPr>
      </w:pPr>
      <w:r w:rsidRPr="49C2130A">
        <w:rPr>
          <w:szCs w:val="24"/>
        </w:rPr>
        <w:t>The literature consistently identifies systemic security weaknesses across EVSE communication, hardware, software, and supply-chain layers. Legacy protocols such as OCPP 1.6, MQTT, and CHAdeMO often lack mandatory encryption, enabling MitM, DoS, impersonation, and false data injection attacks</w:t>
      </w:r>
      <w:r w:rsidR="00CC0848" w:rsidRPr="49C2130A">
        <w:rPr>
          <w:szCs w:val="24"/>
        </w:rPr>
        <w:t xml:space="preserve"> [43]</w:t>
      </w:r>
      <w:r w:rsidRPr="49C2130A">
        <w:rPr>
          <w:szCs w:val="24"/>
        </w:rPr>
        <w:t>. Even modern standards like ISO 15118 permit optional TLS in loosely defined “trusted” environments, increasing implementation risk. PLC-based communication is inherently susceptible to interception and manipulation. Physically accessible chargers expose USB, Ethernet, and debug interfaces, while many devices lack a hardware root of trust, enabling persistent firmware compromise. Weak authentication practices, hard-coded credentials, and unsigned firmware updates further exacerbate risk. Internet-exposed EVSEs and poorly segmented networks allow lateral movement and fleet-scale compromise. Additionally, supply-chain weaknesses and insecure factory configurations introduce pre-deployment risks. Collectively, these findings reveal a fragile trust model vulnerable to scalable cyber-physical disruption</w:t>
      </w:r>
    </w:p>
    <w:p w14:paraId="5B865505" w14:textId="787EB271" w:rsidR="00CF6190" w:rsidRPr="00A51378" w:rsidRDefault="00CF6190" w:rsidP="49C2130A">
      <w:pPr>
        <w:pStyle w:val="Heading5"/>
        <w:jc w:val="both"/>
        <w:rPr>
          <w:rFonts w:asciiTheme="minorHAnsi" w:eastAsiaTheme="minorEastAsia" w:hAnsiTheme="minorHAnsi" w:cstheme="minorBidi"/>
          <w:sz w:val="24"/>
          <w:szCs w:val="24"/>
        </w:rPr>
      </w:pPr>
      <w:r w:rsidRPr="49C2130A">
        <w:rPr>
          <w:sz w:val="24"/>
          <w:szCs w:val="24"/>
        </w:rPr>
        <w:t xml:space="preserve">Consolidated Vulnerabilities </w:t>
      </w:r>
    </w:p>
    <w:p w14:paraId="71572F6D" w14:textId="5B52950D" w:rsidR="004926E7" w:rsidRPr="00AB36B3" w:rsidRDefault="00CF6190" w:rsidP="49C2130A">
      <w:pPr>
        <w:pStyle w:val="BodyText"/>
        <w:jc w:val="both"/>
        <w:rPr>
          <w:rFonts w:asciiTheme="minorHAnsi" w:eastAsiaTheme="minorEastAsia" w:hAnsiTheme="minorHAnsi" w:cstheme="minorBidi"/>
        </w:rPr>
      </w:pPr>
      <w:r w:rsidRPr="49C2130A">
        <w:rPr>
          <w:szCs w:val="24"/>
        </w:rPr>
        <w:t xml:space="preserve">The vulnerabilities identified through the literature review and NVD analysis are presented in a tiered approach to provide both a high-level overview and detailed </w:t>
      </w:r>
      <w:r w:rsidR="004926E7" w:rsidRPr="49C2130A">
        <w:rPr>
          <w:szCs w:val="24"/>
        </w:rPr>
        <w:t>traceability. Empirical CVE Analysis and Risk Implications. The empirical extraction of publicly disclosed CVEs associated with EVSE products confirms that the risks identified through architectural analysis are not theoretical abstractions but are actively manifested in deployed systems. The documented vulnerabilities demonstrate real-world exploitability across multiple architectural domains, reinforcing the systemic exposure outlined earlier.</w:t>
      </w:r>
    </w:p>
    <w:p w14:paraId="3C9B0695" w14:textId="77777777" w:rsidR="004926E7" w:rsidRPr="004926E7" w:rsidRDefault="004926E7" w:rsidP="49C2130A">
      <w:pPr>
        <w:pStyle w:val="BodyText"/>
        <w:jc w:val="both"/>
        <w:rPr>
          <w:rFonts w:asciiTheme="minorHAnsi" w:eastAsiaTheme="minorEastAsia" w:hAnsiTheme="minorHAnsi" w:cstheme="minorBidi"/>
          <w:b/>
        </w:rPr>
      </w:pPr>
      <w:r w:rsidRPr="004926E7">
        <w:rPr>
          <w:b/>
          <w:bCs/>
        </w:rPr>
        <w:t>Severity and Exploitability Trends.</w:t>
      </w:r>
    </w:p>
    <w:p w14:paraId="225848DD" w14:textId="77777777" w:rsidR="004926E7" w:rsidRPr="00AB36B3" w:rsidRDefault="004926E7" w:rsidP="49C2130A">
      <w:pPr>
        <w:pStyle w:val="BodyText"/>
        <w:jc w:val="both"/>
        <w:rPr>
          <w:rFonts w:asciiTheme="minorHAnsi" w:eastAsiaTheme="minorEastAsia" w:hAnsiTheme="minorHAnsi" w:cstheme="minorBidi"/>
        </w:rPr>
      </w:pPr>
      <w:r w:rsidRPr="49C2130A">
        <w:rPr>
          <w:szCs w:val="24"/>
        </w:rPr>
        <w:t>A substantial proportion of identified CVEs enable Remote Code Execution (RCE) or privilege escalation, indicating high-impact compromise potential. Notably, vulnerabilities such as CVE-2024-11666 reveal that insecure cloud communication channels permit unauthenticated RCE, effectively enabling full fleet takeover. This demonstrates that backend weaknesses are not isolated configuration flaws but represent scalable control vectors capable of orchestrating coordinated disruption.</w:t>
      </w:r>
    </w:p>
    <w:p w14:paraId="26FF607A" w14:textId="77777777" w:rsidR="004926E7" w:rsidRPr="004926E7" w:rsidRDefault="004926E7" w:rsidP="49C2130A">
      <w:pPr>
        <w:pStyle w:val="BodyText"/>
        <w:jc w:val="both"/>
        <w:rPr>
          <w:rFonts w:asciiTheme="minorHAnsi" w:eastAsiaTheme="minorEastAsia" w:hAnsiTheme="minorHAnsi" w:cstheme="minorBidi"/>
          <w:b/>
        </w:rPr>
      </w:pPr>
      <w:r w:rsidRPr="004926E7">
        <w:rPr>
          <w:b/>
          <w:bCs/>
        </w:rPr>
        <w:t>Vulnerabilities by Architectural Domain.</w:t>
      </w:r>
    </w:p>
    <w:p w14:paraId="69669474" w14:textId="4C823495" w:rsidR="004926E7" w:rsidRPr="00AB36B3" w:rsidRDefault="004926E7" w:rsidP="49C2130A">
      <w:pPr>
        <w:pStyle w:val="BodyText"/>
        <w:jc w:val="both"/>
        <w:rPr>
          <w:rFonts w:asciiTheme="minorHAnsi" w:eastAsiaTheme="minorEastAsia" w:hAnsiTheme="minorHAnsi" w:cstheme="minorBidi"/>
        </w:rPr>
      </w:pPr>
      <w:r w:rsidRPr="49C2130A">
        <w:rPr>
          <w:szCs w:val="24"/>
        </w:rPr>
        <w:t>The Local Device domain accounts for approximately 36% of critical threats and presents the largest physical and embedded attack surface (average Residual Risk Score: 21.5). Vulnerabilities such as CVE-2025-5828, involving stack overflows via USB/BLE paths, illustrate how adjacent or local access can escalate to complete device takeover.</w:t>
      </w:r>
      <w:r w:rsidR="00AB36B3" w:rsidRPr="49C2130A">
        <w:rPr>
          <w:szCs w:val="24"/>
        </w:rPr>
        <w:t xml:space="preserve"> </w:t>
      </w:r>
      <w:r w:rsidRPr="49C2130A">
        <w:rPr>
          <w:szCs w:val="24"/>
        </w:rPr>
        <w:t>Although the Backend/Cloud domain contains fewer total vulnerabilities (11%), it exhibits the highest average risk score (24.1). This reflects systemic amplification: a single backend compromise can propagate across an entire fleet, multiplying operational and grid-level consequences.</w:t>
      </w:r>
    </w:p>
    <w:p w14:paraId="5EF4015B" w14:textId="24AFB9CE" w:rsidR="004926E7" w:rsidRPr="0031387D" w:rsidRDefault="004926E7" w:rsidP="0031387D">
      <w:pPr>
        <w:pStyle w:val="Heading3"/>
        <w:rPr>
          <w:rFonts w:asciiTheme="minorHAnsi" w:eastAsiaTheme="minorEastAsia" w:hAnsiTheme="minorHAnsi" w:cstheme="minorBidi"/>
        </w:rPr>
      </w:pPr>
      <w:bookmarkStart w:id="221" w:name="_Toc234310799"/>
      <w:r w:rsidRPr="0031387D">
        <w:t>Vulnerability Type Concentration (CWE Analysis).</w:t>
      </w:r>
      <w:bookmarkEnd w:id="221"/>
    </w:p>
    <w:p w14:paraId="62217AFA" w14:textId="081761D9" w:rsidR="00146447" w:rsidRDefault="004926E7" w:rsidP="49C2130A">
      <w:pPr>
        <w:pStyle w:val="BodyText"/>
        <w:jc w:val="both"/>
        <w:rPr>
          <w:rFonts w:asciiTheme="minorHAnsi" w:eastAsiaTheme="minorEastAsia" w:hAnsiTheme="minorHAnsi" w:cstheme="minorBidi"/>
        </w:rPr>
      </w:pPr>
      <w:r w:rsidRPr="49C2130A">
        <w:rPr>
          <w:szCs w:val="24"/>
        </w:rPr>
        <w:t>The weakness taxonomy reveals clustering in high-consequence classes. CWE-494 (Unsigned Firmware) enables persistent takeover through malicious OTA updates; CWE-295 (Improper Certificate Validation) allows DERMS impersonation and fraudulent load manipulation; and CWE-319 (Cleartext Transmission) facilitates MitM interception and command injection.</w:t>
      </w:r>
      <w:r w:rsidR="00D75BE4" w:rsidRPr="49C2130A">
        <w:rPr>
          <w:szCs w:val="24"/>
        </w:rPr>
        <w:t xml:space="preserve"> </w:t>
      </w:r>
      <w:r w:rsidR="00CF6190" w:rsidRPr="49C2130A">
        <w:rPr>
          <w:szCs w:val="24"/>
        </w:rPr>
        <w:t xml:space="preserve"> The following tables summarize the most critical and representative vulnerabilities for each architectural domain</w:t>
      </w:r>
      <w:r w:rsidR="007E16C5">
        <w:t xml:space="preserve">. </w:t>
      </w:r>
    </w:p>
    <w:p w14:paraId="6C9B1BF0" w14:textId="0546159C" w:rsidR="00CF6190" w:rsidRPr="00AB36B3" w:rsidRDefault="00CF6190" w:rsidP="49C2130A">
      <w:pPr>
        <w:pStyle w:val="BodyText"/>
        <w:jc w:val="both"/>
        <w:rPr>
          <w:rFonts w:asciiTheme="minorHAnsi" w:eastAsiaTheme="minorEastAsia" w:hAnsiTheme="minorHAnsi" w:cstheme="minorBidi"/>
        </w:rPr>
      </w:pPr>
      <w:r w:rsidRPr="49C2130A">
        <w:rPr>
          <w:szCs w:val="24"/>
        </w:rPr>
        <w:t xml:space="preserve">Table </w:t>
      </w:r>
      <w:r w:rsidR="00AD290A" w:rsidRPr="49C2130A">
        <w:rPr>
          <w:szCs w:val="24"/>
        </w:rPr>
        <w:t>6</w:t>
      </w:r>
      <w:r w:rsidRPr="49C2130A">
        <w:rPr>
          <w:szCs w:val="24"/>
        </w:rPr>
        <w:t xml:space="preserve"> outlines critical vulnerabilities affecting the direct communication link between the Electric Vehicle and the EVSE, primarily concerning the ISO 15118 protocol.</w:t>
      </w:r>
    </w:p>
    <w:p w14:paraId="69802018" w14:textId="4A0EB81A" w:rsidR="51BE14DE" w:rsidRDefault="51BE14DE" w:rsidP="51BE14DE">
      <w:pPr>
        <w:pStyle w:val="BodyText"/>
        <w:rPr>
          <w:rFonts w:asciiTheme="minorHAnsi" w:eastAsiaTheme="minorEastAsia" w:hAnsiTheme="minorHAnsi" w:cstheme="minorBidi"/>
          <w:sz w:val="22"/>
        </w:rPr>
      </w:pPr>
    </w:p>
    <w:p w14:paraId="36E118D5" w14:textId="11976F1D" w:rsidR="657A7C2A" w:rsidRDefault="00946632" w:rsidP="00946632">
      <w:pPr>
        <w:pStyle w:val="Caption"/>
        <w:rPr>
          <w:rFonts w:asciiTheme="minorHAnsi" w:eastAsiaTheme="minorEastAsia" w:hAnsiTheme="minorHAnsi" w:cstheme="minorBidi"/>
        </w:rPr>
      </w:pPr>
      <w:bookmarkStart w:id="222" w:name="_Toc233112260"/>
      <w:r>
        <w:t xml:space="preserve">Table </w:t>
      </w:r>
      <w:r w:rsidR="00113348">
        <w:fldChar w:fldCharType="begin"/>
      </w:r>
      <w:r w:rsidR="00113348">
        <w:instrText xml:space="preserve"> SEQ Table \* ARABIC </w:instrText>
      </w:r>
      <w:r w:rsidR="00113348">
        <w:fldChar w:fldCharType="separate"/>
      </w:r>
      <w:r w:rsidR="00F8092D">
        <w:rPr>
          <w:noProof/>
        </w:rPr>
        <w:t>6</w:t>
      </w:r>
      <w:r w:rsidR="00113348">
        <w:rPr>
          <w:noProof/>
        </w:rPr>
        <w:fldChar w:fldCharType="end"/>
      </w:r>
      <w:r w:rsidR="7A90DD38" w:rsidRPr="00AB36B3">
        <w:t xml:space="preserve">: Critical Vulnerabilities in the EV </w:t>
      </w:r>
      <w:r w:rsidR="7A90DD38">
        <w:t>to</w:t>
      </w:r>
      <w:r w:rsidR="7A90DD38" w:rsidRPr="00AB36B3">
        <w:t xml:space="preserve"> EVSE Domain</w:t>
      </w:r>
      <w:bookmarkEnd w:id="222"/>
    </w:p>
    <w:tbl>
      <w:tblPr>
        <w:tblStyle w:val="TableCSIRO"/>
        <w:tblW w:w="0" w:type="auto"/>
        <w:tblLook w:val="04A0" w:firstRow="1" w:lastRow="0" w:firstColumn="1" w:lastColumn="0" w:noHBand="0" w:noVBand="1"/>
      </w:tblPr>
      <w:tblGrid>
        <w:gridCol w:w="738"/>
        <w:gridCol w:w="1104"/>
        <w:gridCol w:w="4844"/>
        <w:gridCol w:w="2839"/>
      </w:tblGrid>
      <w:tr w:rsidR="00D75BE4" w:rsidRPr="00D75BE4" w14:paraId="2CF4514A" w14:textId="77777777" w:rsidTr="00D75B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hideMark/>
          </w:tcPr>
          <w:p w14:paraId="4F31559E" w14:textId="77777777" w:rsidR="00D75BE4" w:rsidRPr="00D75BE4" w:rsidRDefault="00D75BE4" w:rsidP="00D75BE4">
            <w:pPr>
              <w:pStyle w:val="BodyText"/>
              <w:spacing w:before="0" w:after="0"/>
              <w:rPr>
                <w:rFonts w:asciiTheme="minorHAnsi" w:eastAsiaTheme="minorEastAsia" w:hAnsiTheme="minorHAnsi" w:cstheme="minorBidi"/>
                <w:color w:val="FFFFFF" w:themeColor="background1"/>
                <w:sz w:val="18"/>
                <w:szCs w:val="18"/>
              </w:rPr>
            </w:pPr>
            <w:r w:rsidRPr="3C9E86E5">
              <w:rPr>
                <w:color w:val="FFFFFF" w:themeColor="background2"/>
                <w:sz w:val="18"/>
                <w:szCs w:val="18"/>
              </w:rPr>
              <w:t>ID</w:t>
            </w:r>
          </w:p>
        </w:tc>
        <w:tc>
          <w:tcPr>
            <w:tcW w:w="1104" w:type="dxa"/>
            <w:hideMark/>
          </w:tcPr>
          <w:p w14:paraId="32AE75BA" w14:textId="4AC635BC" w:rsidR="00D75BE4" w:rsidRPr="00D75BE4" w:rsidRDefault="00D75BE4" w:rsidP="00D75BE4">
            <w:pPr>
              <w:pStyle w:val="BodyText"/>
              <w:spacing w:before="0" w:after="0"/>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1"/>
                <w:sz w:val="18"/>
                <w:szCs w:val="18"/>
              </w:rPr>
            </w:pPr>
            <w:r w:rsidRPr="3C9E86E5">
              <w:rPr>
                <w:color w:val="FFFFFF" w:themeColor="background2"/>
                <w:sz w:val="18"/>
                <w:szCs w:val="18"/>
              </w:rPr>
              <w:t xml:space="preserve"> CWE</w:t>
            </w:r>
          </w:p>
        </w:tc>
        <w:tc>
          <w:tcPr>
            <w:tcW w:w="0" w:type="auto"/>
            <w:hideMark/>
          </w:tcPr>
          <w:p w14:paraId="69E7268D" w14:textId="77777777" w:rsidR="00D75BE4" w:rsidRPr="00D75BE4" w:rsidRDefault="00D75BE4" w:rsidP="00D75BE4">
            <w:pPr>
              <w:pStyle w:val="BodyText"/>
              <w:spacing w:before="0" w:after="0"/>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1"/>
                <w:sz w:val="18"/>
                <w:szCs w:val="18"/>
              </w:rPr>
            </w:pPr>
            <w:r w:rsidRPr="3C9E86E5">
              <w:rPr>
                <w:color w:val="FFFFFF" w:themeColor="background2"/>
                <w:sz w:val="18"/>
                <w:szCs w:val="18"/>
              </w:rPr>
              <w:t>Description</w:t>
            </w:r>
          </w:p>
        </w:tc>
        <w:tc>
          <w:tcPr>
            <w:tcW w:w="0" w:type="auto"/>
            <w:hideMark/>
          </w:tcPr>
          <w:p w14:paraId="63BEE216" w14:textId="77777777" w:rsidR="00D75BE4" w:rsidRPr="00D75BE4" w:rsidRDefault="00D75BE4" w:rsidP="00D75BE4">
            <w:pPr>
              <w:pStyle w:val="BodyText"/>
              <w:spacing w:before="0" w:after="0"/>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1"/>
                <w:sz w:val="18"/>
                <w:szCs w:val="18"/>
              </w:rPr>
            </w:pPr>
            <w:r w:rsidRPr="3C9E86E5">
              <w:rPr>
                <w:color w:val="FFFFFF" w:themeColor="background2"/>
                <w:sz w:val="18"/>
                <w:szCs w:val="18"/>
              </w:rPr>
              <w:t>Potential Impact</w:t>
            </w:r>
          </w:p>
        </w:tc>
      </w:tr>
      <w:tr w:rsidR="00D75BE4" w:rsidRPr="00D75BE4" w14:paraId="37345E66" w14:textId="77777777" w:rsidTr="00D75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hideMark/>
          </w:tcPr>
          <w:p w14:paraId="33DF61EB" w14:textId="77777777" w:rsidR="00D75BE4" w:rsidRPr="00D75BE4" w:rsidRDefault="00D75BE4" w:rsidP="00D75BE4">
            <w:pPr>
              <w:pStyle w:val="BodyText"/>
              <w:spacing w:before="0" w:after="0"/>
              <w:rPr>
                <w:rFonts w:asciiTheme="minorHAnsi" w:eastAsiaTheme="minorEastAsia" w:hAnsiTheme="minorHAnsi" w:cstheme="minorBidi"/>
                <w:sz w:val="18"/>
                <w:szCs w:val="18"/>
              </w:rPr>
            </w:pPr>
            <w:r w:rsidRPr="00D75BE4">
              <w:rPr>
                <w:sz w:val="18"/>
                <w:szCs w:val="18"/>
              </w:rPr>
              <w:t>V-001</w:t>
            </w:r>
          </w:p>
        </w:tc>
        <w:tc>
          <w:tcPr>
            <w:tcW w:w="1104" w:type="dxa"/>
            <w:hideMark/>
          </w:tcPr>
          <w:p w14:paraId="1BBC4CA4" w14:textId="77777777" w:rsidR="00D75BE4" w:rsidRPr="00D75BE4" w:rsidRDefault="00D75BE4" w:rsidP="00D75BE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00D75BE4">
              <w:rPr>
                <w:sz w:val="18"/>
                <w:szCs w:val="18"/>
              </w:rPr>
              <w:t>CWE-287</w:t>
            </w:r>
          </w:p>
        </w:tc>
        <w:tc>
          <w:tcPr>
            <w:tcW w:w="0" w:type="auto"/>
            <w:hideMark/>
          </w:tcPr>
          <w:p w14:paraId="21D4E202" w14:textId="77777777" w:rsidR="00D75BE4" w:rsidRPr="00D75BE4" w:rsidRDefault="00D75BE4" w:rsidP="00D75BE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00D75BE4">
              <w:rPr>
                <w:sz w:val="18"/>
                <w:szCs w:val="18"/>
              </w:rPr>
              <w:t>Forged ISO 15118 certificate enabling unauthorized charging sessions.</w:t>
            </w:r>
          </w:p>
        </w:tc>
        <w:tc>
          <w:tcPr>
            <w:tcW w:w="0" w:type="auto"/>
            <w:hideMark/>
          </w:tcPr>
          <w:p w14:paraId="7EEF2391" w14:textId="77777777" w:rsidR="00D75BE4" w:rsidRPr="00D75BE4" w:rsidRDefault="00D75BE4" w:rsidP="00D75BE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00D75BE4">
              <w:rPr>
                <w:sz w:val="18"/>
                <w:szCs w:val="18"/>
              </w:rPr>
              <w:t>Billing Fraud, False Load Demand</w:t>
            </w:r>
          </w:p>
        </w:tc>
      </w:tr>
      <w:tr w:rsidR="00D75BE4" w:rsidRPr="00D75BE4" w14:paraId="5FCA55C8" w14:textId="77777777" w:rsidTr="00D75BE4">
        <w:tc>
          <w:tcPr>
            <w:cnfStyle w:val="001000000000" w:firstRow="0" w:lastRow="0" w:firstColumn="1" w:lastColumn="0" w:oddVBand="0" w:evenVBand="0" w:oddHBand="0" w:evenHBand="0" w:firstRowFirstColumn="0" w:firstRowLastColumn="0" w:lastRowFirstColumn="0" w:lastRowLastColumn="0"/>
            <w:tcW w:w="738" w:type="dxa"/>
            <w:hideMark/>
          </w:tcPr>
          <w:p w14:paraId="6F16381B" w14:textId="77777777" w:rsidR="00D75BE4" w:rsidRPr="00D75BE4" w:rsidRDefault="00D75BE4" w:rsidP="00D75BE4">
            <w:pPr>
              <w:pStyle w:val="BodyText"/>
              <w:spacing w:before="0" w:after="0"/>
              <w:rPr>
                <w:rFonts w:asciiTheme="minorHAnsi" w:eastAsiaTheme="minorEastAsia" w:hAnsiTheme="minorHAnsi" w:cstheme="minorBidi"/>
                <w:sz w:val="18"/>
                <w:szCs w:val="18"/>
              </w:rPr>
            </w:pPr>
            <w:r w:rsidRPr="00D75BE4">
              <w:rPr>
                <w:sz w:val="18"/>
                <w:szCs w:val="18"/>
              </w:rPr>
              <w:t>V-010</w:t>
            </w:r>
          </w:p>
        </w:tc>
        <w:tc>
          <w:tcPr>
            <w:tcW w:w="1104" w:type="dxa"/>
            <w:hideMark/>
          </w:tcPr>
          <w:p w14:paraId="427367D5" w14:textId="77777777" w:rsidR="00D75BE4" w:rsidRPr="00D75BE4" w:rsidRDefault="00D75BE4" w:rsidP="00D75BE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00D75BE4">
              <w:rPr>
                <w:sz w:val="18"/>
                <w:szCs w:val="18"/>
              </w:rPr>
              <w:t>CWE-319</w:t>
            </w:r>
          </w:p>
        </w:tc>
        <w:tc>
          <w:tcPr>
            <w:tcW w:w="0" w:type="auto"/>
            <w:hideMark/>
          </w:tcPr>
          <w:p w14:paraId="60633250" w14:textId="77777777" w:rsidR="00D75BE4" w:rsidRPr="00D75BE4" w:rsidRDefault="00D75BE4" w:rsidP="00D75BE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00D75BE4">
              <w:rPr>
                <w:sz w:val="18"/>
                <w:szCs w:val="18"/>
              </w:rPr>
              <w:t>Cleartext transmission of sensitive information over PLC communication.</w:t>
            </w:r>
          </w:p>
        </w:tc>
        <w:tc>
          <w:tcPr>
            <w:tcW w:w="0" w:type="auto"/>
            <w:hideMark/>
          </w:tcPr>
          <w:p w14:paraId="588E2265" w14:textId="77777777" w:rsidR="00D75BE4" w:rsidRPr="00D75BE4" w:rsidRDefault="00D75BE4" w:rsidP="00D75BE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00D75BE4">
              <w:rPr>
                <w:sz w:val="18"/>
                <w:szCs w:val="18"/>
              </w:rPr>
              <w:t>Data Leakage, Session Hijacking</w:t>
            </w:r>
          </w:p>
        </w:tc>
      </w:tr>
      <w:tr w:rsidR="00D75BE4" w:rsidRPr="00D75BE4" w14:paraId="15F1BDBD" w14:textId="77777777" w:rsidTr="00D75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hideMark/>
          </w:tcPr>
          <w:p w14:paraId="7049B25E" w14:textId="77777777" w:rsidR="00D75BE4" w:rsidRPr="00D75BE4" w:rsidRDefault="00D75BE4" w:rsidP="00D75BE4">
            <w:pPr>
              <w:pStyle w:val="BodyText"/>
              <w:spacing w:before="0" w:after="0"/>
              <w:rPr>
                <w:rFonts w:asciiTheme="minorHAnsi" w:eastAsiaTheme="minorEastAsia" w:hAnsiTheme="minorHAnsi" w:cstheme="minorBidi"/>
                <w:sz w:val="18"/>
                <w:szCs w:val="18"/>
              </w:rPr>
            </w:pPr>
            <w:r w:rsidRPr="00D75BE4">
              <w:rPr>
                <w:sz w:val="18"/>
                <w:szCs w:val="18"/>
              </w:rPr>
              <w:t>V-031</w:t>
            </w:r>
          </w:p>
        </w:tc>
        <w:tc>
          <w:tcPr>
            <w:tcW w:w="1104" w:type="dxa"/>
            <w:hideMark/>
          </w:tcPr>
          <w:p w14:paraId="564CC2BF" w14:textId="77777777" w:rsidR="00D75BE4" w:rsidRPr="00D75BE4" w:rsidRDefault="00D75BE4" w:rsidP="00D75BE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00D75BE4">
              <w:rPr>
                <w:sz w:val="18"/>
                <w:szCs w:val="18"/>
              </w:rPr>
              <w:t>CVE-2024-37310</w:t>
            </w:r>
          </w:p>
        </w:tc>
        <w:tc>
          <w:tcPr>
            <w:tcW w:w="0" w:type="auto"/>
            <w:hideMark/>
          </w:tcPr>
          <w:p w14:paraId="59D80A4D" w14:textId="77777777" w:rsidR="00D75BE4" w:rsidRPr="00D75BE4" w:rsidRDefault="00D75BE4" w:rsidP="00D75BE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00D75BE4">
              <w:rPr>
                <w:sz w:val="18"/>
                <w:szCs w:val="18"/>
              </w:rPr>
              <w:t>Integer/heap overflow in EVerest V2G server affecting ISO 15118 session.</w:t>
            </w:r>
          </w:p>
        </w:tc>
        <w:tc>
          <w:tcPr>
            <w:tcW w:w="0" w:type="auto"/>
            <w:hideMark/>
          </w:tcPr>
          <w:p w14:paraId="501021E9" w14:textId="77777777" w:rsidR="00D75BE4" w:rsidRPr="00D75BE4" w:rsidRDefault="00D75BE4" w:rsidP="00D75BE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00D75BE4">
              <w:rPr>
                <w:sz w:val="18"/>
                <w:szCs w:val="18"/>
              </w:rPr>
              <w:t>Denial of Service, Remote Code Execution</w:t>
            </w:r>
          </w:p>
        </w:tc>
      </w:tr>
      <w:tr w:rsidR="00D75BE4" w:rsidRPr="00D75BE4" w14:paraId="00D87D60" w14:textId="77777777" w:rsidTr="00D75BE4">
        <w:tc>
          <w:tcPr>
            <w:cnfStyle w:val="001000000000" w:firstRow="0" w:lastRow="0" w:firstColumn="1" w:lastColumn="0" w:oddVBand="0" w:evenVBand="0" w:oddHBand="0" w:evenHBand="0" w:firstRowFirstColumn="0" w:firstRowLastColumn="0" w:lastRowFirstColumn="0" w:lastRowLastColumn="0"/>
            <w:tcW w:w="738" w:type="dxa"/>
            <w:hideMark/>
          </w:tcPr>
          <w:p w14:paraId="7608CA2F" w14:textId="77777777" w:rsidR="00D75BE4" w:rsidRPr="00D75BE4" w:rsidRDefault="00D75BE4" w:rsidP="00D75BE4">
            <w:pPr>
              <w:pStyle w:val="BodyText"/>
              <w:spacing w:before="0" w:after="0"/>
              <w:rPr>
                <w:rFonts w:asciiTheme="minorHAnsi" w:eastAsiaTheme="minorEastAsia" w:hAnsiTheme="minorHAnsi" w:cstheme="minorBidi"/>
                <w:sz w:val="18"/>
                <w:szCs w:val="18"/>
              </w:rPr>
            </w:pPr>
            <w:r w:rsidRPr="00D75BE4">
              <w:rPr>
                <w:sz w:val="18"/>
                <w:szCs w:val="18"/>
              </w:rPr>
              <w:t>V-032</w:t>
            </w:r>
          </w:p>
        </w:tc>
        <w:tc>
          <w:tcPr>
            <w:tcW w:w="1104" w:type="dxa"/>
            <w:hideMark/>
          </w:tcPr>
          <w:p w14:paraId="4A4154B3" w14:textId="77777777" w:rsidR="00D75BE4" w:rsidRPr="00D75BE4" w:rsidRDefault="00D75BE4" w:rsidP="00D75BE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00D75BE4">
              <w:rPr>
                <w:sz w:val="18"/>
                <w:szCs w:val="18"/>
              </w:rPr>
              <w:t>CVE-2022-0878</w:t>
            </w:r>
          </w:p>
        </w:tc>
        <w:tc>
          <w:tcPr>
            <w:tcW w:w="0" w:type="auto"/>
            <w:hideMark/>
          </w:tcPr>
          <w:p w14:paraId="475B38F5" w14:textId="77777777" w:rsidR="00D75BE4" w:rsidRPr="00D75BE4" w:rsidRDefault="00D75BE4" w:rsidP="00D75BE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00D75BE4">
              <w:rPr>
                <w:sz w:val="18"/>
                <w:szCs w:val="18"/>
              </w:rPr>
              <w:t>“Brokenwire” RF interference DoS attack against CCS PLC link.</w:t>
            </w:r>
          </w:p>
        </w:tc>
        <w:tc>
          <w:tcPr>
            <w:tcW w:w="0" w:type="auto"/>
            <w:hideMark/>
          </w:tcPr>
          <w:p w14:paraId="11A4F85B" w14:textId="77777777" w:rsidR="00D75BE4" w:rsidRPr="00D75BE4" w:rsidRDefault="00D75BE4" w:rsidP="00D75BE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00D75BE4">
              <w:rPr>
                <w:sz w:val="18"/>
                <w:szCs w:val="18"/>
              </w:rPr>
              <w:t>Denial of Service</w:t>
            </w:r>
          </w:p>
        </w:tc>
      </w:tr>
    </w:tbl>
    <w:p w14:paraId="7B1FF971" w14:textId="77777777" w:rsidR="00D75BE4" w:rsidRPr="00AB36B3" w:rsidRDefault="00D75BE4" w:rsidP="00CF6190">
      <w:pPr>
        <w:pStyle w:val="BodyText"/>
        <w:rPr>
          <w:rFonts w:asciiTheme="minorHAnsi" w:eastAsiaTheme="minorEastAsia" w:hAnsiTheme="minorHAnsi" w:cstheme="minorBidi"/>
          <w:sz w:val="22"/>
        </w:rPr>
      </w:pPr>
    </w:p>
    <w:p w14:paraId="06DBDE7D" w14:textId="4A9CA42D" w:rsidR="00F26860" w:rsidRPr="00AB36B3" w:rsidRDefault="00F26860" w:rsidP="728CA63C">
      <w:pPr>
        <w:pStyle w:val="BodyText"/>
        <w:jc w:val="both"/>
        <w:rPr>
          <w:rFonts w:asciiTheme="minorHAnsi" w:eastAsiaTheme="minorEastAsia" w:hAnsiTheme="minorHAnsi" w:cstheme="minorBidi"/>
        </w:rPr>
      </w:pPr>
      <w:r>
        <w:t xml:space="preserve">Table </w:t>
      </w:r>
      <w:r w:rsidR="00AD290A">
        <w:t>7</w:t>
      </w:r>
      <w:r>
        <w:t xml:space="preserve"> details vulnerabilities inherent to the physical EVSE hardware and its local interfaces, which can be exploited by an attacker with direct or adjacent network access.</w:t>
      </w:r>
    </w:p>
    <w:p w14:paraId="15C89D88" w14:textId="7E3C4DC3" w:rsidR="728CA63C" w:rsidRDefault="728CA63C" w:rsidP="728CA63C">
      <w:pPr>
        <w:pStyle w:val="BodyText"/>
        <w:jc w:val="both"/>
        <w:rPr>
          <w:rFonts w:asciiTheme="minorHAnsi" w:eastAsiaTheme="minorEastAsia" w:hAnsiTheme="minorHAnsi" w:cstheme="minorBidi"/>
        </w:rPr>
      </w:pPr>
    </w:p>
    <w:p w14:paraId="335F6C30" w14:textId="6622651D" w:rsidR="00F52F9F" w:rsidRPr="00AB36B3" w:rsidRDefault="00946632" w:rsidP="00946632">
      <w:pPr>
        <w:pStyle w:val="Caption"/>
        <w:rPr>
          <w:rFonts w:asciiTheme="minorHAnsi" w:eastAsiaTheme="minorEastAsia" w:hAnsiTheme="minorHAnsi" w:cstheme="minorBidi"/>
        </w:rPr>
      </w:pPr>
      <w:bookmarkStart w:id="223" w:name="_Toc233112261"/>
      <w:r>
        <w:t xml:space="preserve">Table </w:t>
      </w:r>
      <w:r w:rsidR="00113348">
        <w:fldChar w:fldCharType="begin"/>
      </w:r>
      <w:r w:rsidR="00113348">
        <w:instrText xml:space="preserve"> SEQ Table \* ARABIC </w:instrText>
      </w:r>
      <w:r w:rsidR="00113348">
        <w:fldChar w:fldCharType="separate"/>
      </w:r>
      <w:r w:rsidR="00F8092D">
        <w:rPr>
          <w:noProof/>
        </w:rPr>
        <w:t>7</w:t>
      </w:r>
      <w:r w:rsidR="00113348">
        <w:rPr>
          <w:noProof/>
        </w:rPr>
        <w:fldChar w:fldCharType="end"/>
      </w:r>
      <w:r>
        <w:t xml:space="preserve">: </w:t>
      </w:r>
      <w:r w:rsidR="00F26860" w:rsidRPr="00AB36B3">
        <w:t>Critical Vulnerabilities in the EVSE Local Device Domain</w:t>
      </w:r>
      <w:bookmarkEnd w:id="223"/>
    </w:p>
    <w:tbl>
      <w:tblPr>
        <w:tblStyle w:val="TableCSIRO"/>
        <w:tblW w:w="0" w:type="auto"/>
        <w:tblLook w:val="04A0" w:firstRow="1" w:lastRow="0" w:firstColumn="1" w:lastColumn="0" w:noHBand="0" w:noVBand="1"/>
      </w:tblPr>
      <w:tblGrid>
        <w:gridCol w:w="738"/>
        <w:gridCol w:w="1148"/>
        <w:gridCol w:w="5501"/>
        <w:gridCol w:w="2138"/>
      </w:tblGrid>
      <w:tr w:rsidR="00F60754" w:rsidRPr="00B05B1B" w14:paraId="4DBB0EA1" w14:textId="77777777" w:rsidTr="00D75B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hideMark/>
          </w:tcPr>
          <w:p w14:paraId="1AAFFEC5" w14:textId="358535EF" w:rsidR="00B05B1B" w:rsidRPr="005713FD" w:rsidRDefault="00B05B1B" w:rsidP="728CA63C">
            <w:pPr>
              <w:pStyle w:val="BodyText"/>
              <w:spacing w:before="0" w:after="0" w:line="240" w:lineRule="auto"/>
              <w:rPr>
                <w:rFonts w:asciiTheme="minorHAnsi" w:hAnsiTheme="minorHAnsi" w:cstheme="minorBidi"/>
                <w:color w:val="FFFFFF" w:themeColor="background1"/>
                <w:sz w:val="18"/>
                <w:szCs w:val="18"/>
              </w:rPr>
            </w:pPr>
            <w:r w:rsidRPr="005713FD">
              <w:rPr>
                <w:rFonts w:asciiTheme="minorHAnsi" w:hAnsiTheme="minorHAnsi" w:cstheme="minorBidi"/>
                <w:color w:val="FFFFFF" w:themeColor="background1"/>
                <w:sz w:val="18"/>
                <w:szCs w:val="18"/>
              </w:rPr>
              <w:t>V-003</w:t>
            </w:r>
          </w:p>
        </w:tc>
        <w:tc>
          <w:tcPr>
            <w:tcW w:w="1148" w:type="dxa"/>
            <w:hideMark/>
          </w:tcPr>
          <w:p w14:paraId="6CCD96B8" w14:textId="06EE61A1" w:rsidR="00B05B1B" w:rsidRPr="005713FD" w:rsidRDefault="00B05B1B" w:rsidP="728CA63C">
            <w:pPr>
              <w:pStyle w:val="BodyText"/>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FFFFFF" w:themeColor="background1"/>
                <w:sz w:val="18"/>
                <w:szCs w:val="18"/>
              </w:rPr>
            </w:pPr>
            <w:r w:rsidRPr="005713FD">
              <w:rPr>
                <w:rFonts w:asciiTheme="minorHAnsi" w:hAnsiTheme="minorHAnsi" w:cstheme="minorBidi"/>
                <w:color w:val="FFFFFF" w:themeColor="background1"/>
                <w:sz w:val="18"/>
                <w:szCs w:val="18"/>
              </w:rPr>
              <w:t>CWE-494</w:t>
            </w:r>
          </w:p>
        </w:tc>
        <w:tc>
          <w:tcPr>
            <w:tcW w:w="0" w:type="auto"/>
            <w:hideMark/>
          </w:tcPr>
          <w:p w14:paraId="261BF1CE" w14:textId="18F9E915" w:rsidR="00B05B1B" w:rsidRPr="005713FD" w:rsidRDefault="00B05B1B" w:rsidP="728CA63C">
            <w:pPr>
              <w:pStyle w:val="BodyText"/>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FFFFFF" w:themeColor="background1"/>
                <w:sz w:val="18"/>
                <w:szCs w:val="18"/>
              </w:rPr>
            </w:pPr>
            <w:r w:rsidRPr="005713FD">
              <w:rPr>
                <w:rFonts w:asciiTheme="minorHAnsi" w:hAnsiTheme="minorHAnsi" w:cstheme="minorBidi"/>
                <w:color w:val="FFFFFF" w:themeColor="background1"/>
                <w:sz w:val="18"/>
                <w:szCs w:val="18"/>
              </w:rPr>
              <w:t>Unsigned firmware may allow persistent EVSE takeover.</w:t>
            </w:r>
          </w:p>
        </w:tc>
        <w:tc>
          <w:tcPr>
            <w:tcW w:w="0" w:type="auto"/>
            <w:hideMark/>
          </w:tcPr>
          <w:p w14:paraId="1918211D" w14:textId="6F2A146F" w:rsidR="00B05B1B" w:rsidRPr="005713FD" w:rsidRDefault="00B05B1B" w:rsidP="728CA63C">
            <w:pPr>
              <w:pStyle w:val="BodyText"/>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FFFFFF" w:themeColor="background1"/>
                <w:sz w:val="18"/>
                <w:szCs w:val="18"/>
              </w:rPr>
            </w:pPr>
            <w:r w:rsidRPr="005713FD">
              <w:rPr>
                <w:rFonts w:asciiTheme="minorHAnsi" w:hAnsiTheme="minorHAnsi" w:cstheme="minorBidi"/>
                <w:color w:val="FFFFFF" w:themeColor="background1"/>
                <w:sz w:val="18"/>
                <w:szCs w:val="18"/>
              </w:rPr>
              <w:t>RCE, Persistent Compromise</w:t>
            </w:r>
          </w:p>
        </w:tc>
      </w:tr>
      <w:tr w:rsidR="00B05B1B" w:rsidRPr="00B05B1B" w14:paraId="47211AC4" w14:textId="77777777" w:rsidTr="00D75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hideMark/>
          </w:tcPr>
          <w:p w14:paraId="1C2D2011" w14:textId="77777777" w:rsidR="00B05B1B" w:rsidRPr="00B05B1B" w:rsidRDefault="00B05B1B" w:rsidP="00197030">
            <w:pPr>
              <w:pStyle w:val="BodyText"/>
              <w:spacing w:before="0" w:after="0" w:line="240" w:lineRule="auto"/>
              <w:rPr>
                <w:rFonts w:asciiTheme="minorHAnsi" w:hAnsiTheme="minorHAnsi" w:cstheme="minorHAnsi"/>
                <w:sz w:val="18"/>
                <w:szCs w:val="18"/>
              </w:rPr>
            </w:pPr>
            <w:r w:rsidRPr="00B05B1B">
              <w:rPr>
                <w:rFonts w:asciiTheme="minorHAnsi" w:hAnsiTheme="minorHAnsi" w:cstheme="minorHAnsi"/>
                <w:sz w:val="18"/>
                <w:szCs w:val="18"/>
              </w:rPr>
              <w:t>V-005</w:t>
            </w:r>
          </w:p>
        </w:tc>
        <w:tc>
          <w:tcPr>
            <w:tcW w:w="1148" w:type="dxa"/>
            <w:hideMark/>
          </w:tcPr>
          <w:p w14:paraId="0A33DD08" w14:textId="77777777" w:rsidR="00B05B1B" w:rsidRPr="00B05B1B" w:rsidRDefault="00B05B1B" w:rsidP="00197030">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05B1B">
              <w:rPr>
                <w:rFonts w:asciiTheme="minorHAnsi" w:hAnsiTheme="minorHAnsi" w:cstheme="minorHAnsi"/>
                <w:sz w:val="18"/>
                <w:szCs w:val="18"/>
              </w:rPr>
              <w:t>CWE-307</w:t>
            </w:r>
          </w:p>
        </w:tc>
        <w:tc>
          <w:tcPr>
            <w:tcW w:w="0" w:type="auto"/>
            <w:hideMark/>
          </w:tcPr>
          <w:p w14:paraId="02B33FDF" w14:textId="77777777" w:rsidR="00B05B1B" w:rsidRPr="00B05B1B" w:rsidRDefault="00B05B1B" w:rsidP="00197030">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05B1B">
              <w:rPr>
                <w:rFonts w:asciiTheme="minorHAnsi" w:hAnsiTheme="minorHAnsi" w:cstheme="minorHAnsi"/>
                <w:sz w:val="18"/>
                <w:szCs w:val="18"/>
              </w:rPr>
              <w:t>Denial-of-Service against local management API via repeated failed logins.</w:t>
            </w:r>
          </w:p>
        </w:tc>
        <w:tc>
          <w:tcPr>
            <w:tcW w:w="0" w:type="auto"/>
            <w:hideMark/>
          </w:tcPr>
          <w:p w14:paraId="31A5F7D3" w14:textId="77777777" w:rsidR="00B05B1B" w:rsidRPr="00B05B1B" w:rsidRDefault="00B05B1B" w:rsidP="00197030">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05B1B">
              <w:rPr>
                <w:rFonts w:asciiTheme="minorHAnsi" w:hAnsiTheme="minorHAnsi" w:cstheme="minorHAnsi"/>
                <w:sz w:val="18"/>
                <w:szCs w:val="18"/>
              </w:rPr>
              <w:t>Denial of Service</w:t>
            </w:r>
          </w:p>
        </w:tc>
      </w:tr>
      <w:tr w:rsidR="00F60754" w:rsidRPr="00B05B1B" w14:paraId="35A00FAF" w14:textId="77777777" w:rsidTr="728CA63C">
        <w:tc>
          <w:tcPr>
            <w:cnfStyle w:val="001000000000" w:firstRow="0" w:lastRow="0" w:firstColumn="1" w:lastColumn="0" w:oddVBand="0" w:evenVBand="0" w:oddHBand="0" w:evenHBand="0" w:firstRowFirstColumn="0" w:firstRowLastColumn="0" w:lastRowFirstColumn="0" w:lastRowLastColumn="0"/>
            <w:tcW w:w="738" w:type="dxa"/>
            <w:hideMark/>
          </w:tcPr>
          <w:p w14:paraId="5C0CBC20" w14:textId="77777777" w:rsidR="00B05B1B" w:rsidRPr="00B05B1B" w:rsidRDefault="00B05B1B" w:rsidP="00197030">
            <w:pPr>
              <w:pStyle w:val="BodyText"/>
              <w:spacing w:before="0" w:after="0" w:line="240" w:lineRule="auto"/>
              <w:rPr>
                <w:rFonts w:asciiTheme="minorHAnsi" w:hAnsiTheme="minorHAnsi" w:cstheme="minorHAnsi"/>
                <w:sz w:val="18"/>
                <w:szCs w:val="18"/>
              </w:rPr>
            </w:pPr>
            <w:r w:rsidRPr="00B05B1B">
              <w:rPr>
                <w:rFonts w:asciiTheme="minorHAnsi" w:hAnsiTheme="minorHAnsi" w:cstheme="minorHAnsi"/>
                <w:sz w:val="18"/>
                <w:szCs w:val="18"/>
              </w:rPr>
              <w:t>V-011</w:t>
            </w:r>
          </w:p>
        </w:tc>
        <w:tc>
          <w:tcPr>
            <w:tcW w:w="1148" w:type="dxa"/>
            <w:hideMark/>
          </w:tcPr>
          <w:p w14:paraId="6F99F92E" w14:textId="77777777" w:rsidR="00B05B1B" w:rsidRPr="00B05B1B" w:rsidRDefault="00B05B1B" w:rsidP="00197030">
            <w:pPr>
              <w:pStyle w:val="BodyText"/>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05B1B">
              <w:rPr>
                <w:rFonts w:asciiTheme="minorHAnsi" w:hAnsiTheme="minorHAnsi" w:cstheme="minorHAnsi"/>
                <w:sz w:val="18"/>
                <w:szCs w:val="18"/>
              </w:rPr>
              <w:t>CWE-284</w:t>
            </w:r>
          </w:p>
        </w:tc>
        <w:tc>
          <w:tcPr>
            <w:tcW w:w="0" w:type="auto"/>
            <w:hideMark/>
          </w:tcPr>
          <w:p w14:paraId="00F94696" w14:textId="77777777" w:rsidR="00B05B1B" w:rsidRPr="00B05B1B" w:rsidRDefault="00B05B1B" w:rsidP="00197030">
            <w:pPr>
              <w:pStyle w:val="BodyText"/>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05B1B">
              <w:rPr>
                <w:rFonts w:asciiTheme="minorHAnsi" w:hAnsiTheme="minorHAnsi" w:cstheme="minorHAnsi"/>
                <w:sz w:val="18"/>
                <w:szCs w:val="18"/>
              </w:rPr>
              <w:t>No authentication on RS-232 commissioning port enabling direct shell access.</w:t>
            </w:r>
          </w:p>
        </w:tc>
        <w:tc>
          <w:tcPr>
            <w:tcW w:w="0" w:type="auto"/>
            <w:hideMark/>
          </w:tcPr>
          <w:p w14:paraId="7615991E" w14:textId="77777777" w:rsidR="00B05B1B" w:rsidRPr="00B05B1B" w:rsidRDefault="00B05B1B" w:rsidP="00197030">
            <w:pPr>
              <w:pStyle w:val="BodyText"/>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05B1B">
              <w:rPr>
                <w:rFonts w:asciiTheme="minorHAnsi" w:hAnsiTheme="minorHAnsi" w:cstheme="minorHAnsi"/>
                <w:sz w:val="18"/>
                <w:szCs w:val="18"/>
              </w:rPr>
              <w:t>Full Device Takeover</w:t>
            </w:r>
          </w:p>
        </w:tc>
      </w:tr>
      <w:tr w:rsidR="00B05B1B" w:rsidRPr="00B05B1B" w14:paraId="222DCC6C" w14:textId="77777777" w:rsidTr="00D75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hideMark/>
          </w:tcPr>
          <w:p w14:paraId="58866E49" w14:textId="77777777" w:rsidR="00B05B1B" w:rsidRPr="00B05B1B" w:rsidRDefault="00B05B1B" w:rsidP="00197030">
            <w:pPr>
              <w:pStyle w:val="BodyText"/>
              <w:spacing w:before="0" w:after="0" w:line="240" w:lineRule="auto"/>
              <w:rPr>
                <w:rFonts w:asciiTheme="minorHAnsi" w:hAnsiTheme="minorHAnsi" w:cstheme="minorHAnsi"/>
                <w:sz w:val="18"/>
                <w:szCs w:val="18"/>
              </w:rPr>
            </w:pPr>
            <w:r w:rsidRPr="00B05B1B">
              <w:rPr>
                <w:rFonts w:asciiTheme="minorHAnsi" w:hAnsiTheme="minorHAnsi" w:cstheme="minorHAnsi"/>
                <w:sz w:val="18"/>
                <w:szCs w:val="18"/>
              </w:rPr>
              <w:t>V-027</w:t>
            </w:r>
          </w:p>
        </w:tc>
        <w:tc>
          <w:tcPr>
            <w:tcW w:w="1148" w:type="dxa"/>
            <w:hideMark/>
          </w:tcPr>
          <w:p w14:paraId="3841CBD3" w14:textId="77777777" w:rsidR="00B05B1B" w:rsidRPr="00B05B1B" w:rsidRDefault="00B05B1B" w:rsidP="00197030">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05B1B">
              <w:rPr>
                <w:rFonts w:asciiTheme="minorHAnsi" w:hAnsiTheme="minorHAnsi" w:cstheme="minorHAnsi"/>
                <w:sz w:val="18"/>
                <w:szCs w:val="18"/>
              </w:rPr>
              <w:t>CVE-2021-22729</w:t>
            </w:r>
          </w:p>
        </w:tc>
        <w:tc>
          <w:tcPr>
            <w:tcW w:w="0" w:type="auto"/>
            <w:hideMark/>
          </w:tcPr>
          <w:p w14:paraId="4F35274E" w14:textId="77777777" w:rsidR="00B05B1B" w:rsidRPr="00B05B1B" w:rsidRDefault="00B05B1B" w:rsidP="00197030">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05B1B">
              <w:rPr>
                <w:rFonts w:asciiTheme="minorHAnsi" w:hAnsiTheme="minorHAnsi" w:cstheme="minorHAnsi"/>
                <w:sz w:val="18"/>
                <w:szCs w:val="18"/>
              </w:rPr>
              <w:t>Hard-coded admin password in Schneider EVlink products.</w:t>
            </w:r>
          </w:p>
        </w:tc>
        <w:tc>
          <w:tcPr>
            <w:tcW w:w="0" w:type="auto"/>
            <w:hideMark/>
          </w:tcPr>
          <w:p w14:paraId="4531CA61" w14:textId="77777777" w:rsidR="00B05B1B" w:rsidRPr="00B05B1B" w:rsidRDefault="00B05B1B" w:rsidP="00197030">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05B1B">
              <w:rPr>
                <w:rFonts w:asciiTheme="minorHAnsi" w:hAnsiTheme="minorHAnsi" w:cstheme="minorHAnsi"/>
                <w:sz w:val="18"/>
                <w:szCs w:val="18"/>
              </w:rPr>
              <w:t>Full Device Takeover</w:t>
            </w:r>
          </w:p>
        </w:tc>
      </w:tr>
      <w:tr w:rsidR="00F60754" w:rsidRPr="00B05B1B" w14:paraId="5D33B55A" w14:textId="77777777" w:rsidTr="728CA63C">
        <w:tc>
          <w:tcPr>
            <w:cnfStyle w:val="001000000000" w:firstRow="0" w:lastRow="0" w:firstColumn="1" w:lastColumn="0" w:oddVBand="0" w:evenVBand="0" w:oddHBand="0" w:evenHBand="0" w:firstRowFirstColumn="0" w:firstRowLastColumn="0" w:lastRowFirstColumn="0" w:lastRowLastColumn="0"/>
            <w:tcW w:w="738" w:type="dxa"/>
            <w:hideMark/>
          </w:tcPr>
          <w:p w14:paraId="52081543" w14:textId="77777777" w:rsidR="00B05B1B" w:rsidRPr="00B05B1B" w:rsidRDefault="00B05B1B" w:rsidP="00197030">
            <w:pPr>
              <w:pStyle w:val="BodyText"/>
              <w:spacing w:before="0" w:after="0" w:line="240" w:lineRule="auto"/>
              <w:rPr>
                <w:rFonts w:asciiTheme="minorHAnsi" w:hAnsiTheme="minorHAnsi" w:cstheme="minorHAnsi"/>
                <w:sz w:val="18"/>
                <w:szCs w:val="18"/>
              </w:rPr>
            </w:pPr>
            <w:r w:rsidRPr="00B05B1B">
              <w:rPr>
                <w:rFonts w:asciiTheme="minorHAnsi" w:hAnsiTheme="minorHAnsi" w:cstheme="minorHAnsi"/>
                <w:sz w:val="18"/>
                <w:szCs w:val="18"/>
              </w:rPr>
              <w:t>V-033</w:t>
            </w:r>
          </w:p>
        </w:tc>
        <w:tc>
          <w:tcPr>
            <w:tcW w:w="1148" w:type="dxa"/>
            <w:hideMark/>
          </w:tcPr>
          <w:p w14:paraId="1B2496DD" w14:textId="77777777" w:rsidR="00B05B1B" w:rsidRPr="00B05B1B" w:rsidRDefault="00B05B1B" w:rsidP="00197030">
            <w:pPr>
              <w:pStyle w:val="BodyText"/>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05B1B">
              <w:rPr>
                <w:rFonts w:asciiTheme="minorHAnsi" w:hAnsiTheme="minorHAnsi" w:cstheme="minorHAnsi"/>
                <w:sz w:val="18"/>
                <w:szCs w:val="18"/>
              </w:rPr>
              <w:t>CVE-2025-5828</w:t>
            </w:r>
          </w:p>
        </w:tc>
        <w:tc>
          <w:tcPr>
            <w:tcW w:w="0" w:type="auto"/>
            <w:hideMark/>
          </w:tcPr>
          <w:p w14:paraId="65BC68DC" w14:textId="77777777" w:rsidR="00B05B1B" w:rsidRPr="00B05B1B" w:rsidRDefault="00B05B1B" w:rsidP="00197030">
            <w:pPr>
              <w:pStyle w:val="BodyText"/>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05B1B">
              <w:rPr>
                <w:rFonts w:asciiTheme="minorHAnsi" w:hAnsiTheme="minorHAnsi" w:cstheme="minorHAnsi"/>
                <w:sz w:val="18"/>
                <w:szCs w:val="18"/>
              </w:rPr>
              <w:t>Stack overflow via USB/BLE paths in Autel MaxiCharger wallboxes leading to RCE.</w:t>
            </w:r>
          </w:p>
        </w:tc>
        <w:tc>
          <w:tcPr>
            <w:tcW w:w="0" w:type="auto"/>
            <w:hideMark/>
          </w:tcPr>
          <w:p w14:paraId="080FB231" w14:textId="77777777" w:rsidR="00B05B1B" w:rsidRPr="00B05B1B" w:rsidRDefault="00B05B1B" w:rsidP="00197030">
            <w:pPr>
              <w:pStyle w:val="BodyText"/>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05B1B">
              <w:rPr>
                <w:rFonts w:asciiTheme="minorHAnsi" w:hAnsiTheme="minorHAnsi" w:cstheme="minorHAnsi"/>
                <w:sz w:val="18"/>
                <w:szCs w:val="18"/>
              </w:rPr>
              <w:t>Full Device Takeover</w:t>
            </w:r>
          </w:p>
        </w:tc>
      </w:tr>
    </w:tbl>
    <w:p w14:paraId="56D1EDE5" w14:textId="260FCB86" w:rsidR="00F52F9F" w:rsidRPr="00AD290A" w:rsidRDefault="00F52F9F" w:rsidP="728CA63C">
      <w:pPr>
        <w:pStyle w:val="NoSpacing"/>
        <w:rPr>
          <w:rFonts w:asciiTheme="minorHAnsi" w:hAnsiTheme="minorHAnsi" w:cstheme="minorBidi"/>
          <w:sz w:val="24"/>
          <w:szCs w:val="24"/>
        </w:rPr>
      </w:pPr>
      <w:r w:rsidRPr="728CA63C">
        <w:rPr>
          <w:rFonts w:asciiTheme="minorHAnsi" w:hAnsiTheme="minorHAnsi" w:cstheme="minorBidi"/>
          <w:sz w:val="24"/>
          <w:szCs w:val="24"/>
          <w:lang w:val="en-US"/>
        </w:rPr>
        <w:t xml:space="preserve">Table </w:t>
      </w:r>
      <w:r w:rsidR="00AD290A" w:rsidRPr="728CA63C">
        <w:rPr>
          <w:rFonts w:asciiTheme="minorHAnsi" w:hAnsiTheme="minorHAnsi" w:cstheme="minorBidi"/>
          <w:sz w:val="24"/>
          <w:szCs w:val="24"/>
          <w:lang w:val="en-US"/>
        </w:rPr>
        <w:t xml:space="preserve">8 </w:t>
      </w:r>
      <w:r w:rsidRPr="728CA63C">
        <w:rPr>
          <w:rFonts w:asciiTheme="minorHAnsi" w:hAnsiTheme="minorHAnsi" w:cstheme="minorBidi"/>
          <w:sz w:val="24"/>
          <w:szCs w:val="24"/>
          <w:lang w:val="en-US"/>
        </w:rPr>
        <w:t>addresses vulnerabilities that can be introduced before the EVSE is even deployed, focusing on risks from the hardware and software supply chain.</w:t>
      </w:r>
    </w:p>
    <w:p w14:paraId="2F54F7FF" w14:textId="38B53D83" w:rsidR="09526E5B" w:rsidRDefault="09526E5B" w:rsidP="728CA63C">
      <w:pPr>
        <w:pStyle w:val="NoSpacing"/>
        <w:rPr>
          <w:rFonts w:asciiTheme="minorHAnsi" w:hAnsiTheme="minorHAnsi" w:cstheme="minorBidi"/>
          <w:sz w:val="20"/>
          <w:szCs w:val="20"/>
          <w:lang w:val="en-US"/>
        </w:rPr>
      </w:pPr>
    </w:p>
    <w:p w14:paraId="7EA76583" w14:textId="1CE7BD28" w:rsidR="33F8F7A8" w:rsidRDefault="00946632" w:rsidP="00946632">
      <w:pPr>
        <w:pStyle w:val="Caption"/>
        <w:rPr>
          <w:rFonts w:asciiTheme="minorHAnsi" w:eastAsiaTheme="minorEastAsia" w:hAnsiTheme="minorHAnsi" w:cstheme="minorBidi"/>
          <w:i/>
          <w:color w:val="0E2841"/>
          <w:szCs w:val="20"/>
          <w:lang w:val="en-GB"/>
        </w:rPr>
      </w:pPr>
      <w:bookmarkStart w:id="224" w:name="_Toc233112262"/>
      <w:r>
        <w:t xml:space="preserve">Table </w:t>
      </w:r>
      <w:r w:rsidR="00113348">
        <w:fldChar w:fldCharType="begin"/>
      </w:r>
      <w:r w:rsidR="00113348">
        <w:instrText xml:space="preserve"> SEQ Table \* ARABIC </w:instrText>
      </w:r>
      <w:r w:rsidR="00113348">
        <w:fldChar w:fldCharType="separate"/>
      </w:r>
      <w:r w:rsidR="00F8092D">
        <w:rPr>
          <w:noProof/>
        </w:rPr>
        <w:t>8</w:t>
      </w:r>
      <w:r w:rsidR="00113348">
        <w:rPr>
          <w:noProof/>
        </w:rPr>
        <w:fldChar w:fldCharType="end"/>
      </w:r>
      <w:r w:rsidR="0F1DB61A" w:rsidRPr="728CA63C">
        <w:rPr>
          <w:rFonts w:ascii="Aptos" w:eastAsia="Aptos" w:hAnsi="Aptos" w:cs="Aptos"/>
          <w:i/>
          <w:iCs/>
          <w:color w:val="0E2841"/>
          <w:szCs w:val="20"/>
          <w:lang w:val="en-GB"/>
        </w:rPr>
        <w:t>: Critical Vulnerabilities in the EVSE to Grid / DERMS Domain</w:t>
      </w:r>
      <w:bookmarkEnd w:id="224"/>
    </w:p>
    <w:sdt>
      <w:sdtPr>
        <w:rPr>
          <w:rFonts w:asciiTheme="minorHAnsi" w:hAnsiTheme="minorHAnsi" w:cstheme="minorBidi"/>
          <w:b w:val="0"/>
          <w:bCs w:val="0"/>
        </w:rPr>
        <w:tag w:val="goog_rdk_29"/>
        <w:id w:val="1968791029"/>
      </w:sdtPr>
      <w:sdtContent>
        <w:tbl>
          <w:tblPr>
            <w:tblStyle w:val="TableCSIRO"/>
            <w:tblW w:w="9322" w:type="dxa"/>
            <w:tblLook w:val="04A0" w:firstRow="1" w:lastRow="0" w:firstColumn="1" w:lastColumn="0" w:noHBand="0" w:noVBand="1"/>
          </w:tblPr>
          <w:tblGrid>
            <w:gridCol w:w="609"/>
            <w:gridCol w:w="847"/>
            <w:gridCol w:w="4808"/>
            <w:gridCol w:w="3058"/>
          </w:tblGrid>
          <w:tr w:rsidR="00AB36B3" w:rsidRPr="00AB36B3" w14:paraId="782B0912" w14:textId="77777777" w:rsidTr="005713FD">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5DEF3171" w14:textId="77777777" w:rsidR="00AB36B3" w:rsidRPr="00AB36B3" w:rsidRDefault="00AB36B3" w:rsidP="728CA63C">
                <w:pPr>
                  <w:pStyle w:val="NoSpacing"/>
                  <w:rPr>
                    <w:rFonts w:asciiTheme="minorHAnsi" w:hAnsiTheme="minorHAnsi" w:cstheme="minorBidi"/>
                    <w:color w:val="FFFFFF" w:themeColor="background1"/>
                    <w:sz w:val="20"/>
                    <w:szCs w:val="20"/>
                    <w:lang w:val="en-AU"/>
                  </w:rPr>
                </w:pPr>
                <w:r w:rsidRPr="728CA63C">
                  <w:rPr>
                    <w:rFonts w:asciiTheme="minorHAnsi" w:hAnsiTheme="minorHAnsi" w:cstheme="minorBidi"/>
                    <w:color w:val="FFFFFF" w:themeColor="background2"/>
                    <w:sz w:val="20"/>
                    <w:szCs w:val="20"/>
                    <w:lang w:val="en-AU"/>
                  </w:rPr>
                  <w:t>ID</w:t>
                </w:r>
              </w:p>
            </w:tc>
            <w:tc>
              <w:tcPr>
                <w:tcW w:w="0" w:type="auto"/>
                <w:hideMark/>
              </w:tcPr>
              <w:p w14:paraId="3C489BCF" w14:textId="588D2322" w:rsidR="00AB36B3" w:rsidRPr="00AB36B3" w:rsidRDefault="00AB36B3" w:rsidP="728CA63C">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FFFFFF" w:themeColor="background1"/>
                    <w:sz w:val="20"/>
                    <w:szCs w:val="20"/>
                    <w:lang w:val="en-AU"/>
                  </w:rPr>
                </w:pPr>
                <w:r w:rsidRPr="728CA63C">
                  <w:rPr>
                    <w:rFonts w:asciiTheme="minorHAnsi" w:hAnsiTheme="minorHAnsi" w:cstheme="minorBidi"/>
                    <w:color w:val="FFFFFF" w:themeColor="background2"/>
                    <w:sz w:val="20"/>
                    <w:szCs w:val="20"/>
                    <w:lang w:val="en-AU"/>
                  </w:rPr>
                  <w:t xml:space="preserve"> CWE</w:t>
                </w:r>
              </w:p>
            </w:tc>
            <w:tc>
              <w:tcPr>
                <w:tcW w:w="0" w:type="auto"/>
                <w:hideMark/>
              </w:tcPr>
              <w:p w14:paraId="488E3348" w14:textId="77777777" w:rsidR="00AB36B3" w:rsidRPr="00AB36B3" w:rsidRDefault="00AB36B3" w:rsidP="728CA63C">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FFFFFF" w:themeColor="background1"/>
                    <w:sz w:val="20"/>
                    <w:szCs w:val="20"/>
                    <w:lang w:val="en-AU"/>
                  </w:rPr>
                </w:pPr>
                <w:r w:rsidRPr="728CA63C">
                  <w:rPr>
                    <w:rFonts w:asciiTheme="minorHAnsi" w:hAnsiTheme="minorHAnsi" w:cstheme="minorBidi"/>
                    <w:color w:val="FFFFFF" w:themeColor="background2"/>
                    <w:sz w:val="20"/>
                    <w:szCs w:val="20"/>
                    <w:lang w:val="en-AU"/>
                  </w:rPr>
                  <w:t>Description</w:t>
                </w:r>
              </w:p>
            </w:tc>
            <w:tc>
              <w:tcPr>
                <w:tcW w:w="0" w:type="auto"/>
                <w:hideMark/>
              </w:tcPr>
              <w:p w14:paraId="12523E41" w14:textId="77777777" w:rsidR="00AB36B3" w:rsidRPr="00AB36B3" w:rsidRDefault="00AB36B3" w:rsidP="728CA63C">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FFFFFF" w:themeColor="background1"/>
                    <w:sz w:val="20"/>
                    <w:szCs w:val="20"/>
                    <w:lang w:val="en-AU"/>
                  </w:rPr>
                </w:pPr>
                <w:r w:rsidRPr="728CA63C">
                  <w:rPr>
                    <w:rFonts w:asciiTheme="minorHAnsi" w:hAnsiTheme="minorHAnsi" w:cstheme="minorBidi"/>
                    <w:color w:val="FFFFFF" w:themeColor="background2"/>
                    <w:sz w:val="20"/>
                    <w:szCs w:val="20"/>
                    <w:lang w:val="en-AU"/>
                  </w:rPr>
                  <w:t>Potential Impact</w:t>
                </w:r>
              </w:p>
            </w:tc>
          </w:tr>
          <w:tr w:rsidR="00AB36B3" w:rsidRPr="00AB36B3" w14:paraId="59B0F33F" w14:textId="77777777" w:rsidTr="005713FD">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0" w:type="auto"/>
                <w:hideMark/>
              </w:tcPr>
              <w:p w14:paraId="2607DFFE" w14:textId="77777777" w:rsidR="00AB36B3" w:rsidRPr="00AB36B3" w:rsidRDefault="00AB36B3" w:rsidP="00AB36B3">
                <w:pPr>
                  <w:pStyle w:val="NoSpacing"/>
                  <w:rPr>
                    <w:rFonts w:asciiTheme="minorHAnsi" w:hAnsiTheme="minorHAnsi" w:cstheme="minorHAnsi"/>
                    <w:sz w:val="18"/>
                    <w:szCs w:val="18"/>
                    <w:lang w:val="en-AU"/>
                  </w:rPr>
                </w:pPr>
                <w:r w:rsidRPr="00AB36B3">
                  <w:rPr>
                    <w:rFonts w:asciiTheme="minorHAnsi" w:hAnsiTheme="minorHAnsi" w:cstheme="minorHAnsi"/>
                    <w:sz w:val="18"/>
                    <w:szCs w:val="18"/>
                    <w:lang w:val="en-AU"/>
                  </w:rPr>
                  <w:t>V-009</w:t>
                </w:r>
              </w:p>
            </w:tc>
            <w:tc>
              <w:tcPr>
                <w:tcW w:w="0" w:type="auto"/>
                <w:hideMark/>
              </w:tcPr>
              <w:p w14:paraId="1728CED8" w14:textId="77777777" w:rsidR="00AB36B3" w:rsidRPr="00AB36B3" w:rsidRDefault="00AB36B3" w:rsidP="00AB36B3">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AU"/>
                  </w:rPr>
                </w:pPr>
                <w:r w:rsidRPr="00AB36B3">
                  <w:rPr>
                    <w:rFonts w:asciiTheme="minorHAnsi" w:hAnsiTheme="minorHAnsi" w:cstheme="minorHAnsi"/>
                    <w:sz w:val="18"/>
                    <w:szCs w:val="18"/>
                    <w:lang w:val="en-AU"/>
                  </w:rPr>
                  <w:t>CWE-295</w:t>
                </w:r>
              </w:p>
            </w:tc>
            <w:tc>
              <w:tcPr>
                <w:tcW w:w="0" w:type="auto"/>
                <w:hideMark/>
              </w:tcPr>
              <w:p w14:paraId="1393F775" w14:textId="77777777" w:rsidR="00AB36B3" w:rsidRPr="00AB36B3" w:rsidRDefault="00AB36B3" w:rsidP="00AB36B3">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AU"/>
                  </w:rPr>
                </w:pPr>
                <w:r w:rsidRPr="00AB36B3">
                  <w:rPr>
                    <w:rFonts w:asciiTheme="minorHAnsi" w:hAnsiTheme="minorHAnsi" w:cstheme="minorHAnsi"/>
                    <w:sz w:val="18"/>
                    <w:szCs w:val="18"/>
                    <w:lang w:val="en-AU"/>
                  </w:rPr>
                  <w:t>Improper certificate validation allowing DERMS impersonation.</w:t>
                </w:r>
              </w:p>
            </w:tc>
            <w:tc>
              <w:tcPr>
                <w:tcW w:w="0" w:type="auto"/>
                <w:hideMark/>
              </w:tcPr>
              <w:p w14:paraId="2E8905D1" w14:textId="77777777" w:rsidR="00AB36B3" w:rsidRPr="00AB36B3" w:rsidRDefault="00AB36B3" w:rsidP="00AB36B3">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AU"/>
                  </w:rPr>
                </w:pPr>
                <w:r w:rsidRPr="00AB36B3">
                  <w:rPr>
                    <w:rFonts w:asciiTheme="minorHAnsi" w:hAnsiTheme="minorHAnsi" w:cstheme="minorHAnsi"/>
                    <w:sz w:val="18"/>
                    <w:szCs w:val="18"/>
                    <w:lang w:val="en-AU"/>
                  </w:rPr>
                  <w:t>Grid Instability, Coordinated Disruption</w:t>
                </w:r>
              </w:p>
            </w:tc>
          </w:tr>
          <w:tr w:rsidR="00AB36B3" w:rsidRPr="00AB36B3" w14:paraId="62DF891F" w14:textId="77777777" w:rsidTr="005713FD">
            <w:trPr>
              <w:trHeight w:val="224"/>
            </w:trPr>
            <w:tc>
              <w:tcPr>
                <w:cnfStyle w:val="001000000000" w:firstRow="0" w:lastRow="0" w:firstColumn="1" w:lastColumn="0" w:oddVBand="0" w:evenVBand="0" w:oddHBand="0" w:evenHBand="0" w:firstRowFirstColumn="0" w:firstRowLastColumn="0" w:lastRowFirstColumn="0" w:lastRowLastColumn="0"/>
                <w:tcW w:w="0" w:type="auto"/>
                <w:hideMark/>
              </w:tcPr>
              <w:p w14:paraId="7470AD4C" w14:textId="77777777" w:rsidR="00AB36B3" w:rsidRPr="00AB36B3" w:rsidRDefault="00AB36B3" w:rsidP="00AB36B3">
                <w:pPr>
                  <w:pStyle w:val="NoSpacing"/>
                  <w:rPr>
                    <w:rFonts w:asciiTheme="minorHAnsi" w:hAnsiTheme="minorHAnsi" w:cstheme="minorHAnsi"/>
                    <w:sz w:val="18"/>
                    <w:szCs w:val="18"/>
                    <w:lang w:val="en-AU"/>
                  </w:rPr>
                </w:pPr>
                <w:r w:rsidRPr="00AB36B3">
                  <w:rPr>
                    <w:rFonts w:asciiTheme="minorHAnsi" w:hAnsiTheme="minorHAnsi" w:cstheme="minorHAnsi"/>
                    <w:sz w:val="18"/>
                    <w:szCs w:val="18"/>
                    <w:lang w:val="en-AU"/>
                  </w:rPr>
                  <w:t>V-019</w:t>
                </w:r>
              </w:p>
            </w:tc>
            <w:tc>
              <w:tcPr>
                <w:tcW w:w="0" w:type="auto"/>
                <w:hideMark/>
              </w:tcPr>
              <w:p w14:paraId="21B52EA7" w14:textId="77777777" w:rsidR="00AB36B3" w:rsidRPr="00AB36B3" w:rsidRDefault="00AB36B3" w:rsidP="00AB36B3">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AU"/>
                  </w:rPr>
                </w:pPr>
                <w:r w:rsidRPr="00AB36B3">
                  <w:rPr>
                    <w:rFonts w:asciiTheme="minorHAnsi" w:hAnsiTheme="minorHAnsi" w:cstheme="minorHAnsi"/>
                    <w:sz w:val="18"/>
                    <w:szCs w:val="18"/>
                    <w:lang w:val="en-AU"/>
                  </w:rPr>
                  <w:t>CWE-290</w:t>
                </w:r>
              </w:p>
            </w:tc>
            <w:tc>
              <w:tcPr>
                <w:tcW w:w="0" w:type="auto"/>
                <w:hideMark/>
              </w:tcPr>
              <w:p w14:paraId="3ECB81D4" w14:textId="77777777" w:rsidR="00AB36B3" w:rsidRPr="00AB36B3" w:rsidRDefault="00AB36B3" w:rsidP="00AB36B3">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AU"/>
                  </w:rPr>
                </w:pPr>
                <w:r w:rsidRPr="00AB36B3">
                  <w:rPr>
                    <w:rFonts w:asciiTheme="minorHAnsi" w:hAnsiTheme="minorHAnsi" w:cstheme="minorHAnsi"/>
                    <w:sz w:val="18"/>
                    <w:szCs w:val="18"/>
                    <w:lang w:val="en-AU"/>
                  </w:rPr>
                  <w:t>Authentication bypass on grid control endpoints.</w:t>
                </w:r>
              </w:p>
            </w:tc>
            <w:tc>
              <w:tcPr>
                <w:tcW w:w="0" w:type="auto"/>
                <w:hideMark/>
              </w:tcPr>
              <w:p w14:paraId="20406E98" w14:textId="77777777" w:rsidR="00AB36B3" w:rsidRPr="00AB36B3" w:rsidRDefault="00AB36B3" w:rsidP="00AB36B3">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AU"/>
                  </w:rPr>
                </w:pPr>
                <w:r w:rsidRPr="00AB36B3">
                  <w:rPr>
                    <w:rFonts w:asciiTheme="minorHAnsi" w:hAnsiTheme="minorHAnsi" w:cstheme="minorHAnsi"/>
                    <w:sz w:val="18"/>
                    <w:szCs w:val="18"/>
                    <w:lang w:val="en-AU"/>
                  </w:rPr>
                  <w:t>Manipulation of Grid Services</w:t>
                </w:r>
              </w:p>
            </w:tc>
          </w:tr>
          <w:tr w:rsidR="00AB36B3" w:rsidRPr="00AB36B3" w14:paraId="7A2F354A" w14:textId="77777777" w:rsidTr="005713FD">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0" w:type="auto"/>
                <w:hideMark/>
              </w:tcPr>
              <w:p w14:paraId="349C442D" w14:textId="35117D5D" w:rsidR="00AB36B3" w:rsidRPr="00AB36B3" w:rsidRDefault="001C02C4" w:rsidP="00AB36B3">
                <w:pPr>
                  <w:pStyle w:val="NoSpacing"/>
                  <w:rPr>
                    <w:rFonts w:asciiTheme="minorHAnsi" w:hAnsiTheme="minorHAnsi" w:cstheme="minorHAnsi"/>
                    <w:sz w:val="18"/>
                    <w:szCs w:val="18"/>
                    <w:lang w:val="en-AU"/>
                  </w:rPr>
                </w:pPr>
                <w:r>
                  <w:rPr>
                    <w:rFonts w:asciiTheme="minorHAnsi" w:hAnsiTheme="minorHAnsi" w:cstheme="minorHAnsi"/>
                    <w:sz w:val="18"/>
                    <w:szCs w:val="18"/>
                    <w:lang w:val="en-AU"/>
                  </w:rPr>
                  <w:t>V</w:t>
                </w:r>
                <w:r w:rsidR="00AB36B3" w:rsidRPr="00AB36B3">
                  <w:rPr>
                    <w:rFonts w:asciiTheme="minorHAnsi" w:hAnsiTheme="minorHAnsi" w:cstheme="minorHAnsi"/>
                    <w:sz w:val="18"/>
                    <w:szCs w:val="18"/>
                    <w:lang w:val="en-AU"/>
                  </w:rPr>
                  <w:t>-020</w:t>
                </w:r>
              </w:p>
            </w:tc>
            <w:tc>
              <w:tcPr>
                <w:tcW w:w="0" w:type="auto"/>
                <w:hideMark/>
              </w:tcPr>
              <w:p w14:paraId="69F04AFC" w14:textId="77777777" w:rsidR="00AB36B3" w:rsidRPr="00AB36B3" w:rsidRDefault="00AB36B3" w:rsidP="00AB36B3">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AU"/>
                  </w:rPr>
                </w:pPr>
                <w:r w:rsidRPr="00AB36B3">
                  <w:rPr>
                    <w:rFonts w:asciiTheme="minorHAnsi" w:hAnsiTheme="minorHAnsi" w:cstheme="minorHAnsi"/>
                    <w:sz w:val="18"/>
                    <w:szCs w:val="18"/>
                    <w:lang w:val="en-AU"/>
                  </w:rPr>
                  <w:t>CWE-345</w:t>
                </w:r>
              </w:p>
            </w:tc>
            <w:tc>
              <w:tcPr>
                <w:tcW w:w="0" w:type="auto"/>
                <w:hideMark/>
              </w:tcPr>
              <w:p w14:paraId="4279A12E" w14:textId="77777777" w:rsidR="00AB36B3" w:rsidRPr="00AB36B3" w:rsidRDefault="00AB36B3" w:rsidP="00AB36B3">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AU"/>
                  </w:rPr>
                </w:pPr>
                <w:r w:rsidRPr="00AB36B3">
                  <w:rPr>
                    <w:rFonts w:asciiTheme="minorHAnsi" w:hAnsiTheme="minorHAnsi" w:cstheme="minorHAnsi"/>
                    <w:sz w:val="18"/>
                    <w:szCs w:val="18"/>
                    <w:lang w:val="en-AU"/>
                  </w:rPr>
                  <w:t>Insufficient validation of grid dispatch commands.</w:t>
                </w:r>
              </w:p>
            </w:tc>
            <w:tc>
              <w:tcPr>
                <w:tcW w:w="0" w:type="auto"/>
                <w:hideMark/>
              </w:tcPr>
              <w:p w14:paraId="4F29304F" w14:textId="77777777" w:rsidR="00AB36B3" w:rsidRPr="00AB36B3" w:rsidRDefault="00AB36B3" w:rsidP="00AB36B3">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AU"/>
                  </w:rPr>
                </w:pPr>
                <w:r w:rsidRPr="00AB36B3">
                  <w:rPr>
                    <w:rFonts w:asciiTheme="minorHAnsi" w:hAnsiTheme="minorHAnsi" w:cstheme="minorHAnsi"/>
                    <w:sz w:val="18"/>
                    <w:szCs w:val="18"/>
                    <w:lang w:val="en-AU"/>
                  </w:rPr>
                  <w:t>Load Oscillation, Feeder Perturbations</w:t>
                </w:r>
              </w:p>
            </w:tc>
          </w:tr>
        </w:tbl>
        <w:p w14:paraId="4EA05BC8" w14:textId="3A34AA56" w:rsidR="00F52F9F" w:rsidRPr="00AD32F0" w:rsidRDefault="00000000" w:rsidP="00F52F9F">
          <w:pPr>
            <w:pStyle w:val="NoSpacing"/>
            <w:rPr>
              <w:rFonts w:asciiTheme="minorHAnsi" w:eastAsiaTheme="minorEastAsia" w:hAnsiTheme="minorHAnsi" w:cstheme="minorBidi"/>
            </w:rPr>
          </w:pPr>
        </w:p>
      </w:sdtContent>
    </w:sdt>
    <w:p w14:paraId="3F038B3E" w14:textId="5AA1316A" w:rsidR="00601A46" w:rsidRPr="0031387D" w:rsidRDefault="00601A46" w:rsidP="0031387D">
      <w:pPr>
        <w:pStyle w:val="Heading2"/>
        <w:ind w:left="567"/>
        <w:rPr>
          <w:rFonts w:asciiTheme="minorHAnsi" w:eastAsiaTheme="minorEastAsia" w:hAnsiTheme="minorHAnsi" w:cstheme="minorBidi"/>
          <w:b/>
        </w:rPr>
      </w:pPr>
      <w:bookmarkStart w:id="225" w:name="_Toc223022376"/>
      <w:bookmarkStart w:id="226" w:name="_Toc234310800"/>
      <w:r w:rsidRPr="0031387D">
        <w:rPr>
          <w:b/>
          <w:bCs w:val="0"/>
        </w:rPr>
        <w:t>EVSE Attack Surface Analysis</w:t>
      </w:r>
      <w:bookmarkEnd w:id="225"/>
      <w:bookmarkEnd w:id="226"/>
    </w:p>
    <w:p w14:paraId="060194D5" w14:textId="33D6F2E7" w:rsidR="00601A46" w:rsidRDefault="00601A46" w:rsidP="556B684F">
      <w:pPr>
        <w:pStyle w:val="BodyText"/>
        <w:jc w:val="both"/>
        <w:rPr>
          <w:rFonts w:asciiTheme="minorHAnsi" w:eastAsiaTheme="minorEastAsia" w:hAnsiTheme="minorHAnsi" w:cstheme="minorBidi"/>
          <w:lang w:val="en-US" w:eastAsia="en-US"/>
        </w:rPr>
      </w:pPr>
      <w:r w:rsidRPr="556B684F">
        <w:rPr>
          <w:szCs w:val="24"/>
          <w:lang w:val="en-US" w:eastAsia="en-US"/>
        </w:rPr>
        <w:t xml:space="preserve">The EVSE attack surface represents the aggregate of all physical, logical, and human interaction points through which an adversary may inject, manipulate, or extract data, or otherwise influence system behavior. The vulnerability evidence summarized in Tables </w:t>
      </w:r>
      <w:r w:rsidR="002F6F02" w:rsidRPr="556B684F">
        <w:rPr>
          <w:szCs w:val="24"/>
          <w:lang w:val="en-US" w:eastAsia="en-US"/>
        </w:rPr>
        <w:t>(7-8)</w:t>
      </w:r>
      <w:r w:rsidRPr="556B684F">
        <w:rPr>
          <w:szCs w:val="24"/>
          <w:lang w:val="en-US" w:eastAsia="en-US"/>
        </w:rPr>
        <w:t xml:space="preserve"> demonstrates that this surface is neither isolated nor narrowly confined to a single interface; instead, it spans embedded hardware, EV–EVSE communication channels, backend/cloud management systems, and grid-facing control interfaces. The domain-based graphical analysis further illustrates the concentration of critical vulnerabilities across architectural layers, while the impact distribution visualizations in the graphs below</w:t>
      </w:r>
      <w:r w:rsidR="00052972" w:rsidRPr="556B684F">
        <w:rPr>
          <w:szCs w:val="24"/>
          <w:lang w:val="en-US" w:eastAsia="en-US"/>
        </w:rPr>
        <w:t xml:space="preserve"> (Figures 12, 13) </w:t>
      </w:r>
      <w:r w:rsidRPr="556B684F">
        <w:rPr>
          <w:szCs w:val="24"/>
          <w:lang w:val="en-US" w:eastAsia="en-US"/>
        </w:rPr>
        <w:t xml:space="preserve"> highlight the prevalence of high-severity outcomes such as remote code execution, device takeover, and grid instability. Together, the tables and graphs confirm that EVSE infrastructure exhibits multi-layered exposure with clear pathways for cross-domain escalation, reinforcing its systemic cyber-physical risk profile.</w:t>
      </w:r>
    </w:p>
    <w:p w14:paraId="05B7518D" w14:textId="77777777" w:rsidR="00601A46" w:rsidRPr="00FB1D32" w:rsidRDefault="00601A46" w:rsidP="556B684F">
      <w:pPr>
        <w:pStyle w:val="BodyText"/>
        <w:jc w:val="both"/>
        <w:rPr>
          <w:rFonts w:asciiTheme="minorHAnsi" w:eastAsiaTheme="minorEastAsia" w:hAnsiTheme="minorHAnsi" w:cstheme="minorBidi"/>
          <w:lang w:val="en-US" w:eastAsia="en-US"/>
        </w:rPr>
      </w:pPr>
      <w:r w:rsidRPr="556B684F">
        <w:rPr>
          <w:szCs w:val="24"/>
          <w:lang w:val="en-US" w:eastAsia="en-US"/>
        </w:rPr>
        <w:t>The EVSE attack surface can be categorised into four interconnected domains:</w:t>
      </w:r>
    </w:p>
    <w:p w14:paraId="64C03B1A" w14:textId="77777777" w:rsidR="00601A46" w:rsidRPr="00FB1D32" w:rsidRDefault="00601A46" w:rsidP="556B684F">
      <w:pPr>
        <w:pStyle w:val="BodyText"/>
        <w:numPr>
          <w:ilvl w:val="0"/>
          <w:numId w:val="55"/>
        </w:numPr>
        <w:jc w:val="both"/>
        <w:rPr>
          <w:rFonts w:asciiTheme="minorHAnsi" w:eastAsiaTheme="minorEastAsia" w:hAnsiTheme="minorHAnsi" w:cstheme="minorBidi"/>
          <w:lang w:val="en-US" w:eastAsia="en-US"/>
        </w:rPr>
      </w:pPr>
      <w:r w:rsidRPr="556B684F">
        <w:rPr>
          <w:szCs w:val="24"/>
          <w:lang w:val="en-US" w:eastAsia="en-US"/>
        </w:rPr>
        <w:t>Physical: Publicly accessible hardware enables direct tampering and firmware compromise.</w:t>
      </w:r>
    </w:p>
    <w:p w14:paraId="3DA84D15" w14:textId="77777777" w:rsidR="00601A46" w:rsidRPr="00FB1D32" w:rsidRDefault="00601A46" w:rsidP="556B684F">
      <w:pPr>
        <w:pStyle w:val="BodyText"/>
        <w:numPr>
          <w:ilvl w:val="0"/>
          <w:numId w:val="55"/>
        </w:numPr>
        <w:jc w:val="both"/>
        <w:rPr>
          <w:rFonts w:asciiTheme="minorHAnsi" w:eastAsiaTheme="minorEastAsia" w:hAnsiTheme="minorHAnsi" w:cstheme="minorBidi"/>
          <w:lang w:val="en-US" w:eastAsia="en-US"/>
        </w:rPr>
      </w:pPr>
      <w:r w:rsidRPr="556B684F">
        <w:rPr>
          <w:szCs w:val="24"/>
          <w:lang w:val="en-US" w:eastAsia="en-US"/>
        </w:rPr>
        <w:t>Network: Multi-zone communications expose command injection and fleet-scale manipulation risks.</w:t>
      </w:r>
    </w:p>
    <w:p w14:paraId="7CA1E309" w14:textId="77777777" w:rsidR="00601A46" w:rsidRPr="00FB1D32" w:rsidRDefault="00601A46" w:rsidP="556B684F">
      <w:pPr>
        <w:pStyle w:val="BodyText"/>
        <w:numPr>
          <w:ilvl w:val="0"/>
          <w:numId w:val="55"/>
        </w:numPr>
        <w:jc w:val="both"/>
        <w:rPr>
          <w:rFonts w:asciiTheme="minorHAnsi" w:eastAsiaTheme="minorEastAsia" w:hAnsiTheme="minorHAnsi" w:cstheme="minorBidi"/>
          <w:lang w:val="en-US" w:eastAsia="en-US"/>
        </w:rPr>
      </w:pPr>
      <w:r w:rsidRPr="556B684F">
        <w:rPr>
          <w:szCs w:val="24"/>
          <w:lang w:val="en-US" w:eastAsia="en-US"/>
        </w:rPr>
        <w:t>Software: Firmware and backend flaws enable remote code execution and persistent takeover.</w:t>
      </w:r>
    </w:p>
    <w:p w14:paraId="698FCA40" w14:textId="77777777" w:rsidR="00601A46" w:rsidRPr="00FB1D32" w:rsidRDefault="00601A46" w:rsidP="556B684F">
      <w:pPr>
        <w:pStyle w:val="BodyText"/>
        <w:numPr>
          <w:ilvl w:val="0"/>
          <w:numId w:val="55"/>
        </w:numPr>
        <w:jc w:val="both"/>
        <w:rPr>
          <w:rFonts w:asciiTheme="minorHAnsi" w:eastAsiaTheme="minorEastAsia" w:hAnsiTheme="minorHAnsi" w:cstheme="minorBidi"/>
          <w:lang w:val="en-US" w:eastAsia="en-US"/>
        </w:rPr>
      </w:pPr>
      <w:r w:rsidRPr="556B684F">
        <w:rPr>
          <w:szCs w:val="24"/>
          <w:lang w:val="en-US" w:eastAsia="en-US"/>
        </w:rPr>
        <w:t>Human: Operational workflows allow credential theft and privileged misuse.</w:t>
      </w:r>
    </w:p>
    <w:p w14:paraId="6E010C00" w14:textId="0B88DA58" w:rsidR="2C419666" w:rsidRDefault="2C419666" w:rsidP="55EC40E4">
      <w:pPr>
        <w:spacing w:after="160" w:line="257" w:lineRule="auto"/>
        <w:rPr>
          <w:rFonts w:asciiTheme="minorHAnsi" w:eastAsiaTheme="minorEastAsia" w:hAnsiTheme="minorHAnsi" w:cstheme="minorBidi"/>
        </w:rPr>
      </w:pPr>
      <w:r>
        <w:rPr>
          <w:noProof/>
        </w:rPr>
        <w:drawing>
          <wp:inline distT="0" distB="0" distL="0" distR="0" wp14:anchorId="2195EF37" wp14:editId="053B34CD">
            <wp:extent cx="4736443" cy="2819400"/>
            <wp:effectExtent l="0" t="0" r="7620" b="0"/>
            <wp:docPr id="954792750" name="drawing" title="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92750" name="Picture 954792750"/>
                    <pic:cNvPicPr/>
                  </pic:nvPicPr>
                  <pic:blipFill>
                    <a:blip r:embed="rId29">
                      <a:extLst>
                        <a:ext uri="{28A0092B-C50C-407E-A947-70E740481C1C}">
                          <a14:useLocalDpi xmlns:a14="http://schemas.microsoft.com/office/drawing/2010/main"/>
                        </a:ext>
                      </a:extLst>
                    </a:blip>
                    <a:stretch>
                      <a:fillRect/>
                    </a:stretch>
                  </pic:blipFill>
                  <pic:spPr>
                    <a:xfrm>
                      <a:off x="0" y="0"/>
                      <a:ext cx="4747096" cy="2825741"/>
                    </a:xfrm>
                    <a:prstGeom prst="rect">
                      <a:avLst/>
                    </a:prstGeom>
                  </pic:spPr>
                </pic:pic>
              </a:graphicData>
            </a:graphic>
          </wp:inline>
        </w:drawing>
      </w:r>
    </w:p>
    <w:p w14:paraId="71BF44EE" w14:textId="53920519" w:rsidR="2C419666" w:rsidRDefault="00CD2C25" w:rsidP="00CD2C25">
      <w:pPr>
        <w:pStyle w:val="Caption"/>
        <w:rPr>
          <w:rFonts w:asciiTheme="minorHAnsi" w:eastAsiaTheme="minorEastAsia" w:hAnsiTheme="minorHAnsi" w:cstheme="minorBidi"/>
          <w:i/>
          <w:color w:val="0E2841"/>
          <w:szCs w:val="20"/>
          <w:lang w:val="en-GB"/>
        </w:rPr>
      </w:pPr>
      <w:bookmarkStart w:id="227" w:name="_Toc233112218"/>
      <w:r>
        <w:t xml:space="preserve">Figure </w:t>
      </w:r>
      <w:r w:rsidR="00113348">
        <w:fldChar w:fldCharType="begin"/>
      </w:r>
      <w:r w:rsidR="00113348">
        <w:instrText xml:space="preserve"> SEQ Figure \* ARABIC </w:instrText>
      </w:r>
      <w:r w:rsidR="00113348">
        <w:fldChar w:fldCharType="separate"/>
      </w:r>
      <w:r w:rsidR="00F8092D">
        <w:rPr>
          <w:noProof/>
        </w:rPr>
        <w:t>12</w:t>
      </w:r>
      <w:r w:rsidR="00113348">
        <w:rPr>
          <w:noProof/>
        </w:rPr>
        <w:fldChar w:fldCharType="end"/>
      </w:r>
      <w:r w:rsidR="2C419666" w:rsidRPr="556B684F">
        <w:rPr>
          <w:rFonts w:ascii="Aptos" w:eastAsia="Aptos" w:hAnsi="Aptos" w:cs="Aptos"/>
          <w:i/>
          <w:iCs/>
          <w:color w:val="0E2841"/>
          <w:szCs w:val="20"/>
          <w:lang w:val="en-GB"/>
        </w:rPr>
        <w:t>: Vulnerabilities distribution with cyber impact types for EVSEs</w:t>
      </w:r>
      <w:bookmarkEnd w:id="227"/>
    </w:p>
    <w:p w14:paraId="3D563BC9" w14:textId="402F9B19" w:rsidR="008B7BC6" w:rsidRDefault="2C419666" w:rsidP="25743A1A">
      <w:pPr>
        <w:spacing w:after="160" w:line="257" w:lineRule="auto"/>
        <w:rPr>
          <w:rFonts w:asciiTheme="minorHAnsi" w:eastAsiaTheme="minorEastAsia" w:hAnsiTheme="minorHAnsi" w:cstheme="minorBidi"/>
        </w:rPr>
      </w:pPr>
      <w:r>
        <w:rPr>
          <w:noProof/>
        </w:rPr>
        <w:drawing>
          <wp:inline distT="0" distB="0" distL="0" distR="0" wp14:anchorId="0C843D63" wp14:editId="6F0B4621">
            <wp:extent cx="4654355" cy="2565400"/>
            <wp:effectExtent l="0" t="0" r="0" b="6350"/>
            <wp:docPr id="565415986" name="drawing" title="A graph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415986" name="Picture 565415986"/>
                    <pic:cNvPicPr/>
                  </pic:nvPicPr>
                  <pic:blipFill>
                    <a:blip r:embed="rId30">
                      <a:extLst>
                        <a:ext uri="{28A0092B-C50C-407E-A947-70E740481C1C}">
                          <a14:useLocalDpi xmlns:a14="http://schemas.microsoft.com/office/drawing/2010/main"/>
                        </a:ext>
                      </a:extLst>
                    </a:blip>
                    <a:stretch>
                      <a:fillRect/>
                    </a:stretch>
                  </pic:blipFill>
                  <pic:spPr>
                    <a:xfrm>
                      <a:off x="0" y="0"/>
                      <a:ext cx="4662011" cy="2569620"/>
                    </a:xfrm>
                    <a:prstGeom prst="rect">
                      <a:avLst/>
                    </a:prstGeom>
                  </pic:spPr>
                </pic:pic>
              </a:graphicData>
            </a:graphic>
          </wp:inline>
        </w:drawing>
      </w:r>
    </w:p>
    <w:p w14:paraId="400B30C5" w14:textId="05D753CA" w:rsidR="2C419666" w:rsidRDefault="00CD2C25" w:rsidP="005713FD">
      <w:pPr>
        <w:spacing w:after="160" w:line="257" w:lineRule="auto"/>
        <w:rPr>
          <w:rFonts w:asciiTheme="minorHAnsi" w:eastAsiaTheme="minorEastAsia" w:hAnsiTheme="minorHAnsi" w:cstheme="minorBidi"/>
          <w:lang w:val="en-GB"/>
        </w:rPr>
      </w:pPr>
      <w:bookmarkStart w:id="228" w:name="_Toc233112219"/>
      <w:r w:rsidRPr="008B7BC6">
        <w:rPr>
          <w:b/>
          <w:bCs/>
          <w:color w:val="757579" w:themeColor="accent3"/>
          <w:sz w:val="20"/>
          <w:szCs w:val="18"/>
        </w:rPr>
        <w:t xml:space="preserve">Figure </w:t>
      </w:r>
      <w:r w:rsidR="00113348" w:rsidRPr="005713FD">
        <w:rPr>
          <w:b/>
          <w:bCs/>
          <w:color w:val="757579" w:themeColor="accent3"/>
          <w:sz w:val="20"/>
          <w:szCs w:val="18"/>
        </w:rPr>
        <w:fldChar w:fldCharType="begin"/>
      </w:r>
      <w:r w:rsidR="00113348" w:rsidRPr="008B7BC6">
        <w:rPr>
          <w:b/>
          <w:bCs/>
          <w:color w:val="757579" w:themeColor="accent3"/>
          <w:sz w:val="20"/>
          <w:szCs w:val="18"/>
        </w:rPr>
        <w:instrText xml:space="preserve"> SEQ Figure \* ARABIC </w:instrText>
      </w:r>
      <w:r w:rsidR="00113348" w:rsidRPr="005713FD">
        <w:rPr>
          <w:b/>
          <w:bCs/>
          <w:color w:val="757579" w:themeColor="accent3"/>
          <w:sz w:val="20"/>
          <w:szCs w:val="18"/>
        </w:rPr>
        <w:fldChar w:fldCharType="separate"/>
      </w:r>
      <w:r w:rsidR="00F8092D">
        <w:rPr>
          <w:b/>
          <w:bCs/>
          <w:noProof/>
          <w:color w:val="757579" w:themeColor="accent3"/>
          <w:sz w:val="20"/>
          <w:szCs w:val="18"/>
        </w:rPr>
        <w:t>13</w:t>
      </w:r>
      <w:r w:rsidR="00113348" w:rsidRPr="005713FD">
        <w:rPr>
          <w:b/>
          <w:bCs/>
          <w:color w:val="757579" w:themeColor="accent3"/>
          <w:sz w:val="20"/>
          <w:szCs w:val="18"/>
        </w:rPr>
        <w:fldChar w:fldCharType="end"/>
      </w:r>
      <w:r w:rsidR="2C419666" w:rsidRPr="005713FD">
        <w:rPr>
          <w:b/>
          <w:bCs/>
          <w:color w:val="757579" w:themeColor="accent3"/>
          <w:sz w:val="20"/>
          <w:szCs w:val="18"/>
        </w:rPr>
        <w:t>:</w:t>
      </w:r>
      <w:r w:rsidR="2C419666" w:rsidRPr="556B684F">
        <w:rPr>
          <w:lang w:val="en-GB"/>
        </w:rPr>
        <w:t xml:space="preserve"> </w:t>
      </w:r>
      <w:r w:rsidR="2C419666" w:rsidRPr="005713FD">
        <w:rPr>
          <w:rFonts w:ascii="Aptos" w:eastAsia="Aptos" w:hAnsi="Aptos" w:cs="Aptos"/>
          <w:b/>
          <w:bCs/>
          <w:i/>
          <w:iCs/>
          <w:color w:val="0E2841"/>
          <w:sz w:val="20"/>
          <w:szCs w:val="20"/>
          <w:lang w:val="en-GB"/>
        </w:rPr>
        <w:t>EVSE Vulnerabilities by Architecture Domain</w:t>
      </w:r>
      <w:bookmarkEnd w:id="228"/>
    </w:p>
    <w:p w14:paraId="08D43969" w14:textId="69E524E4" w:rsidR="55EC40E4" w:rsidRDefault="55EC40E4" w:rsidP="55EC40E4">
      <w:pPr>
        <w:pStyle w:val="BodyText"/>
        <w:rPr>
          <w:rFonts w:asciiTheme="minorHAnsi" w:eastAsiaTheme="minorEastAsia" w:hAnsiTheme="minorHAnsi" w:cstheme="minorBidi"/>
          <w:sz w:val="22"/>
          <w:lang w:val="en-US" w:eastAsia="en-US"/>
        </w:rPr>
      </w:pPr>
    </w:p>
    <w:p w14:paraId="611415DD" w14:textId="3CBD65C1" w:rsidR="00FA59D3" w:rsidRDefault="00FA59D3" w:rsidP="00FA59D3">
      <w:pPr>
        <w:pStyle w:val="Heading3"/>
        <w:numPr>
          <w:ilvl w:val="0"/>
          <w:numId w:val="0"/>
        </w:numPr>
        <w:ind w:left="1134" w:hanging="1134"/>
        <w:rPr>
          <w:rFonts w:asciiTheme="minorHAnsi" w:eastAsiaTheme="minorEastAsia" w:hAnsiTheme="minorHAnsi" w:cstheme="minorBidi"/>
        </w:rPr>
      </w:pPr>
      <w:bookmarkStart w:id="229" w:name="_Toc222954486"/>
      <w:bookmarkStart w:id="230" w:name="_Toc234310801"/>
      <w:r>
        <w:t>Firmware Governance and Trust Weaknesses:</w:t>
      </w:r>
      <w:bookmarkEnd w:id="230"/>
    </w:p>
    <w:p w14:paraId="1F2D2D9C" w14:textId="549509D0" w:rsidR="00CE289E" w:rsidRPr="00FB14A9" w:rsidRDefault="00CE289E" w:rsidP="556B684F">
      <w:pPr>
        <w:pStyle w:val="BodyText"/>
        <w:jc w:val="both"/>
        <w:rPr>
          <w:rFonts w:asciiTheme="minorHAnsi" w:eastAsiaTheme="minorEastAsia" w:hAnsiTheme="minorHAnsi" w:cstheme="minorBidi"/>
        </w:rPr>
      </w:pPr>
      <w:r w:rsidRPr="556B684F">
        <w:rPr>
          <w:szCs w:val="24"/>
        </w:rPr>
        <w:t xml:space="preserve">Form analysis following EV charge station firmware governance-related weaknesses is identified: </w:t>
      </w:r>
    </w:p>
    <w:p w14:paraId="5A979873" w14:textId="3D15EAD0" w:rsidR="00FA59D3" w:rsidRPr="00FB14A9" w:rsidRDefault="00FA59D3" w:rsidP="556B684F">
      <w:pPr>
        <w:pStyle w:val="BodyText"/>
        <w:numPr>
          <w:ilvl w:val="0"/>
          <w:numId w:val="56"/>
        </w:numPr>
        <w:jc w:val="both"/>
        <w:rPr>
          <w:rFonts w:asciiTheme="minorHAnsi" w:eastAsiaTheme="minorEastAsia" w:hAnsiTheme="minorHAnsi" w:cstheme="minorBidi"/>
        </w:rPr>
      </w:pPr>
      <w:r w:rsidRPr="556B684F">
        <w:rPr>
          <w:b/>
          <w:bCs/>
          <w:szCs w:val="24"/>
        </w:rPr>
        <w:t>Absence of Hardware Roots of Trust:</w:t>
      </w:r>
      <w:r w:rsidRPr="556B684F">
        <w:rPr>
          <w:szCs w:val="24"/>
        </w:rPr>
        <w:t xml:space="preserve"> A critical finding is that many deployed devices lack hardware-based security features, such as a Trusted Platform Module (TPM) or secure boot mechanisms. This allows attackers with physical access to install persistent malicious firmware.</w:t>
      </w:r>
    </w:p>
    <w:p w14:paraId="17B678D8" w14:textId="2B80C480" w:rsidR="00FA59D3" w:rsidRPr="00FB14A9" w:rsidRDefault="00FA59D3" w:rsidP="556B684F">
      <w:pPr>
        <w:pStyle w:val="BodyText"/>
        <w:numPr>
          <w:ilvl w:val="0"/>
          <w:numId w:val="56"/>
        </w:numPr>
        <w:jc w:val="both"/>
        <w:rPr>
          <w:rFonts w:asciiTheme="minorHAnsi" w:eastAsiaTheme="minorEastAsia" w:hAnsiTheme="minorHAnsi" w:cstheme="minorBidi"/>
        </w:rPr>
      </w:pPr>
      <w:r w:rsidRPr="556B684F">
        <w:rPr>
          <w:b/>
          <w:bCs/>
          <w:szCs w:val="24"/>
        </w:rPr>
        <w:t>Insecure Update Validation:</w:t>
      </w:r>
      <w:r w:rsidRPr="556B684F">
        <w:rPr>
          <w:szCs w:val="24"/>
        </w:rPr>
        <w:t xml:space="preserve"> The failure to cryptographically validate the signature of OTA firmware update files allows adversaries to intercept the process and push weaponized images to chargers, permanently compromising the device</w:t>
      </w:r>
      <w:r w:rsidR="00CE289E" w:rsidRPr="556B684F">
        <w:rPr>
          <w:szCs w:val="24"/>
        </w:rPr>
        <w:t>.</w:t>
      </w:r>
    </w:p>
    <w:p w14:paraId="53FDD4AA" w14:textId="1BC41684" w:rsidR="00366193" w:rsidRPr="00BC584E" w:rsidRDefault="00366193" w:rsidP="00BC584E">
      <w:pPr>
        <w:pStyle w:val="Heading2"/>
        <w:ind w:left="567"/>
        <w:rPr>
          <w:rFonts w:asciiTheme="minorHAnsi" w:eastAsiaTheme="minorEastAsia" w:hAnsiTheme="minorHAnsi" w:cstheme="minorBidi"/>
          <w:b/>
        </w:rPr>
      </w:pPr>
      <w:bookmarkStart w:id="231" w:name="_Toc223022377"/>
      <w:bookmarkStart w:id="232" w:name="_Toc234310802"/>
      <w:r w:rsidRPr="00BC584E">
        <w:rPr>
          <w:b/>
          <w:bCs w:val="0"/>
        </w:rPr>
        <w:t>Attack Graphs Analysis</w:t>
      </w:r>
      <w:bookmarkEnd w:id="231"/>
      <w:bookmarkEnd w:id="232"/>
      <w:r w:rsidRPr="00BC584E">
        <w:rPr>
          <w:b/>
          <w:bCs w:val="0"/>
        </w:rPr>
        <w:t xml:space="preserve"> </w:t>
      </w:r>
    </w:p>
    <w:p w14:paraId="0E425D64" w14:textId="2B52A93D" w:rsidR="00366193" w:rsidRPr="00FB14A9" w:rsidRDefault="00366193" w:rsidP="69CB4964">
      <w:pPr>
        <w:pStyle w:val="BodyText"/>
        <w:jc w:val="both"/>
        <w:rPr>
          <w:rFonts w:asciiTheme="minorHAnsi" w:eastAsiaTheme="minorEastAsia" w:hAnsiTheme="minorHAnsi" w:cstheme="minorBidi"/>
        </w:rPr>
      </w:pPr>
      <w:r w:rsidRPr="69CB4964">
        <w:rPr>
          <w:szCs w:val="24"/>
        </w:rPr>
        <w:t>This section builds up</w:t>
      </w:r>
      <w:r w:rsidR="001E5BE3" w:rsidRPr="69CB4964">
        <w:rPr>
          <w:szCs w:val="24"/>
        </w:rPr>
        <w:t xml:space="preserve">on </w:t>
      </w:r>
      <w:r w:rsidR="00D06427" w:rsidRPr="69CB4964">
        <w:rPr>
          <w:szCs w:val="24"/>
        </w:rPr>
        <w:t>vulnerabilities</w:t>
      </w:r>
      <w:r w:rsidR="001E5BE3" w:rsidRPr="69CB4964">
        <w:rPr>
          <w:szCs w:val="24"/>
        </w:rPr>
        <w:t xml:space="preserve"> and threats modelling to </w:t>
      </w:r>
      <w:r w:rsidR="00467CAA" w:rsidRPr="69CB4964">
        <w:rPr>
          <w:szCs w:val="24"/>
        </w:rPr>
        <w:t>analyse</w:t>
      </w:r>
      <w:r w:rsidR="001E5BE3" w:rsidRPr="69CB4964">
        <w:rPr>
          <w:szCs w:val="24"/>
        </w:rPr>
        <w:t xml:space="preserve"> </w:t>
      </w:r>
      <w:r w:rsidR="00467CAA" w:rsidRPr="69CB4964">
        <w:rPr>
          <w:szCs w:val="24"/>
        </w:rPr>
        <w:t>attackers’</w:t>
      </w:r>
      <w:r w:rsidR="0088153C" w:rsidRPr="69CB4964">
        <w:rPr>
          <w:szCs w:val="24"/>
        </w:rPr>
        <w:t xml:space="preserve"> tactics and techniques</w:t>
      </w:r>
      <w:r w:rsidR="00D06427" w:rsidRPr="69CB4964">
        <w:rPr>
          <w:szCs w:val="24"/>
        </w:rPr>
        <w:t>,</w:t>
      </w:r>
      <w:r w:rsidR="0088153C" w:rsidRPr="69CB4964">
        <w:rPr>
          <w:szCs w:val="24"/>
        </w:rPr>
        <w:t xml:space="preserve"> </w:t>
      </w:r>
      <w:r w:rsidR="00467CAA" w:rsidRPr="69CB4964">
        <w:rPr>
          <w:szCs w:val="24"/>
        </w:rPr>
        <w:t>leveraging identified vulnerabilities</w:t>
      </w:r>
      <w:r w:rsidR="0088153C" w:rsidRPr="69CB4964">
        <w:rPr>
          <w:szCs w:val="24"/>
        </w:rPr>
        <w:t xml:space="preserve"> and </w:t>
      </w:r>
      <w:r w:rsidR="00467CAA" w:rsidRPr="69CB4964">
        <w:rPr>
          <w:szCs w:val="24"/>
        </w:rPr>
        <w:t xml:space="preserve">the </w:t>
      </w:r>
      <w:r w:rsidR="0088153C" w:rsidRPr="69CB4964">
        <w:rPr>
          <w:szCs w:val="24"/>
        </w:rPr>
        <w:t xml:space="preserve">MITRE ATT&amp;C ICS </w:t>
      </w:r>
      <w:r w:rsidR="00D06427" w:rsidRPr="69CB4964">
        <w:rPr>
          <w:szCs w:val="24"/>
        </w:rPr>
        <w:t>framework</w:t>
      </w:r>
      <w:r w:rsidR="0088153C" w:rsidRPr="69CB4964">
        <w:rPr>
          <w:szCs w:val="24"/>
        </w:rPr>
        <w:t xml:space="preserve">.  </w:t>
      </w:r>
      <w:r w:rsidR="001877B1" w:rsidRPr="69CB4964">
        <w:rPr>
          <w:szCs w:val="24"/>
        </w:rPr>
        <w:t xml:space="preserve">It visualizes how a determined adversary would chain these disparate vulnerabilities and threats together into a coherent, multi-stage campaign. </w:t>
      </w:r>
      <w:r w:rsidR="0088153C" w:rsidRPr="69CB4964">
        <w:rPr>
          <w:szCs w:val="24"/>
        </w:rPr>
        <w:t xml:space="preserve">The attack paths are analysed for two selected scenarios as discussed </w:t>
      </w:r>
      <w:r w:rsidR="00D06427" w:rsidRPr="69CB4964">
        <w:rPr>
          <w:szCs w:val="24"/>
        </w:rPr>
        <w:t xml:space="preserve">below. </w:t>
      </w:r>
    </w:p>
    <w:p w14:paraId="19389AAE" w14:textId="2EADBF54" w:rsidR="00E956C8" w:rsidRDefault="00E956C8" w:rsidP="00903601">
      <w:pPr>
        <w:pStyle w:val="Heading3"/>
        <w:numPr>
          <w:ilvl w:val="0"/>
          <w:numId w:val="0"/>
        </w:numPr>
        <w:ind w:left="1134" w:hanging="1134"/>
        <w:rPr>
          <w:rFonts w:asciiTheme="minorHAnsi" w:eastAsiaTheme="minorEastAsia" w:hAnsiTheme="minorHAnsi" w:cstheme="minorBidi"/>
        </w:rPr>
      </w:pPr>
      <w:bookmarkStart w:id="233" w:name="_Toc234310803"/>
      <w:r>
        <w:t xml:space="preserve">Firmware Compromise </w:t>
      </w:r>
      <w:r w:rsidR="00BD68EB">
        <w:t>Attack</w:t>
      </w:r>
      <w:bookmarkEnd w:id="233"/>
    </w:p>
    <w:p w14:paraId="6C0ED559" w14:textId="0EA5ED4D" w:rsidR="00903601" w:rsidRPr="00FB14A9" w:rsidRDefault="00E956C8" w:rsidP="69CB4964">
      <w:pPr>
        <w:pStyle w:val="BodyText"/>
        <w:jc w:val="both"/>
        <w:rPr>
          <w:rFonts w:asciiTheme="minorHAnsi" w:eastAsiaTheme="minorEastAsia" w:hAnsiTheme="minorHAnsi" w:cstheme="minorBidi"/>
        </w:rPr>
      </w:pPr>
      <w:r w:rsidRPr="69CB4964">
        <w:rPr>
          <w:szCs w:val="24"/>
        </w:rPr>
        <w:t>The firmware compromise attack graph demonstrates that EVSE risk is driven by amplification dynamics and trust-boundary convergence rather than isolated flaws. Although entry vectors differ</w:t>
      </w:r>
      <w:r w:rsidR="005409CF" w:rsidRPr="69CB4964">
        <w:rPr>
          <w:szCs w:val="24"/>
        </w:rPr>
        <w:t xml:space="preserve">, being </w:t>
      </w:r>
      <w:r w:rsidRPr="69CB4964">
        <w:rPr>
          <w:szCs w:val="24"/>
        </w:rPr>
        <w:t>remote, LAN, or physical</w:t>
      </w:r>
      <w:r w:rsidR="005409CF" w:rsidRPr="69CB4964">
        <w:rPr>
          <w:szCs w:val="24"/>
        </w:rPr>
        <w:t xml:space="preserve">, </w:t>
      </w:r>
      <w:r w:rsidRPr="69CB4964">
        <w:rPr>
          <w:szCs w:val="24"/>
        </w:rPr>
        <w:t xml:space="preserve">they converge on firmware integrity and the CSMS trust relationship, as illustrated in </w:t>
      </w:r>
      <w:r w:rsidR="00903601" w:rsidRPr="69CB4964">
        <w:rPr>
          <w:szCs w:val="24"/>
        </w:rPr>
        <w:t>the attack graph below</w:t>
      </w:r>
      <w:r w:rsidRPr="69CB4964">
        <w:rPr>
          <w:szCs w:val="24"/>
        </w:rPr>
        <w:t xml:space="preserve">. Many of these high-leverage weaknesses are rooted in OEM-controlled mechanisms, including firmware signing governance, certificate provisioning, and OTA update validation. </w:t>
      </w:r>
      <w:r w:rsidR="005776DC" w:rsidRPr="69CB4964">
        <w:rPr>
          <w:szCs w:val="24"/>
        </w:rPr>
        <w:t xml:space="preserve"> Identified exploitation paths include:</w:t>
      </w:r>
    </w:p>
    <w:p w14:paraId="52F13E97" w14:textId="2C27B258" w:rsidR="005776DC" w:rsidRPr="005776DC" w:rsidRDefault="005776DC" w:rsidP="69CB4964">
      <w:pPr>
        <w:pStyle w:val="BodyText"/>
        <w:jc w:val="both"/>
        <w:rPr>
          <w:rFonts w:asciiTheme="minorHAnsi" w:eastAsiaTheme="minorEastAsia" w:hAnsiTheme="minorHAnsi" w:cstheme="minorBidi"/>
        </w:rPr>
      </w:pPr>
      <w:r w:rsidRPr="69CB4964">
        <w:rPr>
          <w:b/>
          <w:bCs/>
          <w:szCs w:val="24"/>
        </w:rPr>
        <w:t>Remote Network Exploitation:</w:t>
      </w:r>
      <w:r w:rsidRPr="69CB4964">
        <w:rPr>
          <w:szCs w:val="24"/>
        </w:rPr>
        <w:t xml:space="preserve"> A remote adversary exploits cloud-facing vulnerabilities (e.g., OCPP MitM, public-facing RCE, certificate abuse) to gain CSMS control, push malicious firmware via the OTA channel, and achieve scalable, fleet-wide compromise.</w:t>
      </w:r>
    </w:p>
    <w:p w14:paraId="0BFAFDA0" w14:textId="0D20F369" w:rsidR="005776DC" w:rsidRPr="005776DC" w:rsidRDefault="005776DC" w:rsidP="69CB4964">
      <w:pPr>
        <w:pStyle w:val="BodyText"/>
        <w:jc w:val="both"/>
        <w:rPr>
          <w:rFonts w:asciiTheme="minorHAnsi" w:eastAsiaTheme="minorEastAsia" w:hAnsiTheme="minorHAnsi" w:cstheme="minorBidi"/>
        </w:rPr>
      </w:pPr>
      <w:r w:rsidRPr="69CB4964">
        <w:rPr>
          <w:b/>
          <w:bCs/>
          <w:szCs w:val="24"/>
        </w:rPr>
        <w:t>LAN / Proximity Compromise:</w:t>
      </w:r>
      <w:r w:rsidRPr="69CB4964">
        <w:rPr>
          <w:szCs w:val="24"/>
        </w:rPr>
        <w:t xml:space="preserve"> An attacker with local network access performs service discovery, exploits privilege escalation or memory corruption flaws, and directly modifies controller tasking to implant malicious firmware, using the EVSE as a pivot toward backend systems.</w:t>
      </w:r>
    </w:p>
    <w:p w14:paraId="36E0A3A4" w14:textId="19AAC951" w:rsidR="005776DC" w:rsidRPr="005776DC" w:rsidRDefault="005776DC" w:rsidP="69CB4964">
      <w:pPr>
        <w:pStyle w:val="BodyText"/>
        <w:jc w:val="both"/>
        <w:rPr>
          <w:rFonts w:asciiTheme="minorHAnsi" w:eastAsiaTheme="minorEastAsia" w:hAnsiTheme="minorHAnsi" w:cstheme="minorBidi"/>
        </w:rPr>
      </w:pPr>
      <w:r w:rsidRPr="7325392B">
        <w:rPr>
          <w:b/>
          <w:bCs/>
          <w:szCs w:val="24"/>
        </w:rPr>
        <w:t>Physical Access Compromise:</w:t>
      </w:r>
      <w:r w:rsidRPr="7325392B">
        <w:rPr>
          <w:szCs w:val="24"/>
        </w:rPr>
        <w:t xml:space="preserve"> A hands-on adversary leverages unsecured hardware interfaces (e.g., UART, default credentials) to obtain root shell access and overwrite firmware directly, bypassing all network-level </w:t>
      </w:r>
      <w:r w:rsidR="008A6539" w:rsidRPr="7325392B">
        <w:rPr>
          <w:szCs w:val="24"/>
        </w:rPr>
        <w:t>defences</w:t>
      </w:r>
      <w:r w:rsidRPr="7325392B">
        <w:rPr>
          <w:szCs w:val="24"/>
        </w:rPr>
        <w:t xml:space="preserve"> for persistent device takeover.</w:t>
      </w:r>
    </w:p>
    <w:p w14:paraId="30C633CF" w14:textId="4A2DB4A5" w:rsidR="7325392B" w:rsidRDefault="7325392B" w:rsidP="7325392B">
      <w:pPr>
        <w:pStyle w:val="BodyText"/>
        <w:jc w:val="both"/>
        <w:rPr>
          <w:rFonts w:asciiTheme="minorHAnsi" w:eastAsiaTheme="minorEastAsia" w:hAnsiTheme="minorHAnsi" w:cstheme="minorBidi"/>
        </w:rPr>
      </w:pPr>
    </w:p>
    <w:p w14:paraId="15F5C91B" w14:textId="77777777" w:rsidR="00B52013" w:rsidRPr="00B52013" w:rsidRDefault="00B52013" w:rsidP="005713FD">
      <w:pPr>
        <w:spacing w:before="100" w:beforeAutospacing="1" w:after="100" w:afterAutospacing="1"/>
        <w:jc w:val="center"/>
        <w:rPr>
          <w:rFonts w:ascii="Times New Roman" w:eastAsia="Times New Roman" w:hAnsi="Times New Roman"/>
          <w:color w:val="auto"/>
          <w:sz w:val="24"/>
          <w:szCs w:val="24"/>
        </w:rPr>
      </w:pPr>
      <w:r w:rsidRPr="00B52013">
        <w:rPr>
          <w:rFonts w:ascii="Times New Roman" w:eastAsia="Times New Roman" w:hAnsi="Times New Roman"/>
          <w:noProof/>
          <w:color w:val="auto"/>
          <w:sz w:val="24"/>
          <w:szCs w:val="24"/>
        </w:rPr>
        <w:drawing>
          <wp:inline distT="0" distB="0" distL="0" distR="0" wp14:anchorId="1130DE70" wp14:editId="43091206">
            <wp:extent cx="6392972" cy="4010628"/>
            <wp:effectExtent l="0" t="0" r="8255" b="9525"/>
            <wp:docPr id="1"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company&#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45136" cy="4043353"/>
                    </a:xfrm>
                    <a:prstGeom prst="rect">
                      <a:avLst/>
                    </a:prstGeom>
                    <a:noFill/>
                    <a:ln>
                      <a:noFill/>
                    </a:ln>
                  </pic:spPr>
                </pic:pic>
              </a:graphicData>
            </a:graphic>
          </wp:inline>
        </w:drawing>
      </w:r>
    </w:p>
    <w:p w14:paraId="50277506" w14:textId="167D1343" w:rsidR="00382AE5" w:rsidRPr="001C02C4" w:rsidRDefault="00CD2C25" w:rsidP="001C02C4">
      <w:pPr>
        <w:pStyle w:val="BodyText"/>
        <w:rPr>
          <w:rFonts w:eastAsiaTheme="majorEastAsia" w:cstheme="majorBidi"/>
          <w:b/>
          <w:color w:val="757579" w:themeColor="accent3"/>
          <w:sz w:val="20"/>
          <w:szCs w:val="18"/>
        </w:rPr>
      </w:pPr>
      <w:bookmarkStart w:id="234" w:name="_Toc233112220"/>
      <w:r w:rsidRPr="001C02C4">
        <w:rPr>
          <w:rFonts w:eastAsiaTheme="majorEastAsia" w:cstheme="majorBidi"/>
          <w:b/>
          <w:color w:val="757579" w:themeColor="accent3"/>
          <w:sz w:val="20"/>
          <w:szCs w:val="18"/>
        </w:rPr>
        <w:t xml:space="preserve">Figure </w:t>
      </w:r>
      <w:r w:rsidR="00113348" w:rsidRPr="001C02C4">
        <w:rPr>
          <w:rFonts w:eastAsiaTheme="majorEastAsia" w:cstheme="majorBidi"/>
          <w:b/>
          <w:color w:val="757579" w:themeColor="accent3"/>
          <w:sz w:val="20"/>
          <w:szCs w:val="18"/>
        </w:rPr>
        <w:fldChar w:fldCharType="begin"/>
      </w:r>
      <w:r w:rsidR="00113348" w:rsidRPr="001C02C4">
        <w:rPr>
          <w:rFonts w:eastAsiaTheme="majorEastAsia" w:cstheme="majorBidi"/>
          <w:b/>
          <w:color w:val="757579" w:themeColor="accent3"/>
          <w:sz w:val="20"/>
          <w:szCs w:val="18"/>
        </w:rPr>
        <w:instrText xml:space="preserve"> SEQ Figure \* ARABIC </w:instrText>
      </w:r>
      <w:r w:rsidR="00113348" w:rsidRPr="001C02C4">
        <w:rPr>
          <w:rFonts w:eastAsiaTheme="majorEastAsia" w:cstheme="majorBidi"/>
          <w:b/>
          <w:color w:val="757579" w:themeColor="accent3"/>
          <w:sz w:val="20"/>
          <w:szCs w:val="18"/>
        </w:rPr>
        <w:fldChar w:fldCharType="separate"/>
      </w:r>
      <w:r w:rsidR="00F8092D">
        <w:rPr>
          <w:rFonts w:eastAsiaTheme="majorEastAsia" w:cstheme="majorBidi"/>
          <w:b/>
          <w:noProof/>
          <w:color w:val="757579" w:themeColor="accent3"/>
          <w:sz w:val="20"/>
          <w:szCs w:val="18"/>
        </w:rPr>
        <w:t>14</w:t>
      </w:r>
      <w:r w:rsidR="00113348" w:rsidRPr="001C02C4">
        <w:rPr>
          <w:rFonts w:eastAsiaTheme="majorEastAsia" w:cstheme="majorBidi"/>
          <w:b/>
          <w:color w:val="757579" w:themeColor="accent3"/>
          <w:sz w:val="20"/>
          <w:szCs w:val="18"/>
        </w:rPr>
        <w:fldChar w:fldCharType="end"/>
      </w:r>
      <w:r w:rsidR="4F10B8AB" w:rsidRPr="001C02C4">
        <w:rPr>
          <w:rFonts w:eastAsiaTheme="majorEastAsia" w:cstheme="majorBidi"/>
          <w:b/>
          <w:color w:val="757579" w:themeColor="accent3"/>
          <w:sz w:val="20"/>
          <w:szCs w:val="18"/>
        </w:rPr>
        <w:t xml:space="preserve">: </w:t>
      </w:r>
      <w:r w:rsidR="4F10B8AB" w:rsidRPr="001C02C4">
        <w:rPr>
          <w:rFonts w:ascii="Aptos" w:eastAsia="Aptos" w:hAnsi="Aptos" w:cs="Aptos"/>
          <w:b/>
          <w:bCs/>
          <w:i/>
          <w:iCs/>
          <w:color w:val="0E2841"/>
          <w:sz w:val="20"/>
          <w:szCs w:val="20"/>
          <w:lang w:val="en-GB"/>
        </w:rPr>
        <w:t>Firmware Compromise Attack Graph with multiple attack paths</w:t>
      </w:r>
      <w:bookmarkEnd w:id="234"/>
      <w:r w:rsidR="00B52013" w:rsidRPr="001C02C4">
        <w:rPr>
          <w:rFonts w:ascii="Aptos" w:eastAsia="Aptos" w:hAnsi="Aptos" w:cs="Aptos"/>
          <w:b/>
          <w:bCs/>
          <w:i/>
          <w:iCs/>
          <w:color w:val="0E2841"/>
          <w:sz w:val="20"/>
          <w:szCs w:val="20"/>
          <w:lang w:val="en-GB"/>
        </w:rPr>
        <w:t xml:space="preserve"> </w:t>
      </w:r>
      <w:r w:rsidR="00A44980" w:rsidRPr="001C02C4">
        <w:rPr>
          <w:rFonts w:ascii="Aptos" w:eastAsia="Aptos" w:hAnsi="Aptos" w:cs="Aptos"/>
          <w:b/>
          <w:bCs/>
          <w:i/>
          <w:iCs/>
          <w:color w:val="0E2841"/>
          <w:sz w:val="20"/>
          <w:szCs w:val="20"/>
          <w:lang w:val="en-GB"/>
        </w:rPr>
        <w:t xml:space="preserve">EVSE </w:t>
      </w:r>
      <w:r w:rsidR="00382AE5" w:rsidRPr="001C02C4">
        <w:rPr>
          <w:rFonts w:ascii="Aptos" w:eastAsia="Aptos" w:hAnsi="Aptos" w:cs="Aptos"/>
          <w:b/>
          <w:bCs/>
          <w:i/>
          <w:iCs/>
          <w:color w:val="0E2841"/>
          <w:sz w:val="20"/>
          <w:szCs w:val="20"/>
          <w:lang w:val="en-GB"/>
        </w:rPr>
        <w:t>Cross-Domain Propagation</w:t>
      </w:r>
      <w:r w:rsidR="00382AE5" w:rsidRPr="001C02C4">
        <w:rPr>
          <w:rFonts w:eastAsiaTheme="majorEastAsia" w:cstheme="majorBidi"/>
          <w:b/>
          <w:color w:val="757579" w:themeColor="accent3"/>
          <w:sz w:val="20"/>
          <w:szCs w:val="18"/>
        </w:rPr>
        <w:t xml:space="preserve"> </w:t>
      </w:r>
      <w:bookmarkEnd w:id="229"/>
    </w:p>
    <w:p w14:paraId="03CC7D90" w14:textId="43A90173" w:rsidR="00DF30A5" w:rsidRPr="007B5CA1" w:rsidRDefault="00DF30A5" w:rsidP="7325392B">
      <w:pPr>
        <w:pStyle w:val="BodyText"/>
        <w:jc w:val="both"/>
        <w:rPr>
          <w:rFonts w:asciiTheme="minorHAnsi" w:eastAsiaTheme="minorEastAsia" w:hAnsiTheme="minorHAnsi" w:cstheme="minorBidi"/>
        </w:rPr>
      </w:pPr>
      <w:bookmarkStart w:id="235" w:name="_Toc222954485"/>
      <w:r w:rsidRPr="7325392B">
        <w:rPr>
          <w:szCs w:val="24"/>
        </w:rPr>
        <w:t>A fundamental finding of this analysis is that EVSE vulnerabilities do not exist in isolation; they are highly interconnected. Adversaries chain these weaknesses together to traverse trust boundaries, pivoting from low-security IT environments to high-impact OT physical systems.</w:t>
      </w:r>
      <w:r w:rsidR="00D63246" w:rsidRPr="7325392B">
        <w:rPr>
          <w:szCs w:val="24"/>
        </w:rPr>
        <w:t xml:space="preserve"> The attack-chain diagram  below illustrates how isolated EVSE vulnerabilities propagate across trust boundaries, enabling escalation from IT-layer compromise to fleet-wide manipulation and grid-level impact, thereby visually substantiating the cross-domain propagation patterns discussed above.</w:t>
      </w:r>
      <w:r w:rsidR="00BD68EB" w:rsidRPr="7325392B">
        <w:rPr>
          <w:szCs w:val="24"/>
        </w:rPr>
        <w:t xml:space="preserve"> </w:t>
      </w:r>
      <w:r w:rsidR="007B5CA1" w:rsidRPr="7325392B">
        <w:rPr>
          <w:szCs w:val="24"/>
        </w:rPr>
        <w:t xml:space="preserve"> </w:t>
      </w:r>
      <w:r w:rsidR="009A0BC0" w:rsidRPr="7325392B">
        <w:rPr>
          <w:szCs w:val="24"/>
        </w:rPr>
        <w:t>I</w:t>
      </w:r>
      <w:r w:rsidR="007B5CA1" w:rsidRPr="7325392B">
        <w:rPr>
          <w:szCs w:val="24"/>
        </w:rPr>
        <w:t>dentified</w:t>
      </w:r>
      <w:r w:rsidRPr="7325392B">
        <w:rPr>
          <w:szCs w:val="24"/>
        </w:rPr>
        <w:t xml:space="preserve"> propagation patterns include:</w:t>
      </w:r>
    </w:p>
    <w:p w14:paraId="56F9ADCA" w14:textId="07E21209" w:rsidR="00DF30A5" w:rsidRPr="007B5CA1" w:rsidRDefault="00D825B7" w:rsidP="7325392B">
      <w:pPr>
        <w:pStyle w:val="BodyText"/>
        <w:jc w:val="both"/>
        <w:rPr>
          <w:rFonts w:asciiTheme="minorHAnsi" w:eastAsiaTheme="minorEastAsia" w:hAnsiTheme="minorHAnsi" w:cstheme="minorBidi"/>
        </w:rPr>
      </w:pPr>
      <w:r w:rsidRPr="7325392B">
        <w:rPr>
          <w:b/>
          <w:bCs/>
          <w:szCs w:val="24"/>
        </w:rPr>
        <w:t>Physical Attack Surface to Firmware and Network</w:t>
      </w:r>
      <w:r w:rsidR="00DF30A5" w:rsidRPr="7325392B">
        <w:rPr>
          <w:szCs w:val="24"/>
        </w:rPr>
        <w:t>: An attacker exploits the physical attack surface by accessing an unsecured debug port, such as UART (V-011). They leverage this to overwrite the firmware, bypassing missing signature checks (V-003). The newly compromised charger then uses its trusted Wide Area Network (WAN) connection to launch lateral attacks against the CPO's backend CSMS.</w:t>
      </w:r>
    </w:p>
    <w:p w14:paraId="20092E87" w14:textId="6260BA43" w:rsidR="004334EC" w:rsidRPr="007B5CA1" w:rsidRDefault="00DF30A5" w:rsidP="7325392B">
      <w:pPr>
        <w:pStyle w:val="BodyText"/>
        <w:jc w:val="both"/>
        <w:rPr>
          <w:rFonts w:asciiTheme="minorHAnsi" w:eastAsiaTheme="minorEastAsia" w:hAnsiTheme="minorHAnsi" w:cstheme="minorBidi"/>
          <w:b/>
        </w:rPr>
      </w:pPr>
      <w:r w:rsidRPr="7325392B">
        <w:rPr>
          <w:b/>
          <w:bCs/>
          <w:szCs w:val="24"/>
        </w:rPr>
        <w:t xml:space="preserve">Backend Compromise </w:t>
      </w:r>
      <w:r w:rsidR="00AD031C" w:rsidRPr="7325392B">
        <w:rPr>
          <w:b/>
          <w:bCs/>
          <w:szCs w:val="24"/>
        </w:rPr>
        <w:t>to</w:t>
      </w:r>
      <w:r w:rsidRPr="7325392B">
        <w:rPr>
          <w:b/>
          <w:bCs/>
          <w:szCs w:val="24"/>
        </w:rPr>
        <w:t xml:space="preserve"> Fleet-Wide Control:</w:t>
      </w:r>
      <w:r w:rsidRPr="7325392B">
        <w:rPr>
          <w:szCs w:val="24"/>
        </w:rPr>
        <w:t xml:space="preserve"> An attacker exploits an IT-layer web vulnerability, such as a persistent Cross-Site Scripting (XSS) flaw in the CSMS portal (CVE-2024-21550), to hijack an administrator's session. Using these privileges, the attacker exploits a remote code execution flaw (CVE-2024-11666) to push a malicious firmware update to the entire fleet simultaneously</w:t>
      </w:r>
      <w:r w:rsidR="009A0BC0" w:rsidRPr="7325392B">
        <w:rPr>
          <w:szCs w:val="24"/>
        </w:rPr>
        <w:t>.</w:t>
      </w:r>
    </w:p>
    <w:p w14:paraId="2E19541C" w14:textId="77777777" w:rsidR="009C128A" w:rsidRPr="009C128A" w:rsidRDefault="009C128A" w:rsidP="005713FD">
      <w:pPr>
        <w:spacing w:before="100" w:beforeAutospacing="1" w:after="100" w:afterAutospacing="1"/>
        <w:jc w:val="center"/>
        <w:rPr>
          <w:rFonts w:ascii="Times New Roman" w:eastAsia="Times New Roman" w:hAnsi="Times New Roman"/>
          <w:color w:val="auto"/>
          <w:sz w:val="24"/>
          <w:szCs w:val="24"/>
        </w:rPr>
      </w:pPr>
      <w:r w:rsidRPr="009C128A">
        <w:rPr>
          <w:rFonts w:ascii="Times New Roman" w:eastAsia="Times New Roman" w:hAnsi="Times New Roman"/>
          <w:noProof/>
          <w:color w:val="auto"/>
          <w:sz w:val="24"/>
          <w:szCs w:val="24"/>
        </w:rPr>
        <w:drawing>
          <wp:inline distT="0" distB="0" distL="0" distR="0" wp14:anchorId="1CBC7D22" wp14:editId="5EB9EDA0">
            <wp:extent cx="6049687" cy="3102016"/>
            <wp:effectExtent l="0" t="0" r="8255" b="3175"/>
            <wp:docPr id="525162426" name="Picture 525162426"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162426" name="Picture 525162426" descr="A diagram of a company&#10;&#10;AI-generated content may be incorrec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12940" cy="3134449"/>
                    </a:xfrm>
                    <a:prstGeom prst="rect">
                      <a:avLst/>
                    </a:prstGeom>
                    <a:noFill/>
                    <a:ln>
                      <a:noFill/>
                    </a:ln>
                  </pic:spPr>
                </pic:pic>
              </a:graphicData>
            </a:graphic>
          </wp:inline>
        </w:drawing>
      </w:r>
    </w:p>
    <w:p w14:paraId="6588323F" w14:textId="26874A88" w:rsidR="007B0D8A" w:rsidRPr="005713FD" w:rsidRDefault="00B95BE2" w:rsidP="005713FD">
      <w:pPr>
        <w:pStyle w:val="BodyText"/>
        <w:rPr>
          <w:lang w:val="en-GB"/>
        </w:rPr>
      </w:pPr>
      <w:bookmarkStart w:id="236" w:name="_Toc233112221"/>
      <w:r w:rsidRPr="005713FD">
        <w:rPr>
          <w:rFonts w:eastAsiaTheme="majorEastAsia" w:cstheme="majorBidi"/>
          <w:b/>
          <w:color w:val="757579" w:themeColor="accent3"/>
          <w:sz w:val="20"/>
          <w:szCs w:val="18"/>
        </w:rPr>
        <w:t xml:space="preserve">Figure </w:t>
      </w:r>
      <w:r w:rsidR="00113348" w:rsidRPr="005713FD">
        <w:rPr>
          <w:rFonts w:eastAsiaTheme="majorEastAsia" w:cstheme="majorBidi"/>
          <w:b/>
          <w:color w:val="757579" w:themeColor="accent3"/>
          <w:sz w:val="20"/>
          <w:szCs w:val="18"/>
        </w:rPr>
        <w:fldChar w:fldCharType="begin"/>
      </w:r>
      <w:r w:rsidR="00113348" w:rsidRPr="005713FD">
        <w:rPr>
          <w:rFonts w:eastAsiaTheme="majorEastAsia" w:cstheme="majorBidi"/>
          <w:b/>
          <w:color w:val="757579" w:themeColor="accent3"/>
          <w:sz w:val="20"/>
          <w:szCs w:val="18"/>
        </w:rPr>
        <w:instrText xml:space="preserve"> SEQ Figure \* ARABIC </w:instrText>
      </w:r>
      <w:r w:rsidR="00113348" w:rsidRPr="005713FD">
        <w:rPr>
          <w:rFonts w:eastAsiaTheme="majorEastAsia" w:cstheme="majorBidi"/>
          <w:b/>
          <w:color w:val="757579" w:themeColor="accent3"/>
          <w:sz w:val="20"/>
          <w:szCs w:val="18"/>
        </w:rPr>
        <w:fldChar w:fldCharType="separate"/>
      </w:r>
      <w:r w:rsidR="00F8092D">
        <w:rPr>
          <w:rFonts w:eastAsiaTheme="majorEastAsia" w:cstheme="majorBidi"/>
          <w:b/>
          <w:noProof/>
          <w:color w:val="757579" w:themeColor="accent3"/>
          <w:sz w:val="20"/>
          <w:szCs w:val="18"/>
        </w:rPr>
        <w:t>15</w:t>
      </w:r>
      <w:r w:rsidR="00113348" w:rsidRPr="005713FD">
        <w:rPr>
          <w:rFonts w:eastAsiaTheme="majorEastAsia" w:cstheme="majorBidi"/>
          <w:b/>
          <w:color w:val="757579" w:themeColor="accent3"/>
          <w:sz w:val="20"/>
          <w:szCs w:val="18"/>
        </w:rPr>
        <w:fldChar w:fldCharType="end"/>
      </w:r>
      <w:r w:rsidR="4A54C1F3" w:rsidRPr="301CFFAB">
        <w:rPr>
          <w:rFonts w:ascii="Aptos" w:eastAsia="Aptos" w:hAnsi="Aptos" w:cs="Aptos"/>
          <w:i/>
          <w:color w:val="0E2841"/>
          <w:szCs w:val="20"/>
          <w:lang w:val="en-GB"/>
        </w:rPr>
        <w:t xml:space="preserve">: </w:t>
      </w:r>
      <w:r w:rsidR="4A54C1F3" w:rsidRPr="005713FD">
        <w:rPr>
          <w:rFonts w:ascii="Aptos" w:eastAsia="Aptos" w:hAnsi="Aptos" w:cs="Aptos"/>
          <w:b/>
          <w:i/>
          <w:iCs/>
          <w:color w:val="0E2841"/>
          <w:sz w:val="20"/>
          <w:szCs w:val="20"/>
          <w:lang w:val="en-GB"/>
        </w:rPr>
        <w:t>EVSE attack-chain model demonstrating cross-domain propagation from backend compromise to fleet-wide control and grid-level disruption.</w:t>
      </w:r>
      <w:bookmarkEnd w:id="236"/>
    </w:p>
    <w:p w14:paraId="0E16811E" w14:textId="06E65725" w:rsidR="0012112D" w:rsidRDefault="00F6741A" w:rsidP="000F000E">
      <w:pPr>
        <w:pStyle w:val="Heading2"/>
        <w:ind w:left="426"/>
        <w:rPr>
          <w:rFonts w:asciiTheme="minorHAnsi" w:eastAsiaTheme="minorEastAsia" w:hAnsiTheme="minorHAnsi" w:cstheme="minorBidi"/>
          <w:b/>
        </w:rPr>
      </w:pPr>
      <w:bookmarkStart w:id="237" w:name="_Toc223022378"/>
      <w:bookmarkStart w:id="238" w:name="_Toc234310804"/>
      <w:bookmarkEnd w:id="235"/>
      <w:r>
        <w:rPr>
          <w:b/>
          <w:bCs w:val="0"/>
        </w:rPr>
        <w:t>Risk Analysis</w:t>
      </w:r>
      <w:bookmarkEnd w:id="237"/>
      <w:bookmarkEnd w:id="238"/>
    </w:p>
    <w:p w14:paraId="7403FD7A" w14:textId="1432F9C2" w:rsidR="00504EDA" w:rsidRPr="00403D59" w:rsidRDefault="0074750B" w:rsidP="00403D59">
      <w:pPr>
        <w:pStyle w:val="BodyText"/>
        <w:jc w:val="both"/>
        <w:rPr>
          <w:rFonts w:asciiTheme="minorHAnsi" w:eastAsiaTheme="minorEastAsia" w:hAnsiTheme="minorHAnsi" w:cstheme="minorBidi"/>
        </w:rPr>
      </w:pPr>
      <w:r w:rsidRPr="301CFFAB">
        <w:rPr>
          <w:szCs w:val="24"/>
        </w:rPr>
        <w:t>Following the structured threat modelling phase using Data Flow Diagrams (DFDs) and the STRIDE framework, the analysis transitioned from identifying static vulnerabilities to quantifying adversarial impact across architectural trust boundaries. The objective of this phase was not merely to enumerate threats, but to evaluate their systemic propagation potential across firmware, controller, communication, and grid-interfacing components of the EVSE ecosystem.</w:t>
      </w:r>
      <w:r w:rsidR="00403D59" w:rsidRPr="301CFFAB">
        <w:rPr>
          <w:szCs w:val="24"/>
        </w:rPr>
        <w:t xml:space="preserve"> </w:t>
      </w:r>
      <w:r w:rsidRPr="301CFFAB">
        <w:rPr>
          <w:szCs w:val="24"/>
        </w:rPr>
        <w:t>Risk scoring incorporated impact, exposure breadth, and exploitability</w:t>
      </w:r>
      <w:r w:rsidR="00403D59" w:rsidRPr="301CFFAB">
        <w:rPr>
          <w:szCs w:val="24"/>
        </w:rPr>
        <w:t>,</w:t>
      </w:r>
      <w:r w:rsidRPr="301CFFAB">
        <w:rPr>
          <w:szCs w:val="24"/>
        </w:rPr>
        <w:t xml:space="preserve"> enabling differentiation between inherent risk (pre-control exposure) and residual risk (post-control exposure). This quantitative evaluation provides architectural insight into where structural weaknesses persist, particularly at firmware trust boundaries and grid-facing command interfaces. The results are visualised through distribution, severity, concentration, and driver-based analyses</w:t>
      </w:r>
      <w:r w:rsidR="00697F29" w:rsidRPr="301CFFAB">
        <w:rPr>
          <w:szCs w:val="24"/>
        </w:rPr>
        <w:t>.</w:t>
      </w:r>
    </w:p>
    <w:p w14:paraId="5689024C" w14:textId="6D30FE48" w:rsidR="00504EDA" w:rsidRDefault="00697F29" w:rsidP="00697F29">
      <w:pPr>
        <w:pStyle w:val="Heading3"/>
        <w:rPr>
          <w:rFonts w:asciiTheme="minorHAnsi" w:eastAsiaTheme="minorEastAsia" w:hAnsiTheme="minorHAnsi" w:cstheme="minorBidi"/>
        </w:rPr>
      </w:pPr>
      <w:bookmarkStart w:id="239" w:name="_Toc234310805"/>
      <w:r w:rsidRPr="00697F29">
        <w:t>EVSE Threat Distribution Across STRIDE Categories</w:t>
      </w:r>
      <w:bookmarkEnd w:id="239"/>
    </w:p>
    <w:p w14:paraId="20AD6664" w14:textId="186AE73D" w:rsidR="00927A64" w:rsidRPr="001236A0" w:rsidRDefault="003E714B" w:rsidP="4EB93193">
      <w:pPr>
        <w:pStyle w:val="BodyText"/>
        <w:jc w:val="both"/>
        <w:rPr>
          <w:rFonts w:asciiTheme="minorHAnsi" w:eastAsiaTheme="minorEastAsia" w:hAnsiTheme="minorHAnsi" w:cstheme="minorBidi"/>
        </w:rPr>
      </w:pPr>
      <w:r w:rsidRPr="301CFFAB">
        <w:rPr>
          <w:szCs w:val="24"/>
        </w:rPr>
        <w:t xml:space="preserve">The graph in </w:t>
      </w:r>
      <w:r w:rsidR="00782FEB">
        <w:rPr>
          <w:szCs w:val="24"/>
        </w:rPr>
        <w:t>f</w:t>
      </w:r>
      <w:r w:rsidRPr="301CFFAB">
        <w:rPr>
          <w:szCs w:val="24"/>
        </w:rPr>
        <w:t>igure 16 presents the distribution of EVSE threats mapped against STRIDE categories. Firmware update mechanisms and controller interfaces exhibit the highest concentration of identified threats, particularly under Tampering, Elevation of Privilege, and Spoofing.</w:t>
      </w:r>
      <w:r w:rsidR="00697F29" w:rsidRPr="301CFFAB">
        <w:rPr>
          <w:szCs w:val="24"/>
        </w:rPr>
        <w:t xml:space="preserve"> </w:t>
      </w:r>
      <w:r w:rsidRPr="301CFFAB">
        <w:rPr>
          <w:szCs w:val="24"/>
        </w:rPr>
        <w:t>This distribution confirms that firmware integrity and command-path manipulation represent dominant attack vectors. These components operate at convergence points between device logic and external communication channels, making them structurally attractive to adversaries.</w:t>
      </w:r>
    </w:p>
    <w:p w14:paraId="614CA8B4" w14:textId="26619338" w:rsidR="301CFFAB" w:rsidRDefault="301CFFAB" w:rsidP="301CFFAB">
      <w:pPr>
        <w:pStyle w:val="BodyText"/>
        <w:jc w:val="both"/>
        <w:rPr>
          <w:rFonts w:asciiTheme="minorHAnsi" w:eastAsiaTheme="minorEastAsia" w:hAnsiTheme="minorHAnsi" w:cstheme="minorBidi"/>
          <w:sz w:val="22"/>
        </w:rPr>
      </w:pPr>
    </w:p>
    <w:p w14:paraId="6CEBCA32" w14:textId="311ED7E5" w:rsidR="00B60EE3" w:rsidRPr="001236A0" w:rsidRDefault="30A24965" w:rsidP="5065DCC3">
      <w:pPr>
        <w:spacing w:after="160" w:line="257" w:lineRule="auto"/>
        <w:rPr>
          <w:rFonts w:asciiTheme="minorHAnsi" w:eastAsiaTheme="minorEastAsia" w:hAnsiTheme="minorHAnsi" w:cstheme="minorBidi"/>
        </w:rPr>
      </w:pPr>
      <w:r>
        <w:rPr>
          <w:noProof/>
        </w:rPr>
        <w:drawing>
          <wp:inline distT="0" distB="0" distL="0" distR="0" wp14:anchorId="6D700224" wp14:editId="0EDB8DF5">
            <wp:extent cx="5143500" cy="2933700"/>
            <wp:effectExtent l="0" t="0" r="0" b="0"/>
            <wp:docPr id="411144229" name="drawing" title="A graph showing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144229" name="Picture 411144229"/>
                    <pic:cNvPicPr/>
                  </pic:nvPicPr>
                  <pic:blipFill>
                    <a:blip r:embed="rId33">
                      <a:extLst>
                        <a:ext uri="{28A0092B-C50C-407E-A947-70E740481C1C}">
                          <a14:useLocalDpi xmlns:a14="http://schemas.microsoft.com/office/drawing/2010/main"/>
                        </a:ext>
                      </a:extLst>
                    </a:blip>
                    <a:stretch>
                      <a:fillRect/>
                    </a:stretch>
                  </pic:blipFill>
                  <pic:spPr>
                    <a:xfrm>
                      <a:off x="0" y="0"/>
                      <a:ext cx="5143500" cy="2933700"/>
                    </a:xfrm>
                    <a:prstGeom prst="rect">
                      <a:avLst/>
                    </a:prstGeom>
                  </pic:spPr>
                </pic:pic>
              </a:graphicData>
            </a:graphic>
          </wp:inline>
        </w:drawing>
      </w:r>
    </w:p>
    <w:p w14:paraId="665EEEC7" w14:textId="56F37DDE" w:rsidR="00B60EE3" w:rsidRPr="005713FD" w:rsidRDefault="00B95BE2" w:rsidP="00B95BE2">
      <w:pPr>
        <w:pStyle w:val="Caption"/>
        <w:rPr>
          <w:rFonts w:ascii="Aptos" w:eastAsia="Aptos" w:hAnsi="Aptos" w:cs="Aptos"/>
          <w:i/>
          <w:iCs/>
          <w:color w:val="0E2841"/>
          <w:szCs w:val="20"/>
          <w:lang w:val="en-GB"/>
        </w:rPr>
      </w:pPr>
      <w:bookmarkStart w:id="240" w:name="_Toc233112222"/>
      <w:r>
        <w:t xml:space="preserve">Figure </w:t>
      </w:r>
      <w:r w:rsidR="00113348">
        <w:fldChar w:fldCharType="begin"/>
      </w:r>
      <w:r w:rsidR="00113348">
        <w:instrText xml:space="preserve"> SEQ Figure \* ARABIC </w:instrText>
      </w:r>
      <w:r w:rsidR="00113348">
        <w:fldChar w:fldCharType="separate"/>
      </w:r>
      <w:r w:rsidR="00F8092D">
        <w:rPr>
          <w:noProof/>
        </w:rPr>
        <w:t>16</w:t>
      </w:r>
      <w:r w:rsidR="00113348">
        <w:rPr>
          <w:noProof/>
        </w:rPr>
        <w:fldChar w:fldCharType="end"/>
      </w:r>
      <w:r w:rsidR="00AA6295" w:rsidRPr="001236A0">
        <w:t xml:space="preserve">: </w:t>
      </w:r>
      <w:r w:rsidR="00AA6295" w:rsidRPr="005713FD">
        <w:rPr>
          <w:rFonts w:ascii="Aptos" w:eastAsia="Aptos" w:hAnsi="Aptos" w:cs="Aptos"/>
          <w:i/>
          <w:iCs/>
          <w:color w:val="0E2841"/>
          <w:szCs w:val="20"/>
          <w:lang w:val="en-GB"/>
        </w:rPr>
        <w:t>EVSE-Threat Distribution with STRIDE Model</w:t>
      </w:r>
      <w:bookmarkEnd w:id="240"/>
    </w:p>
    <w:p w14:paraId="7E8B2522" w14:textId="1A26DD2C" w:rsidR="00531325" w:rsidRDefault="00531325" w:rsidP="52F2CB9A">
      <w:pPr>
        <w:pStyle w:val="BodyText"/>
        <w:jc w:val="both"/>
        <w:rPr>
          <w:rFonts w:asciiTheme="minorHAnsi" w:eastAsiaTheme="minorEastAsia" w:hAnsiTheme="minorHAnsi" w:cstheme="minorBidi"/>
          <w:sz w:val="22"/>
        </w:rPr>
      </w:pPr>
    </w:p>
    <w:p w14:paraId="2EA48EE1" w14:textId="3E06890F" w:rsidR="628B9AC5" w:rsidRDefault="628B9AC5" w:rsidP="6043C4E7">
      <w:pPr>
        <w:spacing w:after="160" w:line="257" w:lineRule="auto"/>
        <w:rPr>
          <w:rFonts w:asciiTheme="minorHAnsi" w:eastAsiaTheme="minorEastAsia" w:hAnsiTheme="minorHAnsi" w:cstheme="minorBidi"/>
        </w:rPr>
      </w:pPr>
      <w:r>
        <w:rPr>
          <w:noProof/>
        </w:rPr>
        <w:drawing>
          <wp:inline distT="0" distB="0" distL="0" distR="0" wp14:anchorId="242C1491" wp14:editId="65C64C56">
            <wp:extent cx="4419600" cy="2286000"/>
            <wp:effectExtent l="0" t="0" r="0" b="0"/>
            <wp:docPr id="303301881" name="drawing" title="A graph of a number of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301881" name="Picture 303301881"/>
                    <pic:cNvPicPr/>
                  </pic:nvPicPr>
                  <pic:blipFill>
                    <a:blip r:embed="rId34">
                      <a:extLst>
                        <a:ext uri="{28A0092B-C50C-407E-A947-70E740481C1C}">
                          <a14:useLocalDpi xmlns:a14="http://schemas.microsoft.com/office/drawing/2010/main"/>
                        </a:ext>
                      </a:extLst>
                    </a:blip>
                    <a:stretch>
                      <a:fillRect/>
                    </a:stretch>
                  </pic:blipFill>
                  <pic:spPr>
                    <a:xfrm>
                      <a:off x="0" y="0"/>
                      <a:ext cx="4419600" cy="2286000"/>
                    </a:xfrm>
                    <a:prstGeom prst="rect">
                      <a:avLst/>
                    </a:prstGeom>
                  </pic:spPr>
                </pic:pic>
              </a:graphicData>
            </a:graphic>
          </wp:inline>
        </w:drawing>
      </w:r>
    </w:p>
    <w:p w14:paraId="3FD5FCAC" w14:textId="5BCC99E4" w:rsidR="628B9AC5" w:rsidRDefault="00B95BE2" w:rsidP="00B95BE2">
      <w:pPr>
        <w:pStyle w:val="Caption"/>
        <w:rPr>
          <w:rFonts w:asciiTheme="minorHAnsi" w:eastAsiaTheme="minorEastAsia" w:hAnsiTheme="minorHAnsi" w:cstheme="minorBidi"/>
          <w:i/>
          <w:color w:val="0E2841"/>
          <w:szCs w:val="20"/>
          <w:lang w:val="en-GB"/>
        </w:rPr>
      </w:pPr>
      <w:bookmarkStart w:id="241" w:name="_Toc233112223"/>
      <w:r>
        <w:t xml:space="preserve">Figure </w:t>
      </w:r>
      <w:r w:rsidR="00113348">
        <w:fldChar w:fldCharType="begin"/>
      </w:r>
      <w:r w:rsidR="00113348">
        <w:instrText xml:space="preserve"> SEQ Figure \* ARABIC </w:instrText>
      </w:r>
      <w:r w:rsidR="00113348">
        <w:fldChar w:fldCharType="separate"/>
      </w:r>
      <w:r w:rsidR="00F8092D">
        <w:rPr>
          <w:noProof/>
        </w:rPr>
        <w:t>17</w:t>
      </w:r>
      <w:r w:rsidR="00113348">
        <w:rPr>
          <w:noProof/>
        </w:rPr>
        <w:fldChar w:fldCharType="end"/>
      </w:r>
      <w:r>
        <w:rPr>
          <w:rFonts w:ascii="Aptos" w:eastAsia="Aptos" w:hAnsi="Aptos" w:cs="Aptos"/>
          <w:i/>
          <w:color w:val="0E2841"/>
          <w:szCs w:val="20"/>
          <w:lang w:val="en-GB"/>
        </w:rPr>
        <w:t>:</w:t>
      </w:r>
      <w:r w:rsidR="00D316D4">
        <w:rPr>
          <w:rFonts w:ascii="Aptos" w:eastAsia="Aptos" w:hAnsi="Aptos" w:cs="Aptos"/>
          <w:i/>
          <w:color w:val="0E2841"/>
          <w:szCs w:val="20"/>
          <w:lang w:val="en-GB"/>
        </w:rPr>
        <w:t xml:space="preserve"> </w:t>
      </w:r>
      <w:r w:rsidR="628B9AC5" w:rsidRPr="00D316D4">
        <w:rPr>
          <w:rFonts w:ascii="Aptos" w:eastAsia="Aptos" w:hAnsi="Aptos" w:cs="Aptos"/>
          <w:i/>
          <w:iCs/>
          <w:color w:val="0E2841"/>
          <w:szCs w:val="20"/>
          <w:lang w:val="en-GB"/>
        </w:rPr>
        <w:t>Risk Count by Severity: overall distribution of identified risks by severity level.</w:t>
      </w:r>
      <w:bookmarkEnd w:id="241"/>
    </w:p>
    <w:p w14:paraId="25C9B145" w14:textId="7C17C2C3" w:rsidR="52F2CB9A" w:rsidRDefault="52F2CB9A" w:rsidP="52F2CB9A">
      <w:pPr>
        <w:pStyle w:val="BodyText"/>
        <w:jc w:val="both"/>
        <w:rPr>
          <w:rFonts w:asciiTheme="minorHAnsi" w:eastAsiaTheme="minorEastAsia" w:hAnsiTheme="minorHAnsi" w:cstheme="minorBidi"/>
          <w:sz w:val="22"/>
        </w:rPr>
      </w:pPr>
    </w:p>
    <w:p w14:paraId="29A7EC0A" w14:textId="38E5D7EA" w:rsidR="00D83A18" w:rsidRPr="001236A0" w:rsidRDefault="00782DC8" w:rsidP="6043C4E7">
      <w:pPr>
        <w:pStyle w:val="BodyText"/>
        <w:jc w:val="both"/>
        <w:rPr>
          <w:rFonts w:asciiTheme="minorHAnsi" w:eastAsiaTheme="minorEastAsia" w:hAnsiTheme="minorHAnsi" w:cstheme="minorBidi"/>
        </w:rPr>
      </w:pPr>
      <w:r w:rsidRPr="30CA71A8">
        <w:rPr>
          <w:szCs w:val="24"/>
        </w:rPr>
        <w:t xml:space="preserve">To further quantify the seriousness of these findings, </w:t>
      </w:r>
      <w:r w:rsidR="00782FEB">
        <w:rPr>
          <w:szCs w:val="24"/>
        </w:rPr>
        <w:t>f</w:t>
      </w:r>
      <w:r w:rsidRPr="30CA71A8">
        <w:rPr>
          <w:szCs w:val="24"/>
        </w:rPr>
        <w:t>igure 17: Risk Severity Distribution Across Identified Threats presents the overall distribution of risks by severity level. The graph shows that a significant proportion of identified threats fall within the high-severity category, indicating substantial potential impact on system integrity and grid stability.</w:t>
      </w:r>
    </w:p>
    <w:p w14:paraId="56F4AFCA" w14:textId="1DD12881" w:rsidR="002D345D" w:rsidRDefault="00420051" w:rsidP="00364DB2">
      <w:pPr>
        <w:pStyle w:val="Heading3"/>
        <w:rPr>
          <w:rFonts w:asciiTheme="minorHAnsi" w:eastAsiaTheme="minorEastAsia" w:hAnsiTheme="minorHAnsi" w:cstheme="minorBidi"/>
        </w:rPr>
      </w:pPr>
      <w:bookmarkStart w:id="242" w:name="_Toc234310806"/>
      <w:r w:rsidRPr="00420051">
        <w:t>Structural Dynamics of High-Risk Threats</w:t>
      </w:r>
      <w:bookmarkEnd w:id="242"/>
    </w:p>
    <w:p w14:paraId="1E125181" w14:textId="6498EE18" w:rsidR="002D345D" w:rsidRPr="002D345D" w:rsidRDefault="002D345D" w:rsidP="00914E3D">
      <w:pPr>
        <w:pStyle w:val="BodyText"/>
        <w:jc w:val="both"/>
        <w:rPr>
          <w:rFonts w:asciiTheme="minorHAnsi" w:eastAsiaTheme="minorEastAsia" w:hAnsiTheme="minorHAnsi" w:cstheme="minorBidi"/>
        </w:rPr>
      </w:pPr>
      <w:r w:rsidRPr="30CA71A8">
        <w:rPr>
          <w:szCs w:val="24"/>
        </w:rPr>
        <w:t xml:space="preserve">The analysis reveals a concentration of high-impact threats within firmware integrity mechanisms, controller logic, and grid-command interfaces. As shown in </w:t>
      </w:r>
      <w:r w:rsidR="00782FEB">
        <w:rPr>
          <w:szCs w:val="24"/>
        </w:rPr>
        <w:t>f</w:t>
      </w:r>
      <w:r w:rsidRPr="30CA71A8">
        <w:rPr>
          <w:szCs w:val="24"/>
        </w:rPr>
        <w:t>igure 18 (Top 10 Threats by Residual Risk Score), grid-facing communication channels (e.g., IEEE 2030.5/OpenADR) and firmware validation weaknesses dominate the highest exposure tier. These risks are structurally embedded at architectural trust boundaries, where compromise enables influence over both local device behaviour and upstream grid coordination.</w:t>
      </w:r>
    </w:p>
    <w:p w14:paraId="046CF37C" w14:textId="580139E9" w:rsidR="00AC3A1E" w:rsidRPr="001236A0" w:rsidRDefault="002D345D" w:rsidP="00914E3D">
      <w:pPr>
        <w:pStyle w:val="BodyText"/>
        <w:jc w:val="both"/>
        <w:rPr>
          <w:rFonts w:asciiTheme="minorHAnsi" w:eastAsiaTheme="minorEastAsia" w:hAnsiTheme="minorHAnsi" w:cstheme="minorBidi"/>
        </w:rPr>
      </w:pPr>
      <w:r w:rsidRPr="30CA71A8">
        <w:rPr>
          <w:szCs w:val="24"/>
        </w:rPr>
        <w:t xml:space="preserve">The persistence of elevated risks after assumed mitigation is illustrated in </w:t>
      </w:r>
      <w:r w:rsidR="00782FEB">
        <w:rPr>
          <w:szCs w:val="24"/>
        </w:rPr>
        <w:t>f</w:t>
      </w:r>
      <w:r w:rsidRPr="30CA71A8">
        <w:rPr>
          <w:szCs w:val="24"/>
        </w:rPr>
        <w:t>igure 19 (Comparison of Inherent vs Residual Risks). Threats positioned above the diagonal line indicate limited suppression due to detection difficulty, exposure breadth, or systemic amplification. Backend-mediated command manipulation remains particularly persistent, whereas single-device disruptions show comparatively constrained propagation. This confirms that escalation potential, rather than exploitability alone, drives sustained residual exposure.</w:t>
      </w:r>
      <w:r w:rsidR="00914E3D" w:rsidRPr="30CA71A8">
        <w:rPr>
          <w:szCs w:val="24"/>
        </w:rPr>
        <w:t xml:space="preserve"> </w:t>
      </w:r>
      <w:r w:rsidRPr="30CA71A8">
        <w:rPr>
          <w:szCs w:val="24"/>
        </w:rPr>
        <w:t xml:space="preserve">Further decomposition in </w:t>
      </w:r>
      <w:r w:rsidR="00782FEB">
        <w:rPr>
          <w:szCs w:val="24"/>
        </w:rPr>
        <w:t>f</w:t>
      </w:r>
      <w:r w:rsidRPr="30CA71A8">
        <w:rPr>
          <w:szCs w:val="24"/>
        </w:rPr>
        <w:t>igure 20 (EVSE Risk Drivers) shows that Impact (I), Exposure (E), and Business/Systemic Consequence (B) consistently dominate the highest-ranked risks, while Detection (D) and Control Strength (C) remain weaker. This imbalance explains the recurrence of firmware tampering, controller privilege escalation, and grid-command interruption among top threats, confirming that exposure is anchored in firmware trust boundaries and grid-interaction interfaces capable of fleet-scale cyber–physical impact.</w:t>
      </w:r>
    </w:p>
    <w:p w14:paraId="25CDFF18" w14:textId="0D6974C5" w:rsidR="6C8C3278" w:rsidRDefault="6C8C3278" w:rsidP="085B0FE7">
      <w:pPr>
        <w:spacing w:after="160" w:line="257" w:lineRule="auto"/>
        <w:rPr>
          <w:rFonts w:asciiTheme="minorHAnsi" w:eastAsiaTheme="minorEastAsia" w:hAnsiTheme="minorHAnsi" w:cstheme="minorBidi"/>
        </w:rPr>
      </w:pPr>
      <w:r>
        <w:rPr>
          <w:noProof/>
        </w:rPr>
        <w:drawing>
          <wp:inline distT="0" distB="0" distL="0" distR="0" wp14:anchorId="0AC8B7BE" wp14:editId="18D5BDAB">
            <wp:extent cx="4497233" cy="2465665"/>
            <wp:effectExtent l="0" t="0" r="0" b="0"/>
            <wp:docPr id="1664881154" name="drawing" title="A graph of red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881154" name="Picture 1664881154"/>
                    <pic:cNvPicPr/>
                  </pic:nvPicPr>
                  <pic:blipFill>
                    <a:blip r:embed="rId35">
                      <a:extLst>
                        <a:ext uri="{28A0092B-C50C-407E-A947-70E740481C1C}">
                          <a14:useLocalDpi xmlns:a14="http://schemas.microsoft.com/office/drawing/2010/main"/>
                        </a:ext>
                      </a:extLst>
                    </a:blip>
                    <a:stretch>
                      <a:fillRect/>
                    </a:stretch>
                  </pic:blipFill>
                  <pic:spPr>
                    <a:xfrm>
                      <a:off x="0" y="0"/>
                      <a:ext cx="4508369" cy="2471770"/>
                    </a:xfrm>
                    <a:prstGeom prst="rect">
                      <a:avLst/>
                    </a:prstGeom>
                  </pic:spPr>
                </pic:pic>
              </a:graphicData>
            </a:graphic>
          </wp:inline>
        </w:drawing>
      </w:r>
    </w:p>
    <w:p w14:paraId="0B946033" w14:textId="52C3F386" w:rsidR="6C8C3278" w:rsidRDefault="00B95BE2" w:rsidP="00B95BE2">
      <w:pPr>
        <w:pStyle w:val="Caption"/>
        <w:rPr>
          <w:rFonts w:asciiTheme="minorHAnsi" w:eastAsiaTheme="minorEastAsia" w:hAnsiTheme="minorHAnsi" w:cstheme="minorBidi"/>
          <w:i/>
          <w:color w:val="0E2841"/>
          <w:szCs w:val="20"/>
          <w:lang w:val="en-GB"/>
        </w:rPr>
      </w:pPr>
      <w:bookmarkStart w:id="243" w:name="_Toc233112224"/>
      <w:r>
        <w:t xml:space="preserve">Figure </w:t>
      </w:r>
      <w:r w:rsidR="00113348">
        <w:fldChar w:fldCharType="begin"/>
      </w:r>
      <w:r w:rsidR="00113348">
        <w:instrText xml:space="preserve"> SEQ Figure \* ARABIC </w:instrText>
      </w:r>
      <w:r w:rsidR="00113348">
        <w:fldChar w:fldCharType="separate"/>
      </w:r>
      <w:r w:rsidR="00F8092D">
        <w:rPr>
          <w:noProof/>
        </w:rPr>
        <w:t>18</w:t>
      </w:r>
      <w:r w:rsidR="00113348">
        <w:rPr>
          <w:noProof/>
        </w:rPr>
        <w:fldChar w:fldCharType="end"/>
      </w:r>
      <w:r>
        <w:t xml:space="preserve"> </w:t>
      </w:r>
      <w:r w:rsidR="6C8C3278" w:rsidRPr="30CA71A8">
        <w:rPr>
          <w:rFonts w:ascii="Aptos" w:eastAsia="Aptos" w:hAnsi="Aptos" w:cs="Aptos"/>
          <w:i/>
          <w:color w:val="0E2841"/>
          <w:szCs w:val="20"/>
          <w:lang w:val="en-GB"/>
        </w:rPr>
        <w:t>: Top 10 Threats</w:t>
      </w:r>
      <w:bookmarkEnd w:id="243"/>
    </w:p>
    <w:p w14:paraId="1D890D84" w14:textId="618990A2" w:rsidR="00127D56" w:rsidRDefault="6C8C3278" w:rsidP="00E13EFC">
      <w:pPr>
        <w:spacing w:after="160" w:line="257" w:lineRule="auto"/>
        <w:rPr>
          <w:rFonts w:asciiTheme="minorHAnsi" w:eastAsiaTheme="minorEastAsia" w:hAnsiTheme="minorHAnsi" w:cstheme="minorBidi"/>
        </w:rPr>
      </w:pPr>
      <w:r>
        <w:rPr>
          <w:noProof/>
        </w:rPr>
        <w:drawing>
          <wp:inline distT="0" distB="0" distL="0" distR="0" wp14:anchorId="463AA2A2" wp14:editId="4786B431">
            <wp:extent cx="4279900" cy="2837815"/>
            <wp:effectExtent l="0" t="0" r="6350" b="635"/>
            <wp:docPr id="1202144655" name="drawing" title="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144655" name="Picture 1202144655"/>
                    <pic:cNvPicPr/>
                  </pic:nvPicPr>
                  <pic:blipFill>
                    <a:blip r:embed="rId36">
                      <a:extLst>
                        <a:ext uri="{28A0092B-C50C-407E-A947-70E740481C1C}">
                          <a14:useLocalDpi xmlns:a14="http://schemas.microsoft.com/office/drawing/2010/main"/>
                        </a:ext>
                      </a:extLst>
                    </a:blip>
                    <a:stretch>
                      <a:fillRect/>
                    </a:stretch>
                  </pic:blipFill>
                  <pic:spPr>
                    <a:xfrm>
                      <a:off x="0" y="0"/>
                      <a:ext cx="4287524" cy="2842870"/>
                    </a:xfrm>
                    <a:prstGeom prst="rect">
                      <a:avLst/>
                    </a:prstGeom>
                  </pic:spPr>
                </pic:pic>
              </a:graphicData>
            </a:graphic>
          </wp:inline>
        </w:drawing>
      </w:r>
    </w:p>
    <w:p w14:paraId="1F405FF8" w14:textId="5233DC7C" w:rsidR="00127D56" w:rsidRDefault="00B95BE2" w:rsidP="00B95BE2">
      <w:pPr>
        <w:pStyle w:val="Caption"/>
        <w:rPr>
          <w:rFonts w:asciiTheme="minorHAnsi" w:eastAsiaTheme="minorEastAsia" w:hAnsiTheme="minorHAnsi" w:cstheme="minorBidi"/>
          <w:i/>
          <w:color w:val="0E2841"/>
          <w:szCs w:val="20"/>
          <w:lang w:val="en-GB"/>
        </w:rPr>
      </w:pPr>
      <w:bookmarkStart w:id="244" w:name="_Toc233112225"/>
      <w:r>
        <w:t xml:space="preserve">Figure </w:t>
      </w:r>
      <w:r w:rsidR="00113348">
        <w:fldChar w:fldCharType="begin"/>
      </w:r>
      <w:r w:rsidR="00113348">
        <w:instrText xml:space="preserve"> SEQ Figure \* ARABIC </w:instrText>
      </w:r>
      <w:r w:rsidR="00113348">
        <w:fldChar w:fldCharType="separate"/>
      </w:r>
      <w:r w:rsidR="00F8092D">
        <w:rPr>
          <w:noProof/>
        </w:rPr>
        <w:t>19</w:t>
      </w:r>
      <w:r w:rsidR="00113348">
        <w:rPr>
          <w:noProof/>
        </w:rPr>
        <w:fldChar w:fldCharType="end"/>
      </w:r>
      <w:r w:rsidR="00127D56" w:rsidRPr="30CA71A8">
        <w:rPr>
          <w:rFonts w:ascii="Aptos" w:eastAsia="Aptos" w:hAnsi="Aptos" w:cs="Aptos"/>
          <w:i/>
          <w:color w:val="0E2841"/>
          <w:szCs w:val="20"/>
          <w:lang w:val="en-GB"/>
        </w:rPr>
        <w:t xml:space="preserve">: </w:t>
      </w:r>
      <w:r w:rsidR="00FD027D" w:rsidRPr="30CA71A8">
        <w:rPr>
          <w:rFonts w:ascii="Aptos" w:eastAsia="Aptos" w:hAnsi="Aptos" w:cs="Aptos"/>
          <w:i/>
          <w:color w:val="0E2841"/>
          <w:szCs w:val="20"/>
          <w:lang w:val="en-GB"/>
        </w:rPr>
        <w:t>Comparison of Inherent vs Residual Risks</w:t>
      </w:r>
      <w:bookmarkEnd w:id="244"/>
    </w:p>
    <w:p w14:paraId="72BC8C21" w14:textId="1208FDA3" w:rsidR="00127D56" w:rsidRDefault="00127D56" w:rsidP="0522E753">
      <w:pPr>
        <w:pStyle w:val="BodyText"/>
        <w:jc w:val="both"/>
        <w:rPr>
          <w:rFonts w:asciiTheme="minorHAnsi" w:eastAsiaTheme="minorEastAsia" w:hAnsiTheme="minorHAnsi" w:cstheme="minorBidi"/>
          <w:sz w:val="22"/>
        </w:rPr>
      </w:pPr>
    </w:p>
    <w:p w14:paraId="170B6A2D" w14:textId="273654DA" w:rsidR="55D6786F" w:rsidRDefault="55D6786F" w:rsidP="00E13EFC">
      <w:pPr>
        <w:spacing w:after="160" w:line="257" w:lineRule="auto"/>
        <w:rPr>
          <w:rFonts w:asciiTheme="minorHAnsi" w:eastAsiaTheme="minorEastAsia" w:hAnsiTheme="minorHAnsi" w:cstheme="minorBidi"/>
        </w:rPr>
      </w:pPr>
      <w:r>
        <w:rPr>
          <w:noProof/>
        </w:rPr>
        <w:drawing>
          <wp:inline distT="0" distB="0" distL="0" distR="0" wp14:anchorId="0656EDA2" wp14:editId="448F4ECA">
            <wp:extent cx="4940300" cy="2782570"/>
            <wp:effectExtent l="0" t="0" r="0" b="0"/>
            <wp:docPr id="739787634" name="drawing" title="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787634" name="Picture 739787634"/>
                    <pic:cNvPicPr/>
                  </pic:nvPicPr>
                  <pic:blipFill>
                    <a:blip r:embed="rId37">
                      <a:extLst>
                        <a:ext uri="{28A0092B-C50C-407E-A947-70E740481C1C}">
                          <a14:useLocalDpi xmlns:a14="http://schemas.microsoft.com/office/drawing/2010/main"/>
                        </a:ext>
                      </a:extLst>
                    </a:blip>
                    <a:stretch>
                      <a:fillRect/>
                    </a:stretch>
                  </pic:blipFill>
                  <pic:spPr>
                    <a:xfrm>
                      <a:off x="0" y="0"/>
                      <a:ext cx="4942738" cy="2783943"/>
                    </a:xfrm>
                    <a:prstGeom prst="rect">
                      <a:avLst/>
                    </a:prstGeom>
                  </pic:spPr>
                </pic:pic>
              </a:graphicData>
            </a:graphic>
          </wp:inline>
        </w:drawing>
      </w:r>
    </w:p>
    <w:p w14:paraId="0B72D750" w14:textId="608E6BEB" w:rsidR="55D6786F" w:rsidRDefault="00B95BE2" w:rsidP="00B95BE2">
      <w:pPr>
        <w:pStyle w:val="Caption"/>
        <w:rPr>
          <w:rFonts w:asciiTheme="minorHAnsi" w:eastAsiaTheme="minorEastAsia" w:hAnsiTheme="minorHAnsi" w:cstheme="minorBidi"/>
          <w:i/>
          <w:color w:val="0E2841"/>
          <w:szCs w:val="20"/>
          <w:lang w:val="en-GB"/>
        </w:rPr>
      </w:pPr>
      <w:bookmarkStart w:id="245" w:name="_Toc233112226"/>
      <w:r>
        <w:t xml:space="preserve">Figure </w:t>
      </w:r>
      <w:r w:rsidR="00113348">
        <w:fldChar w:fldCharType="begin"/>
      </w:r>
      <w:r w:rsidR="00113348">
        <w:instrText xml:space="preserve"> SEQ Figure \* ARABIC </w:instrText>
      </w:r>
      <w:r w:rsidR="00113348">
        <w:fldChar w:fldCharType="separate"/>
      </w:r>
      <w:r w:rsidR="00F8092D">
        <w:rPr>
          <w:noProof/>
        </w:rPr>
        <w:t>20</w:t>
      </w:r>
      <w:r w:rsidR="00113348">
        <w:rPr>
          <w:noProof/>
        </w:rPr>
        <w:fldChar w:fldCharType="end"/>
      </w:r>
      <w:r w:rsidR="55D6786F" w:rsidRPr="30CA71A8">
        <w:rPr>
          <w:rFonts w:ascii="Aptos" w:eastAsia="Aptos" w:hAnsi="Aptos" w:cs="Aptos"/>
          <w:i/>
          <w:color w:val="0E2841"/>
          <w:szCs w:val="20"/>
          <w:lang w:val="en-GB"/>
        </w:rPr>
        <w:t>: EVSE Risk Drivers</w:t>
      </w:r>
      <w:bookmarkEnd w:id="245"/>
    </w:p>
    <w:p w14:paraId="6AB7C33F" w14:textId="23195571" w:rsidR="0522E753" w:rsidRDefault="0522E753" w:rsidP="0522E753">
      <w:pPr>
        <w:pStyle w:val="BodyText"/>
        <w:jc w:val="both"/>
        <w:rPr>
          <w:rFonts w:asciiTheme="minorHAnsi" w:eastAsiaTheme="minorEastAsia" w:hAnsiTheme="minorHAnsi" w:cstheme="minorBidi"/>
          <w:sz w:val="22"/>
        </w:rPr>
      </w:pPr>
    </w:p>
    <w:p w14:paraId="3E3650E1" w14:textId="017622D7" w:rsidR="00A40550" w:rsidRPr="007E77D7" w:rsidRDefault="00A40550" w:rsidP="007E77D7">
      <w:pPr>
        <w:pStyle w:val="Heading2"/>
        <w:rPr>
          <w:rFonts w:asciiTheme="minorHAnsi" w:eastAsiaTheme="minorEastAsia" w:hAnsiTheme="minorHAnsi" w:cstheme="minorBidi"/>
          <w:b/>
        </w:rPr>
      </w:pPr>
      <w:bookmarkStart w:id="246" w:name="_Toc233106302"/>
      <w:bookmarkStart w:id="247" w:name="_Toc233106387"/>
      <w:bookmarkStart w:id="248" w:name="_Toc233111957"/>
      <w:bookmarkStart w:id="249" w:name="_Toc223022379"/>
      <w:bookmarkStart w:id="250" w:name="_Toc234310807"/>
      <w:bookmarkEnd w:id="246"/>
      <w:bookmarkEnd w:id="247"/>
      <w:bookmarkEnd w:id="248"/>
      <w:r w:rsidRPr="007E77D7">
        <w:rPr>
          <w:b/>
          <w:bCs w:val="0"/>
        </w:rPr>
        <w:t>TSM Reference Architecture</w:t>
      </w:r>
      <w:bookmarkEnd w:id="249"/>
      <w:bookmarkEnd w:id="250"/>
    </w:p>
    <w:p w14:paraId="7DD3B1F4" w14:textId="1D01B60E" w:rsidR="00047C30" w:rsidRPr="001236A0" w:rsidRDefault="00A40550" w:rsidP="00A40550">
      <w:pPr>
        <w:pStyle w:val="BodyText"/>
        <w:rPr>
          <w:rFonts w:asciiTheme="minorHAnsi" w:eastAsiaTheme="minorEastAsia" w:hAnsiTheme="minorHAnsi" w:cstheme="minorBidi"/>
        </w:rPr>
      </w:pPr>
      <w:r w:rsidRPr="7FDC4A5C">
        <w:rPr>
          <w:szCs w:val="24"/>
        </w:rPr>
        <w:t xml:space="preserve">This section presents the TSM Reference Architecture, its structural composition, integration into the </w:t>
      </w:r>
      <w:r w:rsidR="007E77D7" w:rsidRPr="7FDC4A5C">
        <w:rPr>
          <w:szCs w:val="24"/>
        </w:rPr>
        <w:t>co-simulation platform</w:t>
      </w:r>
      <w:r w:rsidRPr="7FDC4A5C">
        <w:rPr>
          <w:szCs w:val="24"/>
        </w:rPr>
        <w:t>, and enforcement guarantees. The focus is on architectural design validity rather than empirical performance outcomes.</w:t>
      </w:r>
    </w:p>
    <w:p w14:paraId="3454FC11" w14:textId="54D6B9EC" w:rsidR="001236A0" w:rsidRDefault="001236A0" w:rsidP="001236A0">
      <w:pPr>
        <w:pStyle w:val="Heading3"/>
        <w:rPr>
          <w:rFonts w:asciiTheme="minorHAnsi" w:eastAsiaTheme="minorEastAsia" w:hAnsiTheme="minorHAnsi" w:cstheme="minorBidi"/>
        </w:rPr>
      </w:pPr>
      <w:bookmarkStart w:id="251" w:name="_Toc234310808"/>
      <w:r>
        <w:t>Architectural Design Realisation</w:t>
      </w:r>
      <w:bookmarkEnd w:id="251"/>
    </w:p>
    <w:p w14:paraId="42078ED3" w14:textId="4816137A" w:rsidR="007E77D7" w:rsidRDefault="001236A0" w:rsidP="7FDC4A5C">
      <w:pPr>
        <w:pStyle w:val="BodyText"/>
        <w:jc w:val="both"/>
        <w:rPr>
          <w:rFonts w:asciiTheme="minorHAnsi" w:eastAsiaTheme="minorEastAsia" w:hAnsiTheme="minorHAnsi" w:cstheme="minorBidi"/>
        </w:rPr>
      </w:pPr>
      <w:r w:rsidRPr="7FDC4A5C">
        <w:rPr>
          <w:szCs w:val="24"/>
        </w:rPr>
        <w:t>The TSM Reference Architecture was realised as a dual-domain security model separating externally exposed EVSE components from safety-critical control logic. The design formalises trust boundaries, defines enforcement responsibilities, and embeds functional requirements directly into architectural components rather than post-deployment controls.</w:t>
      </w:r>
      <w:r w:rsidR="00B8053A" w:rsidRPr="7FDC4A5C">
        <w:rPr>
          <w:szCs w:val="24"/>
        </w:rPr>
        <w:t xml:space="preserve"> The </w:t>
      </w:r>
      <w:r w:rsidR="32AAEBE7" w:rsidRPr="7FDC4A5C">
        <w:rPr>
          <w:szCs w:val="24"/>
        </w:rPr>
        <w:t>T</w:t>
      </w:r>
      <w:r w:rsidR="00B8053A" w:rsidRPr="7FDC4A5C">
        <w:rPr>
          <w:szCs w:val="24"/>
        </w:rPr>
        <w:t xml:space="preserve">able </w:t>
      </w:r>
      <w:r w:rsidR="5231A0FC" w:rsidRPr="7FDC4A5C">
        <w:rPr>
          <w:szCs w:val="24"/>
        </w:rPr>
        <w:t>9</w:t>
      </w:r>
      <w:r w:rsidR="00B8053A" w:rsidRPr="7FDC4A5C">
        <w:rPr>
          <w:szCs w:val="24"/>
        </w:rPr>
        <w:t xml:space="preserve"> below presents core TSM components with their functions. </w:t>
      </w:r>
    </w:p>
    <w:p w14:paraId="647D7A15" w14:textId="29BBBCA6" w:rsidR="2D0C86D4" w:rsidRDefault="00946632" w:rsidP="00946632">
      <w:pPr>
        <w:pStyle w:val="Caption"/>
        <w:rPr>
          <w:rFonts w:asciiTheme="minorHAnsi" w:eastAsiaTheme="minorEastAsia" w:hAnsiTheme="minorHAnsi" w:cstheme="minorBidi"/>
        </w:rPr>
      </w:pPr>
      <w:bookmarkStart w:id="252" w:name="_Toc233112263"/>
      <w:r>
        <w:t xml:space="preserve">Table </w:t>
      </w:r>
      <w:r w:rsidR="00113348">
        <w:fldChar w:fldCharType="begin"/>
      </w:r>
      <w:r w:rsidR="00113348">
        <w:instrText xml:space="preserve"> SEQ Table \* ARABIC </w:instrText>
      </w:r>
      <w:r w:rsidR="00113348">
        <w:fldChar w:fldCharType="separate"/>
      </w:r>
      <w:r w:rsidR="00F8092D">
        <w:rPr>
          <w:noProof/>
        </w:rPr>
        <w:t>9</w:t>
      </w:r>
      <w:r w:rsidR="00113348">
        <w:rPr>
          <w:noProof/>
        </w:rPr>
        <w:fldChar w:fldCharType="end"/>
      </w:r>
      <w:r w:rsidR="2D0C86D4" w:rsidRPr="005B49F1">
        <w:t>: Core Architectural Components and Functional Alignment</w:t>
      </w:r>
      <w:bookmarkEnd w:id="252"/>
    </w:p>
    <w:tbl>
      <w:tblPr>
        <w:tblStyle w:val="TableCSIRO"/>
        <w:tblW w:w="0" w:type="auto"/>
        <w:tblLook w:val="04A0" w:firstRow="1" w:lastRow="0" w:firstColumn="1" w:lastColumn="0" w:noHBand="0" w:noVBand="1"/>
      </w:tblPr>
      <w:tblGrid>
        <w:gridCol w:w="2198"/>
        <w:gridCol w:w="757"/>
        <w:gridCol w:w="2767"/>
        <w:gridCol w:w="1041"/>
        <w:gridCol w:w="2762"/>
      </w:tblGrid>
      <w:tr w:rsidR="002F6F02" w:rsidRPr="00800B86" w14:paraId="7E4B7BB0" w14:textId="77777777" w:rsidTr="00800B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49A0DD" w14:textId="77777777" w:rsidR="00800B86" w:rsidRPr="00800B86" w:rsidRDefault="00800B86" w:rsidP="00800B86">
            <w:pPr>
              <w:pStyle w:val="BodyText"/>
              <w:spacing w:before="0" w:after="0"/>
              <w:rPr>
                <w:rFonts w:asciiTheme="minorHAnsi" w:eastAsiaTheme="minorEastAsia" w:hAnsiTheme="minorHAnsi" w:cstheme="minorBidi"/>
                <w:color w:val="FFFFFF" w:themeColor="background1"/>
                <w:sz w:val="18"/>
                <w:szCs w:val="18"/>
              </w:rPr>
            </w:pPr>
            <w:r w:rsidRPr="3C9E86E5">
              <w:rPr>
                <w:rFonts w:asciiTheme="minorHAnsi" w:eastAsiaTheme="minorEastAsia" w:hAnsiTheme="minorHAnsi" w:cstheme="minorBidi"/>
                <w:color w:val="FFFFFF" w:themeColor="background2"/>
                <w:sz w:val="18"/>
                <w:szCs w:val="18"/>
              </w:rPr>
              <w:t>Component</w:t>
            </w:r>
          </w:p>
        </w:tc>
        <w:tc>
          <w:tcPr>
            <w:tcW w:w="0" w:type="auto"/>
            <w:hideMark/>
          </w:tcPr>
          <w:p w14:paraId="05AD1F65" w14:textId="77777777" w:rsidR="00800B86" w:rsidRPr="00800B86" w:rsidRDefault="00800B86" w:rsidP="00800B86">
            <w:pPr>
              <w:pStyle w:val="BodyText"/>
              <w:spacing w:before="0" w:after="0"/>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1"/>
                <w:sz w:val="18"/>
                <w:szCs w:val="18"/>
              </w:rPr>
            </w:pPr>
            <w:r w:rsidRPr="3C9E86E5">
              <w:rPr>
                <w:rFonts w:asciiTheme="minorHAnsi" w:eastAsiaTheme="minorEastAsia" w:hAnsiTheme="minorHAnsi" w:cstheme="minorBidi"/>
                <w:color w:val="FFFFFF" w:themeColor="background2"/>
                <w:sz w:val="18"/>
                <w:szCs w:val="18"/>
              </w:rPr>
              <w:t>Domain</w:t>
            </w:r>
          </w:p>
        </w:tc>
        <w:tc>
          <w:tcPr>
            <w:tcW w:w="0" w:type="auto"/>
            <w:hideMark/>
          </w:tcPr>
          <w:p w14:paraId="5D9A28C0" w14:textId="77777777" w:rsidR="00800B86" w:rsidRPr="00800B86" w:rsidRDefault="00800B86" w:rsidP="00800B86">
            <w:pPr>
              <w:pStyle w:val="BodyText"/>
              <w:spacing w:before="0" w:after="0"/>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1"/>
                <w:sz w:val="18"/>
                <w:szCs w:val="18"/>
              </w:rPr>
            </w:pPr>
            <w:r w:rsidRPr="3C9E86E5">
              <w:rPr>
                <w:rFonts w:asciiTheme="minorHAnsi" w:eastAsiaTheme="minorEastAsia" w:hAnsiTheme="minorHAnsi" w:cstheme="minorBidi"/>
                <w:color w:val="FFFFFF" w:themeColor="background2"/>
                <w:sz w:val="18"/>
                <w:szCs w:val="18"/>
              </w:rPr>
              <w:t>Architectural Role</w:t>
            </w:r>
          </w:p>
        </w:tc>
        <w:tc>
          <w:tcPr>
            <w:tcW w:w="0" w:type="auto"/>
            <w:hideMark/>
          </w:tcPr>
          <w:p w14:paraId="7E1A3D64" w14:textId="77777777" w:rsidR="00800B86" w:rsidRPr="00800B86" w:rsidRDefault="00800B86" w:rsidP="00800B86">
            <w:pPr>
              <w:pStyle w:val="BodyText"/>
              <w:spacing w:before="0" w:after="0"/>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1"/>
                <w:sz w:val="18"/>
                <w:szCs w:val="18"/>
              </w:rPr>
            </w:pPr>
            <w:r w:rsidRPr="3C9E86E5">
              <w:rPr>
                <w:rFonts w:asciiTheme="minorHAnsi" w:eastAsiaTheme="minorEastAsia" w:hAnsiTheme="minorHAnsi" w:cstheme="minorBidi"/>
                <w:color w:val="FFFFFF" w:themeColor="background2"/>
                <w:sz w:val="18"/>
                <w:szCs w:val="18"/>
              </w:rPr>
              <w:t>Enforced FRs</w:t>
            </w:r>
          </w:p>
        </w:tc>
        <w:tc>
          <w:tcPr>
            <w:tcW w:w="0" w:type="auto"/>
            <w:hideMark/>
          </w:tcPr>
          <w:p w14:paraId="4FB217E5" w14:textId="77777777" w:rsidR="00800B86" w:rsidRPr="00800B86" w:rsidRDefault="00800B86" w:rsidP="00800B86">
            <w:pPr>
              <w:pStyle w:val="BodyText"/>
              <w:spacing w:before="0" w:after="0"/>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1"/>
                <w:sz w:val="18"/>
                <w:szCs w:val="18"/>
              </w:rPr>
            </w:pPr>
            <w:r w:rsidRPr="3C9E86E5">
              <w:rPr>
                <w:rFonts w:asciiTheme="minorHAnsi" w:eastAsiaTheme="minorEastAsia" w:hAnsiTheme="minorHAnsi" w:cstheme="minorBidi"/>
                <w:color w:val="FFFFFF" w:themeColor="background2"/>
                <w:sz w:val="18"/>
                <w:szCs w:val="18"/>
              </w:rPr>
              <w:t>Trust Boundary Responsibility</w:t>
            </w:r>
          </w:p>
        </w:tc>
      </w:tr>
      <w:tr w:rsidR="002F6F02" w:rsidRPr="00800B86" w14:paraId="639EDD7E" w14:textId="77777777" w:rsidTr="00800B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0D5046D" w14:textId="77777777" w:rsidR="00800B86" w:rsidRPr="00800B86" w:rsidRDefault="00800B86" w:rsidP="00800B86">
            <w:pPr>
              <w:pStyle w:val="BodyText"/>
              <w:spacing w:before="0" w:after="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TSM Core Monitor</w:t>
            </w:r>
          </w:p>
        </w:tc>
        <w:tc>
          <w:tcPr>
            <w:tcW w:w="0" w:type="auto"/>
            <w:hideMark/>
          </w:tcPr>
          <w:p w14:paraId="77179C3E" w14:textId="77777777" w:rsidR="00800B86" w:rsidRPr="00800B86" w:rsidRDefault="00800B86" w:rsidP="00800B86">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HID</w:t>
            </w:r>
          </w:p>
        </w:tc>
        <w:tc>
          <w:tcPr>
            <w:tcW w:w="0" w:type="auto"/>
            <w:hideMark/>
          </w:tcPr>
          <w:p w14:paraId="5FD1DDC6" w14:textId="77777777" w:rsidR="00800B86" w:rsidRPr="00800B86" w:rsidRDefault="00800B86" w:rsidP="00800B86">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Central mediation controller</w:t>
            </w:r>
          </w:p>
        </w:tc>
        <w:tc>
          <w:tcPr>
            <w:tcW w:w="0" w:type="auto"/>
            <w:hideMark/>
          </w:tcPr>
          <w:p w14:paraId="1135DA76" w14:textId="77777777" w:rsidR="00800B86" w:rsidRPr="00800B86" w:rsidRDefault="00800B86" w:rsidP="00800B86">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FR-1</w:t>
            </w:r>
          </w:p>
        </w:tc>
        <w:tc>
          <w:tcPr>
            <w:tcW w:w="0" w:type="auto"/>
            <w:hideMark/>
          </w:tcPr>
          <w:p w14:paraId="5A0A9910" w14:textId="77777777" w:rsidR="00800B86" w:rsidRPr="00800B86" w:rsidRDefault="00800B86" w:rsidP="00800B86">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Complete mediation of privileged operations</w:t>
            </w:r>
          </w:p>
        </w:tc>
      </w:tr>
      <w:tr w:rsidR="00800B86" w:rsidRPr="00800B86" w14:paraId="3D73EEBA" w14:textId="77777777" w:rsidTr="00800B86">
        <w:tc>
          <w:tcPr>
            <w:cnfStyle w:val="001000000000" w:firstRow="0" w:lastRow="0" w:firstColumn="1" w:lastColumn="0" w:oddVBand="0" w:evenVBand="0" w:oddHBand="0" w:evenHBand="0" w:firstRowFirstColumn="0" w:firstRowLastColumn="0" w:lastRowFirstColumn="0" w:lastRowLastColumn="0"/>
            <w:tcW w:w="0" w:type="auto"/>
            <w:hideMark/>
          </w:tcPr>
          <w:p w14:paraId="60A40D14" w14:textId="77777777" w:rsidR="00800B86" w:rsidRPr="00800B86" w:rsidRDefault="00800B86" w:rsidP="00800B86">
            <w:pPr>
              <w:pStyle w:val="BodyText"/>
              <w:spacing w:before="0" w:after="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Policy Enforcement Engine</w:t>
            </w:r>
          </w:p>
        </w:tc>
        <w:tc>
          <w:tcPr>
            <w:tcW w:w="0" w:type="auto"/>
            <w:hideMark/>
          </w:tcPr>
          <w:p w14:paraId="10969E19" w14:textId="77777777" w:rsidR="00800B86" w:rsidRPr="00800B86" w:rsidRDefault="00800B86" w:rsidP="00800B86">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HID</w:t>
            </w:r>
          </w:p>
        </w:tc>
        <w:tc>
          <w:tcPr>
            <w:tcW w:w="0" w:type="auto"/>
            <w:hideMark/>
          </w:tcPr>
          <w:p w14:paraId="7D3BD2C9" w14:textId="77777777" w:rsidR="00800B86" w:rsidRPr="00800B86" w:rsidRDefault="00800B86" w:rsidP="00800B86">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Command validation &amp; constraint evaluation</w:t>
            </w:r>
          </w:p>
        </w:tc>
        <w:tc>
          <w:tcPr>
            <w:tcW w:w="0" w:type="auto"/>
            <w:hideMark/>
          </w:tcPr>
          <w:p w14:paraId="7B126193" w14:textId="77777777" w:rsidR="00800B86" w:rsidRPr="00800B86" w:rsidRDefault="00800B86" w:rsidP="00800B86">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FR-4</w:t>
            </w:r>
          </w:p>
        </w:tc>
        <w:tc>
          <w:tcPr>
            <w:tcW w:w="0" w:type="auto"/>
            <w:hideMark/>
          </w:tcPr>
          <w:p w14:paraId="0B364EA6" w14:textId="77777777" w:rsidR="00800B86" w:rsidRPr="00800B86" w:rsidRDefault="00800B86" w:rsidP="00800B86">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Grid-command policy compliance</w:t>
            </w:r>
          </w:p>
        </w:tc>
      </w:tr>
      <w:tr w:rsidR="002F6F02" w:rsidRPr="00800B86" w14:paraId="46E5C640" w14:textId="77777777" w:rsidTr="00800B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9A26CB" w14:textId="77777777" w:rsidR="00800B86" w:rsidRPr="00800B86" w:rsidRDefault="00800B86" w:rsidP="00800B86">
            <w:pPr>
              <w:pStyle w:val="BodyText"/>
              <w:spacing w:before="0" w:after="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Cryptographic Validation Engine</w:t>
            </w:r>
          </w:p>
        </w:tc>
        <w:tc>
          <w:tcPr>
            <w:tcW w:w="0" w:type="auto"/>
            <w:hideMark/>
          </w:tcPr>
          <w:p w14:paraId="6BCF0FB0" w14:textId="77777777" w:rsidR="00800B86" w:rsidRPr="00800B86" w:rsidRDefault="00800B86" w:rsidP="00800B86">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HID</w:t>
            </w:r>
          </w:p>
        </w:tc>
        <w:tc>
          <w:tcPr>
            <w:tcW w:w="0" w:type="auto"/>
            <w:hideMark/>
          </w:tcPr>
          <w:p w14:paraId="0199B9E5" w14:textId="77777777" w:rsidR="00800B86" w:rsidRPr="00800B86" w:rsidRDefault="00800B86" w:rsidP="00800B86">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Firmware authentication &amp; integrity checks</w:t>
            </w:r>
          </w:p>
        </w:tc>
        <w:tc>
          <w:tcPr>
            <w:tcW w:w="0" w:type="auto"/>
            <w:hideMark/>
          </w:tcPr>
          <w:p w14:paraId="017D297D" w14:textId="77777777" w:rsidR="00800B86" w:rsidRPr="00800B86" w:rsidRDefault="00800B86" w:rsidP="00800B86">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FR-2</w:t>
            </w:r>
          </w:p>
        </w:tc>
        <w:tc>
          <w:tcPr>
            <w:tcW w:w="0" w:type="auto"/>
            <w:hideMark/>
          </w:tcPr>
          <w:p w14:paraId="39AD42BB" w14:textId="77777777" w:rsidR="00800B86" w:rsidRPr="00800B86" w:rsidRDefault="00800B86" w:rsidP="00800B86">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Firmware trust anchoring</w:t>
            </w:r>
          </w:p>
        </w:tc>
      </w:tr>
      <w:tr w:rsidR="00800B86" w:rsidRPr="00800B86" w14:paraId="580D4943" w14:textId="77777777" w:rsidTr="00800B86">
        <w:tc>
          <w:tcPr>
            <w:cnfStyle w:val="001000000000" w:firstRow="0" w:lastRow="0" w:firstColumn="1" w:lastColumn="0" w:oddVBand="0" w:evenVBand="0" w:oddHBand="0" w:evenHBand="0" w:firstRowFirstColumn="0" w:firstRowLastColumn="0" w:lastRowFirstColumn="0" w:lastRowLastColumn="0"/>
            <w:tcW w:w="0" w:type="auto"/>
            <w:hideMark/>
          </w:tcPr>
          <w:p w14:paraId="77F36D53" w14:textId="77777777" w:rsidR="00800B86" w:rsidRPr="00800B86" w:rsidRDefault="00800B86" w:rsidP="00800B86">
            <w:pPr>
              <w:pStyle w:val="BodyText"/>
              <w:spacing w:before="0" w:after="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Firmware Admission Manager</w:t>
            </w:r>
          </w:p>
        </w:tc>
        <w:tc>
          <w:tcPr>
            <w:tcW w:w="0" w:type="auto"/>
            <w:hideMark/>
          </w:tcPr>
          <w:p w14:paraId="50B5EE74" w14:textId="77777777" w:rsidR="00800B86" w:rsidRPr="00800B86" w:rsidRDefault="00800B86" w:rsidP="00800B86">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HID</w:t>
            </w:r>
          </w:p>
        </w:tc>
        <w:tc>
          <w:tcPr>
            <w:tcW w:w="0" w:type="auto"/>
            <w:hideMark/>
          </w:tcPr>
          <w:p w14:paraId="6E89C828" w14:textId="77777777" w:rsidR="00800B86" w:rsidRPr="00800B86" w:rsidRDefault="00800B86" w:rsidP="00800B86">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OTA lifecycle control</w:t>
            </w:r>
          </w:p>
        </w:tc>
        <w:tc>
          <w:tcPr>
            <w:tcW w:w="0" w:type="auto"/>
            <w:hideMark/>
          </w:tcPr>
          <w:p w14:paraId="36D09593" w14:textId="77777777" w:rsidR="00800B86" w:rsidRPr="00800B86" w:rsidRDefault="00800B86" w:rsidP="00800B86">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FR-2, FR-3</w:t>
            </w:r>
          </w:p>
        </w:tc>
        <w:tc>
          <w:tcPr>
            <w:tcW w:w="0" w:type="auto"/>
            <w:hideMark/>
          </w:tcPr>
          <w:p w14:paraId="7B0709BB" w14:textId="77777777" w:rsidR="00800B86" w:rsidRPr="00800B86" w:rsidRDefault="00800B86" w:rsidP="00800B86">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Update-path authorisation</w:t>
            </w:r>
          </w:p>
        </w:tc>
      </w:tr>
      <w:tr w:rsidR="002F6F02" w:rsidRPr="00800B86" w14:paraId="0B2090B2" w14:textId="77777777" w:rsidTr="00800B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C072C6" w14:textId="77777777" w:rsidR="00800B86" w:rsidRPr="00800B86" w:rsidRDefault="00800B86" w:rsidP="00800B86">
            <w:pPr>
              <w:pStyle w:val="BodyText"/>
              <w:spacing w:before="0" w:after="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Secure Storage Module</w:t>
            </w:r>
          </w:p>
        </w:tc>
        <w:tc>
          <w:tcPr>
            <w:tcW w:w="0" w:type="auto"/>
            <w:hideMark/>
          </w:tcPr>
          <w:p w14:paraId="41FFCAD4" w14:textId="77777777" w:rsidR="00800B86" w:rsidRPr="00800B86" w:rsidRDefault="00800B86" w:rsidP="00800B86">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HID</w:t>
            </w:r>
          </w:p>
        </w:tc>
        <w:tc>
          <w:tcPr>
            <w:tcW w:w="0" w:type="auto"/>
            <w:hideMark/>
          </w:tcPr>
          <w:p w14:paraId="0D150A00" w14:textId="77777777" w:rsidR="00800B86" w:rsidRPr="00800B86" w:rsidRDefault="00800B86" w:rsidP="00800B86">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Policy, key &amp; log integrity</w:t>
            </w:r>
          </w:p>
        </w:tc>
        <w:tc>
          <w:tcPr>
            <w:tcW w:w="0" w:type="auto"/>
            <w:hideMark/>
          </w:tcPr>
          <w:p w14:paraId="7B2D5373" w14:textId="77777777" w:rsidR="00800B86" w:rsidRPr="00800B86" w:rsidRDefault="00800B86" w:rsidP="00800B86">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FR-6</w:t>
            </w:r>
          </w:p>
        </w:tc>
        <w:tc>
          <w:tcPr>
            <w:tcW w:w="0" w:type="auto"/>
            <w:hideMark/>
          </w:tcPr>
          <w:p w14:paraId="14E75E7D" w14:textId="77777777" w:rsidR="00800B86" w:rsidRPr="00800B86" w:rsidRDefault="00800B86" w:rsidP="00800B86">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Trust anchor persistence</w:t>
            </w:r>
          </w:p>
        </w:tc>
      </w:tr>
      <w:tr w:rsidR="00800B86" w:rsidRPr="00800B86" w14:paraId="0FAB49F8" w14:textId="77777777" w:rsidTr="00800B86">
        <w:tc>
          <w:tcPr>
            <w:cnfStyle w:val="001000000000" w:firstRow="0" w:lastRow="0" w:firstColumn="1" w:lastColumn="0" w:oddVBand="0" w:evenVBand="0" w:oddHBand="0" w:evenHBand="0" w:firstRowFirstColumn="0" w:firstRowLastColumn="0" w:lastRowFirstColumn="0" w:lastRowLastColumn="0"/>
            <w:tcW w:w="0" w:type="auto"/>
            <w:hideMark/>
          </w:tcPr>
          <w:p w14:paraId="7B5BA160" w14:textId="77777777" w:rsidR="00800B86" w:rsidRPr="00800B86" w:rsidRDefault="00800B86" w:rsidP="00800B86">
            <w:pPr>
              <w:pStyle w:val="BodyText"/>
              <w:spacing w:before="0" w:after="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Hardware Interface Controller</w:t>
            </w:r>
          </w:p>
        </w:tc>
        <w:tc>
          <w:tcPr>
            <w:tcW w:w="0" w:type="auto"/>
            <w:hideMark/>
          </w:tcPr>
          <w:p w14:paraId="054AE03B" w14:textId="77777777" w:rsidR="00800B86" w:rsidRPr="00800B86" w:rsidRDefault="00800B86" w:rsidP="00800B86">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HID</w:t>
            </w:r>
          </w:p>
        </w:tc>
        <w:tc>
          <w:tcPr>
            <w:tcW w:w="0" w:type="auto"/>
            <w:hideMark/>
          </w:tcPr>
          <w:p w14:paraId="2488F0C1" w14:textId="77777777" w:rsidR="00800B86" w:rsidRPr="00800B86" w:rsidRDefault="00800B86" w:rsidP="00800B86">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Actuator signal gating</w:t>
            </w:r>
          </w:p>
        </w:tc>
        <w:tc>
          <w:tcPr>
            <w:tcW w:w="0" w:type="auto"/>
            <w:hideMark/>
          </w:tcPr>
          <w:p w14:paraId="3488F43B" w14:textId="77777777" w:rsidR="00800B86" w:rsidRPr="00800B86" w:rsidRDefault="00800B86" w:rsidP="00800B86">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FR-5</w:t>
            </w:r>
          </w:p>
        </w:tc>
        <w:tc>
          <w:tcPr>
            <w:tcW w:w="0" w:type="auto"/>
            <w:hideMark/>
          </w:tcPr>
          <w:p w14:paraId="050E464A" w14:textId="77777777" w:rsidR="00800B86" w:rsidRPr="00800B86" w:rsidRDefault="00800B86" w:rsidP="00800B86">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Prevents LID bypass</w:t>
            </w:r>
          </w:p>
        </w:tc>
      </w:tr>
      <w:tr w:rsidR="002F6F02" w:rsidRPr="00800B86" w14:paraId="652EAD87" w14:textId="77777777" w:rsidTr="00800B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4174B4" w14:textId="77777777" w:rsidR="00800B86" w:rsidRPr="00800B86" w:rsidRDefault="00800B86" w:rsidP="00800B86">
            <w:pPr>
              <w:pStyle w:val="BodyText"/>
              <w:spacing w:before="0" w:after="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OTA Receiver</w:t>
            </w:r>
          </w:p>
        </w:tc>
        <w:tc>
          <w:tcPr>
            <w:tcW w:w="0" w:type="auto"/>
            <w:hideMark/>
          </w:tcPr>
          <w:p w14:paraId="1F26ED6B" w14:textId="77777777" w:rsidR="00800B86" w:rsidRPr="00800B86" w:rsidRDefault="00800B86" w:rsidP="00800B86">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LID</w:t>
            </w:r>
          </w:p>
        </w:tc>
        <w:tc>
          <w:tcPr>
            <w:tcW w:w="0" w:type="auto"/>
            <w:hideMark/>
          </w:tcPr>
          <w:p w14:paraId="336ED50C" w14:textId="77777777" w:rsidR="00800B86" w:rsidRPr="00800B86" w:rsidRDefault="00800B86" w:rsidP="00800B86">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Firmware ingestion</w:t>
            </w:r>
          </w:p>
        </w:tc>
        <w:tc>
          <w:tcPr>
            <w:tcW w:w="0" w:type="auto"/>
            <w:hideMark/>
          </w:tcPr>
          <w:p w14:paraId="3DF00986" w14:textId="77777777" w:rsidR="00800B86" w:rsidRPr="00800B86" w:rsidRDefault="00800B86" w:rsidP="00800B86">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w:t>
            </w:r>
          </w:p>
        </w:tc>
        <w:tc>
          <w:tcPr>
            <w:tcW w:w="0" w:type="auto"/>
            <w:hideMark/>
          </w:tcPr>
          <w:p w14:paraId="3CAA1D31" w14:textId="77777777" w:rsidR="00800B86" w:rsidRPr="00800B86" w:rsidRDefault="00800B86" w:rsidP="00800B86">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No execution authority</w:t>
            </w:r>
          </w:p>
        </w:tc>
      </w:tr>
      <w:tr w:rsidR="00800B86" w:rsidRPr="00800B86" w14:paraId="090D273C" w14:textId="77777777" w:rsidTr="00800B86">
        <w:tc>
          <w:tcPr>
            <w:cnfStyle w:val="001000000000" w:firstRow="0" w:lastRow="0" w:firstColumn="1" w:lastColumn="0" w:oddVBand="0" w:evenVBand="0" w:oddHBand="0" w:evenHBand="0" w:firstRowFirstColumn="0" w:firstRowLastColumn="0" w:lastRowFirstColumn="0" w:lastRowLastColumn="0"/>
            <w:tcW w:w="0" w:type="auto"/>
            <w:hideMark/>
          </w:tcPr>
          <w:p w14:paraId="4AC3EDE2" w14:textId="77777777" w:rsidR="00800B86" w:rsidRPr="00800B86" w:rsidRDefault="00800B86" w:rsidP="00800B86">
            <w:pPr>
              <w:pStyle w:val="BodyText"/>
              <w:spacing w:before="0" w:after="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Grid Communication Stack</w:t>
            </w:r>
          </w:p>
        </w:tc>
        <w:tc>
          <w:tcPr>
            <w:tcW w:w="0" w:type="auto"/>
            <w:hideMark/>
          </w:tcPr>
          <w:p w14:paraId="5989C8C6" w14:textId="77777777" w:rsidR="00800B86" w:rsidRPr="00800B86" w:rsidRDefault="00800B86" w:rsidP="00800B86">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LID</w:t>
            </w:r>
          </w:p>
        </w:tc>
        <w:tc>
          <w:tcPr>
            <w:tcW w:w="0" w:type="auto"/>
            <w:hideMark/>
          </w:tcPr>
          <w:p w14:paraId="15E82D52" w14:textId="77777777" w:rsidR="00800B86" w:rsidRPr="00800B86" w:rsidRDefault="00800B86" w:rsidP="00800B86">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External protocol handling</w:t>
            </w:r>
          </w:p>
        </w:tc>
        <w:tc>
          <w:tcPr>
            <w:tcW w:w="0" w:type="auto"/>
            <w:hideMark/>
          </w:tcPr>
          <w:p w14:paraId="071F7105" w14:textId="77777777" w:rsidR="00800B86" w:rsidRPr="00800B86" w:rsidRDefault="00800B86" w:rsidP="00800B86">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w:t>
            </w:r>
          </w:p>
        </w:tc>
        <w:tc>
          <w:tcPr>
            <w:tcW w:w="0" w:type="auto"/>
            <w:hideMark/>
          </w:tcPr>
          <w:p w14:paraId="5C3F7234" w14:textId="77777777" w:rsidR="00800B86" w:rsidRPr="00800B86" w:rsidRDefault="00800B86" w:rsidP="00800B86">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Requires HID validation</w:t>
            </w:r>
          </w:p>
        </w:tc>
      </w:tr>
    </w:tbl>
    <w:p w14:paraId="7B7BC12E" w14:textId="522B9547" w:rsidR="00B8053A" w:rsidRDefault="00606566" w:rsidP="001236A0">
      <w:pPr>
        <w:pStyle w:val="BodyText"/>
        <w:rPr>
          <w:rFonts w:asciiTheme="minorHAnsi" w:eastAsiaTheme="minorEastAsia" w:hAnsiTheme="minorHAnsi" w:cstheme="minorBidi"/>
        </w:rPr>
      </w:pPr>
      <w:r w:rsidRPr="7FDC4A5C">
        <w:rPr>
          <w:szCs w:val="24"/>
        </w:rPr>
        <w:t xml:space="preserve">FRs </w:t>
      </w:r>
      <w:r w:rsidR="002A225F" w:rsidRPr="7FDC4A5C">
        <w:rPr>
          <w:szCs w:val="24"/>
        </w:rPr>
        <w:t>enforced</w:t>
      </w:r>
      <w:r w:rsidRPr="7FDC4A5C">
        <w:rPr>
          <w:szCs w:val="24"/>
        </w:rPr>
        <w:t xml:space="preserve"> in TSM are described below</w:t>
      </w:r>
      <w:r w:rsidR="05FA0165" w:rsidRPr="7FDC4A5C">
        <w:rPr>
          <w:szCs w:val="24"/>
        </w:rPr>
        <w:t xml:space="preserve"> in Table 10</w:t>
      </w:r>
      <w:r w:rsidRPr="7FDC4A5C">
        <w:rPr>
          <w:szCs w:val="24"/>
        </w:rPr>
        <w:t xml:space="preserve">. </w:t>
      </w:r>
    </w:p>
    <w:p w14:paraId="31E31EC6" w14:textId="3A75163A" w:rsidR="1670C8B1" w:rsidRDefault="00946632" w:rsidP="00946632">
      <w:pPr>
        <w:pStyle w:val="Caption"/>
        <w:rPr>
          <w:rFonts w:asciiTheme="minorHAnsi" w:eastAsiaTheme="minorEastAsia" w:hAnsiTheme="minorHAnsi" w:cstheme="minorBidi"/>
          <w:i/>
          <w:color w:val="0E2841"/>
          <w:lang w:val="en-GB"/>
        </w:rPr>
      </w:pPr>
      <w:bookmarkStart w:id="253" w:name="_Toc233112264"/>
      <w:r>
        <w:t xml:space="preserve">Table </w:t>
      </w:r>
      <w:r w:rsidR="00113348">
        <w:fldChar w:fldCharType="begin"/>
      </w:r>
      <w:r w:rsidR="00113348">
        <w:instrText xml:space="preserve"> SEQ Table \* ARABIC </w:instrText>
      </w:r>
      <w:r w:rsidR="00113348">
        <w:fldChar w:fldCharType="separate"/>
      </w:r>
      <w:r w:rsidR="00F8092D">
        <w:rPr>
          <w:noProof/>
        </w:rPr>
        <w:t>10</w:t>
      </w:r>
      <w:r w:rsidR="00113348">
        <w:rPr>
          <w:noProof/>
        </w:rPr>
        <w:fldChar w:fldCharType="end"/>
      </w:r>
      <w:r w:rsidR="1670C8B1" w:rsidRPr="7FDC4A5C">
        <w:rPr>
          <w:rFonts w:ascii="Aptos" w:eastAsia="Aptos" w:hAnsi="Aptos" w:cs="Aptos"/>
          <w:i/>
          <w:color w:val="0E2841"/>
          <w:szCs w:val="20"/>
          <w:lang w:val="en-GB"/>
        </w:rPr>
        <w:t>: TSM Functional Requirements</w:t>
      </w:r>
      <w:bookmarkEnd w:id="253"/>
    </w:p>
    <w:tbl>
      <w:tblPr>
        <w:tblStyle w:val="TableCSIRO"/>
        <w:tblW w:w="0" w:type="auto"/>
        <w:tblLook w:val="04A0" w:firstRow="1" w:lastRow="0" w:firstColumn="1" w:lastColumn="0" w:noHBand="0" w:noVBand="1"/>
      </w:tblPr>
      <w:tblGrid>
        <w:gridCol w:w="596"/>
        <w:gridCol w:w="1808"/>
        <w:gridCol w:w="7121"/>
      </w:tblGrid>
      <w:tr w:rsidR="00950CCC" w:rsidRPr="00950CCC" w14:paraId="57A450C6" w14:textId="77777777" w:rsidTr="00950C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hideMark/>
          </w:tcPr>
          <w:p w14:paraId="24D56474" w14:textId="77777777" w:rsidR="002A225F" w:rsidRPr="002A225F" w:rsidRDefault="002A225F" w:rsidP="00950CCC">
            <w:pPr>
              <w:pStyle w:val="BodyText"/>
              <w:spacing w:before="0" w:after="0"/>
              <w:rPr>
                <w:rFonts w:asciiTheme="minorHAnsi" w:eastAsiaTheme="minorEastAsia" w:hAnsiTheme="minorHAnsi" w:cstheme="minorBidi"/>
                <w:sz w:val="18"/>
                <w:szCs w:val="18"/>
              </w:rPr>
            </w:pPr>
            <w:r w:rsidRPr="002A225F">
              <w:rPr>
                <w:sz w:val="18"/>
                <w:szCs w:val="18"/>
              </w:rPr>
              <w:t>FR ID</w:t>
            </w:r>
          </w:p>
        </w:tc>
        <w:tc>
          <w:tcPr>
            <w:tcW w:w="1808" w:type="dxa"/>
            <w:hideMark/>
          </w:tcPr>
          <w:p w14:paraId="297B7143" w14:textId="77777777" w:rsidR="002A225F" w:rsidRPr="002A225F" w:rsidRDefault="002A225F" w:rsidP="00950CCC">
            <w:pPr>
              <w:pStyle w:val="BodyText"/>
              <w:spacing w:before="0" w:after="0"/>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1"/>
                <w:sz w:val="18"/>
                <w:szCs w:val="18"/>
              </w:rPr>
            </w:pPr>
            <w:r w:rsidRPr="3C9E86E5">
              <w:rPr>
                <w:color w:val="FFFFFF" w:themeColor="background2"/>
                <w:sz w:val="18"/>
                <w:szCs w:val="18"/>
              </w:rPr>
              <w:t>Functional Requirement</w:t>
            </w:r>
          </w:p>
        </w:tc>
        <w:tc>
          <w:tcPr>
            <w:tcW w:w="0" w:type="auto"/>
            <w:hideMark/>
          </w:tcPr>
          <w:p w14:paraId="7FB4D6E0" w14:textId="77777777" w:rsidR="002A225F" w:rsidRPr="002A225F" w:rsidRDefault="002A225F" w:rsidP="00950CCC">
            <w:pPr>
              <w:pStyle w:val="BodyText"/>
              <w:spacing w:before="0" w:after="0"/>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1"/>
                <w:sz w:val="18"/>
                <w:szCs w:val="18"/>
              </w:rPr>
            </w:pPr>
            <w:r w:rsidRPr="3C9E86E5">
              <w:rPr>
                <w:color w:val="FFFFFF" w:themeColor="background2"/>
                <w:sz w:val="18"/>
                <w:szCs w:val="18"/>
              </w:rPr>
              <w:t>Description</w:t>
            </w:r>
          </w:p>
        </w:tc>
      </w:tr>
      <w:tr w:rsidR="002A225F" w:rsidRPr="002A225F" w14:paraId="535798A2" w14:textId="77777777" w:rsidTr="00950C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hideMark/>
          </w:tcPr>
          <w:p w14:paraId="55BBB071" w14:textId="77777777" w:rsidR="002A225F" w:rsidRPr="002A225F" w:rsidRDefault="002A225F" w:rsidP="00950CCC">
            <w:pPr>
              <w:pStyle w:val="BodyText"/>
              <w:spacing w:before="0" w:after="0"/>
              <w:rPr>
                <w:rFonts w:asciiTheme="minorHAnsi" w:eastAsiaTheme="minorEastAsia" w:hAnsiTheme="minorHAnsi" w:cstheme="minorBidi"/>
                <w:sz w:val="18"/>
                <w:szCs w:val="18"/>
              </w:rPr>
            </w:pPr>
            <w:r w:rsidRPr="002A225F">
              <w:rPr>
                <w:sz w:val="18"/>
                <w:szCs w:val="18"/>
              </w:rPr>
              <w:t>FR-1</w:t>
            </w:r>
          </w:p>
        </w:tc>
        <w:tc>
          <w:tcPr>
            <w:tcW w:w="1808" w:type="dxa"/>
            <w:hideMark/>
          </w:tcPr>
          <w:p w14:paraId="1C6CCA33" w14:textId="77777777" w:rsidR="002A225F" w:rsidRPr="002A225F" w:rsidRDefault="002A225F" w:rsidP="00950CCC">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002A225F">
              <w:rPr>
                <w:sz w:val="18"/>
                <w:szCs w:val="18"/>
              </w:rPr>
              <w:t>Complete Mediation</w:t>
            </w:r>
          </w:p>
        </w:tc>
        <w:tc>
          <w:tcPr>
            <w:tcW w:w="0" w:type="auto"/>
            <w:hideMark/>
          </w:tcPr>
          <w:p w14:paraId="1495D6A1" w14:textId="77777777" w:rsidR="002A225F" w:rsidRPr="002A225F" w:rsidRDefault="002A225F" w:rsidP="00950CCC">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002A225F">
              <w:rPr>
                <w:sz w:val="18"/>
                <w:szCs w:val="18"/>
              </w:rPr>
              <w:t>All firmware updates, remote commands, and actuator-level requests originating from the LID must traverse the HID boundary for validation before execution.</w:t>
            </w:r>
          </w:p>
        </w:tc>
      </w:tr>
      <w:tr w:rsidR="002A225F" w:rsidRPr="002A225F" w14:paraId="16D7BA45" w14:textId="77777777" w:rsidTr="00950CCC">
        <w:tc>
          <w:tcPr>
            <w:cnfStyle w:val="001000000000" w:firstRow="0" w:lastRow="0" w:firstColumn="1" w:lastColumn="0" w:oddVBand="0" w:evenVBand="0" w:oddHBand="0" w:evenHBand="0" w:firstRowFirstColumn="0" w:firstRowLastColumn="0" w:lastRowFirstColumn="0" w:lastRowLastColumn="0"/>
            <w:tcW w:w="596" w:type="dxa"/>
            <w:hideMark/>
          </w:tcPr>
          <w:p w14:paraId="628756E4" w14:textId="77777777" w:rsidR="002A225F" w:rsidRPr="002A225F" w:rsidRDefault="002A225F" w:rsidP="00950CCC">
            <w:pPr>
              <w:pStyle w:val="BodyText"/>
              <w:spacing w:before="0" w:after="0"/>
              <w:rPr>
                <w:rFonts w:asciiTheme="minorHAnsi" w:eastAsiaTheme="minorEastAsia" w:hAnsiTheme="minorHAnsi" w:cstheme="minorBidi"/>
                <w:sz w:val="18"/>
                <w:szCs w:val="18"/>
              </w:rPr>
            </w:pPr>
            <w:r w:rsidRPr="002A225F">
              <w:rPr>
                <w:sz w:val="18"/>
                <w:szCs w:val="18"/>
              </w:rPr>
              <w:t>FR-2</w:t>
            </w:r>
          </w:p>
        </w:tc>
        <w:tc>
          <w:tcPr>
            <w:tcW w:w="1808" w:type="dxa"/>
            <w:hideMark/>
          </w:tcPr>
          <w:p w14:paraId="7D1D5313" w14:textId="77777777" w:rsidR="002A225F" w:rsidRPr="002A225F" w:rsidRDefault="002A225F" w:rsidP="00950CCC">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002A225F">
              <w:rPr>
                <w:sz w:val="18"/>
                <w:szCs w:val="18"/>
              </w:rPr>
              <w:t>Firmware Integrity Enforcement</w:t>
            </w:r>
          </w:p>
        </w:tc>
        <w:tc>
          <w:tcPr>
            <w:tcW w:w="0" w:type="auto"/>
            <w:hideMark/>
          </w:tcPr>
          <w:p w14:paraId="6908EF78" w14:textId="77777777" w:rsidR="002A225F" w:rsidRPr="002A225F" w:rsidRDefault="002A225F" w:rsidP="00950CCC">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002A225F">
              <w:rPr>
                <w:sz w:val="18"/>
                <w:szCs w:val="18"/>
              </w:rPr>
              <w:t>Only cryptographically authenticated and policy-compliant firmware images are permitted to proceed through the admission process and be authorised for execution.</w:t>
            </w:r>
          </w:p>
        </w:tc>
      </w:tr>
      <w:tr w:rsidR="002A225F" w:rsidRPr="002A225F" w14:paraId="62149402" w14:textId="77777777" w:rsidTr="00950C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hideMark/>
          </w:tcPr>
          <w:p w14:paraId="6D119D37" w14:textId="77777777" w:rsidR="002A225F" w:rsidRPr="002A225F" w:rsidRDefault="002A225F" w:rsidP="00950CCC">
            <w:pPr>
              <w:pStyle w:val="BodyText"/>
              <w:spacing w:before="0" w:after="0"/>
              <w:rPr>
                <w:rFonts w:asciiTheme="minorHAnsi" w:eastAsiaTheme="minorEastAsia" w:hAnsiTheme="minorHAnsi" w:cstheme="minorBidi"/>
                <w:sz w:val="18"/>
                <w:szCs w:val="18"/>
              </w:rPr>
            </w:pPr>
            <w:r w:rsidRPr="002A225F">
              <w:rPr>
                <w:sz w:val="18"/>
                <w:szCs w:val="18"/>
              </w:rPr>
              <w:t>FR-3</w:t>
            </w:r>
          </w:p>
        </w:tc>
        <w:tc>
          <w:tcPr>
            <w:tcW w:w="1808" w:type="dxa"/>
            <w:hideMark/>
          </w:tcPr>
          <w:p w14:paraId="57C93101" w14:textId="77777777" w:rsidR="002A225F" w:rsidRPr="002A225F" w:rsidRDefault="002A225F" w:rsidP="00950CCC">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002A225F">
              <w:rPr>
                <w:sz w:val="18"/>
                <w:szCs w:val="18"/>
              </w:rPr>
              <w:t>Secure Boot Anchoring</w:t>
            </w:r>
          </w:p>
        </w:tc>
        <w:tc>
          <w:tcPr>
            <w:tcW w:w="0" w:type="auto"/>
            <w:hideMark/>
          </w:tcPr>
          <w:p w14:paraId="5C69CE1A" w14:textId="77777777" w:rsidR="002A225F" w:rsidRPr="002A225F" w:rsidRDefault="002A225F" w:rsidP="00950CCC">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002A225F">
              <w:rPr>
                <w:sz w:val="18"/>
                <w:szCs w:val="18"/>
              </w:rPr>
              <w:t>Runtime execution is permitted only when the firmware state has been verified against trusted integrity references during boot initialization.</w:t>
            </w:r>
          </w:p>
        </w:tc>
      </w:tr>
      <w:tr w:rsidR="002A225F" w:rsidRPr="002A225F" w14:paraId="30244106" w14:textId="77777777" w:rsidTr="00950CCC">
        <w:tc>
          <w:tcPr>
            <w:cnfStyle w:val="001000000000" w:firstRow="0" w:lastRow="0" w:firstColumn="1" w:lastColumn="0" w:oddVBand="0" w:evenVBand="0" w:oddHBand="0" w:evenHBand="0" w:firstRowFirstColumn="0" w:firstRowLastColumn="0" w:lastRowFirstColumn="0" w:lastRowLastColumn="0"/>
            <w:tcW w:w="596" w:type="dxa"/>
            <w:hideMark/>
          </w:tcPr>
          <w:p w14:paraId="4A7F0564" w14:textId="77777777" w:rsidR="002A225F" w:rsidRPr="002A225F" w:rsidRDefault="002A225F" w:rsidP="00950CCC">
            <w:pPr>
              <w:pStyle w:val="BodyText"/>
              <w:spacing w:before="0" w:after="0"/>
              <w:rPr>
                <w:rFonts w:asciiTheme="minorHAnsi" w:eastAsiaTheme="minorEastAsia" w:hAnsiTheme="minorHAnsi" w:cstheme="minorBidi"/>
                <w:sz w:val="18"/>
                <w:szCs w:val="18"/>
              </w:rPr>
            </w:pPr>
            <w:r w:rsidRPr="002A225F">
              <w:rPr>
                <w:sz w:val="18"/>
                <w:szCs w:val="18"/>
              </w:rPr>
              <w:t>FR-4</w:t>
            </w:r>
          </w:p>
        </w:tc>
        <w:tc>
          <w:tcPr>
            <w:tcW w:w="1808" w:type="dxa"/>
            <w:hideMark/>
          </w:tcPr>
          <w:p w14:paraId="05FEA00E" w14:textId="77777777" w:rsidR="002A225F" w:rsidRPr="002A225F" w:rsidRDefault="002A225F" w:rsidP="00950CCC">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002A225F">
              <w:rPr>
                <w:sz w:val="18"/>
                <w:szCs w:val="18"/>
              </w:rPr>
              <w:t>Grid-Command Policy Compliance</w:t>
            </w:r>
          </w:p>
        </w:tc>
        <w:tc>
          <w:tcPr>
            <w:tcW w:w="0" w:type="auto"/>
            <w:hideMark/>
          </w:tcPr>
          <w:p w14:paraId="144EDA95" w14:textId="77777777" w:rsidR="002A225F" w:rsidRPr="002A225F" w:rsidRDefault="002A225F" w:rsidP="00950CCC">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002A225F">
              <w:rPr>
                <w:sz w:val="18"/>
                <w:szCs w:val="18"/>
              </w:rPr>
              <w:t>All grid-originating or backend-issued commands must be evaluated against predefined stability, safety, and operational constraint policies prior to actuation.</w:t>
            </w:r>
          </w:p>
        </w:tc>
      </w:tr>
      <w:tr w:rsidR="002A225F" w:rsidRPr="002A225F" w14:paraId="1A27FCC6" w14:textId="77777777" w:rsidTr="00950C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hideMark/>
          </w:tcPr>
          <w:p w14:paraId="79DF542D" w14:textId="77777777" w:rsidR="002A225F" w:rsidRPr="002A225F" w:rsidRDefault="002A225F" w:rsidP="00950CCC">
            <w:pPr>
              <w:pStyle w:val="BodyText"/>
              <w:spacing w:before="0" w:after="0"/>
              <w:rPr>
                <w:rFonts w:asciiTheme="minorHAnsi" w:eastAsiaTheme="minorEastAsia" w:hAnsiTheme="minorHAnsi" w:cstheme="minorBidi"/>
                <w:sz w:val="18"/>
                <w:szCs w:val="18"/>
              </w:rPr>
            </w:pPr>
            <w:r w:rsidRPr="002A225F">
              <w:rPr>
                <w:sz w:val="18"/>
                <w:szCs w:val="18"/>
              </w:rPr>
              <w:t>FR-5</w:t>
            </w:r>
          </w:p>
        </w:tc>
        <w:tc>
          <w:tcPr>
            <w:tcW w:w="1808" w:type="dxa"/>
            <w:hideMark/>
          </w:tcPr>
          <w:p w14:paraId="07AD29C1" w14:textId="77777777" w:rsidR="002A225F" w:rsidRPr="002A225F" w:rsidRDefault="002A225F" w:rsidP="00950CCC">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002A225F">
              <w:rPr>
                <w:sz w:val="18"/>
                <w:szCs w:val="18"/>
              </w:rPr>
              <w:t>Escalation Containment</w:t>
            </w:r>
          </w:p>
        </w:tc>
        <w:tc>
          <w:tcPr>
            <w:tcW w:w="0" w:type="auto"/>
            <w:hideMark/>
          </w:tcPr>
          <w:p w14:paraId="192777B4" w14:textId="77777777" w:rsidR="002A225F" w:rsidRPr="002A225F" w:rsidRDefault="002A225F" w:rsidP="00950CCC">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002A225F">
              <w:rPr>
                <w:sz w:val="18"/>
                <w:szCs w:val="18"/>
              </w:rPr>
              <w:t>Compromise within the Low-Integrity Domain must not directly propagate to actuator-level or grid-interactive control layers without High-Integrity Domain authorisation.</w:t>
            </w:r>
          </w:p>
        </w:tc>
      </w:tr>
    </w:tbl>
    <w:p w14:paraId="7ACD2566" w14:textId="7A64CFB7" w:rsidR="00A20CED" w:rsidRDefault="00A20CED" w:rsidP="00A20CED">
      <w:pPr>
        <w:pStyle w:val="Heading3"/>
        <w:rPr>
          <w:rFonts w:asciiTheme="minorHAnsi" w:eastAsiaTheme="minorEastAsia" w:hAnsiTheme="minorHAnsi" w:cstheme="minorBidi"/>
        </w:rPr>
      </w:pPr>
      <w:bookmarkStart w:id="254" w:name="_Toc234310809"/>
      <w:r w:rsidRPr="00A20CED">
        <w:t>TSM Integration with CO-Simulation Platform</w:t>
      </w:r>
      <w:bookmarkEnd w:id="254"/>
    </w:p>
    <w:p w14:paraId="271198DB" w14:textId="793787B0" w:rsidR="00A20CED" w:rsidRDefault="00A20CED" w:rsidP="7FDC4A5C">
      <w:pPr>
        <w:pStyle w:val="BodyText"/>
        <w:jc w:val="both"/>
        <w:rPr>
          <w:rFonts w:asciiTheme="minorHAnsi" w:eastAsiaTheme="minorEastAsia" w:hAnsiTheme="minorHAnsi" w:cstheme="minorBidi"/>
        </w:rPr>
      </w:pPr>
      <w:r w:rsidRPr="7FDC4A5C">
        <w:rPr>
          <w:szCs w:val="24"/>
        </w:rPr>
        <w:t xml:space="preserve">The TSM architecture was integrated into a HELICS-based co-simulation federation comprising EVSE, grid, backend, and monitoring </w:t>
      </w:r>
      <w:r w:rsidR="00FF3C59" w:rsidRPr="7FDC4A5C">
        <w:rPr>
          <w:szCs w:val="24"/>
        </w:rPr>
        <w:t>federate</w:t>
      </w:r>
      <w:r w:rsidRPr="7FDC4A5C">
        <w:rPr>
          <w:szCs w:val="24"/>
        </w:rPr>
        <w:t>.</w:t>
      </w:r>
      <w:r w:rsidR="00A136E3" w:rsidRPr="7FDC4A5C">
        <w:rPr>
          <w:szCs w:val="24"/>
        </w:rPr>
        <w:t xml:space="preserve"> The table below presents integration points. </w:t>
      </w:r>
      <w:r w:rsidRPr="7FDC4A5C">
        <w:rPr>
          <w:szCs w:val="24"/>
        </w:rPr>
        <w:t>Integration inserted the HID mediation layer between federated inputs and EVSE state variables, ensuring deterministic enforcement prior to actuator or power-state propagation.</w:t>
      </w:r>
    </w:p>
    <w:p w14:paraId="123C166E" w14:textId="0DCCA19C" w:rsidR="2D3D9ABB" w:rsidRDefault="2D3D9ABB" w:rsidP="2D3D9ABB">
      <w:pPr>
        <w:pStyle w:val="BodyText"/>
        <w:rPr>
          <w:rFonts w:asciiTheme="minorHAnsi" w:eastAsiaTheme="minorEastAsia" w:hAnsiTheme="minorHAnsi" w:cstheme="minorBidi"/>
          <w:sz w:val="22"/>
        </w:rPr>
      </w:pPr>
    </w:p>
    <w:p w14:paraId="09D5C054" w14:textId="3AC84E58" w:rsidR="45E86EBB" w:rsidRDefault="00946632" w:rsidP="00946632">
      <w:pPr>
        <w:pStyle w:val="Caption"/>
        <w:rPr>
          <w:rFonts w:asciiTheme="minorHAnsi" w:eastAsiaTheme="minorEastAsia" w:hAnsiTheme="minorHAnsi" w:cstheme="minorBidi"/>
          <w:i/>
          <w:color w:val="0E2841"/>
          <w:lang w:val="en-GB"/>
        </w:rPr>
      </w:pPr>
      <w:bookmarkStart w:id="255" w:name="_Toc233112265"/>
      <w:r>
        <w:t xml:space="preserve">Table </w:t>
      </w:r>
      <w:r w:rsidR="00113348">
        <w:fldChar w:fldCharType="begin"/>
      </w:r>
      <w:r w:rsidR="00113348">
        <w:instrText xml:space="preserve"> SEQ Table \* ARABIC </w:instrText>
      </w:r>
      <w:r w:rsidR="00113348">
        <w:fldChar w:fldCharType="separate"/>
      </w:r>
      <w:r w:rsidR="00F8092D">
        <w:rPr>
          <w:noProof/>
        </w:rPr>
        <w:t>11</w:t>
      </w:r>
      <w:r w:rsidR="00113348">
        <w:rPr>
          <w:noProof/>
        </w:rPr>
        <w:fldChar w:fldCharType="end"/>
      </w:r>
      <w:r w:rsidR="45E86EBB" w:rsidRPr="7FDC4A5C">
        <w:rPr>
          <w:rFonts w:ascii="Aptos" w:eastAsia="Aptos" w:hAnsi="Aptos" w:cs="Aptos"/>
          <w:i/>
          <w:color w:val="0E2841"/>
          <w:szCs w:val="20"/>
          <w:lang w:val="en-GB"/>
        </w:rPr>
        <w:t>: TSM integration with co-simulation platform</w:t>
      </w:r>
      <w:bookmarkEnd w:id="255"/>
    </w:p>
    <w:tbl>
      <w:tblPr>
        <w:tblStyle w:val="TableCSIRO"/>
        <w:tblW w:w="0" w:type="auto"/>
        <w:tblLook w:val="04A0" w:firstRow="1" w:lastRow="0" w:firstColumn="1" w:lastColumn="0" w:noHBand="0" w:noVBand="1"/>
      </w:tblPr>
      <w:tblGrid>
        <w:gridCol w:w="1676"/>
        <w:gridCol w:w="1409"/>
        <w:gridCol w:w="1861"/>
        <w:gridCol w:w="2129"/>
        <w:gridCol w:w="2274"/>
        <w:gridCol w:w="176"/>
      </w:tblGrid>
      <w:tr w:rsidR="00FD0E14" w:rsidRPr="004F13B4" w14:paraId="051FACD5" w14:textId="64E07BA9" w:rsidTr="00FD0E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92BBE5" w14:textId="77777777" w:rsidR="00FD0E14" w:rsidRPr="004F13B4" w:rsidRDefault="00FD0E14" w:rsidP="004F13B4">
            <w:pPr>
              <w:pStyle w:val="BodyText"/>
              <w:spacing w:before="0" w:after="0"/>
              <w:rPr>
                <w:rFonts w:asciiTheme="minorHAnsi" w:eastAsiaTheme="minorEastAsia" w:hAnsiTheme="minorHAnsi" w:cstheme="minorBidi"/>
                <w:color w:val="FFFFFF" w:themeColor="background1"/>
                <w:sz w:val="18"/>
                <w:szCs w:val="18"/>
              </w:rPr>
            </w:pPr>
            <w:r w:rsidRPr="3C9E86E5">
              <w:rPr>
                <w:rFonts w:asciiTheme="minorHAnsi" w:eastAsiaTheme="minorEastAsia" w:hAnsiTheme="minorHAnsi" w:cstheme="minorBidi"/>
                <w:color w:val="FFFFFF" w:themeColor="background2"/>
                <w:sz w:val="18"/>
                <w:szCs w:val="18"/>
              </w:rPr>
              <w:t>Integration Layer</w:t>
            </w:r>
          </w:p>
        </w:tc>
        <w:tc>
          <w:tcPr>
            <w:tcW w:w="0" w:type="auto"/>
            <w:hideMark/>
          </w:tcPr>
          <w:p w14:paraId="153EF35F" w14:textId="77777777" w:rsidR="00FD0E14" w:rsidRPr="004F13B4" w:rsidRDefault="00FD0E14" w:rsidP="004F13B4">
            <w:pPr>
              <w:pStyle w:val="BodyText"/>
              <w:spacing w:before="0" w:after="0"/>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1"/>
                <w:sz w:val="18"/>
                <w:szCs w:val="18"/>
              </w:rPr>
            </w:pPr>
            <w:r w:rsidRPr="3C9E86E5">
              <w:rPr>
                <w:rFonts w:asciiTheme="minorHAnsi" w:eastAsiaTheme="minorEastAsia" w:hAnsiTheme="minorHAnsi" w:cstheme="minorBidi"/>
                <w:color w:val="FFFFFF" w:themeColor="background2"/>
                <w:sz w:val="18"/>
                <w:szCs w:val="18"/>
              </w:rPr>
              <w:t>Connected Federate</w:t>
            </w:r>
          </w:p>
        </w:tc>
        <w:tc>
          <w:tcPr>
            <w:tcW w:w="0" w:type="auto"/>
            <w:hideMark/>
          </w:tcPr>
          <w:p w14:paraId="2B0B3950" w14:textId="77777777" w:rsidR="00FD0E14" w:rsidRPr="004F13B4" w:rsidRDefault="00FD0E14" w:rsidP="004F13B4">
            <w:pPr>
              <w:pStyle w:val="BodyText"/>
              <w:spacing w:before="0" w:after="0"/>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1"/>
                <w:sz w:val="18"/>
                <w:szCs w:val="18"/>
              </w:rPr>
            </w:pPr>
            <w:r w:rsidRPr="3C9E86E5">
              <w:rPr>
                <w:rFonts w:asciiTheme="minorHAnsi" w:eastAsiaTheme="minorEastAsia" w:hAnsiTheme="minorHAnsi" w:cstheme="minorBidi"/>
                <w:color w:val="FFFFFF" w:themeColor="background2"/>
                <w:sz w:val="18"/>
                <w:szCs w:val="18"/>
              </w:rPr>
              <w:t>Mediation Mechanism</w:t>
            </w:r>
          </w:p>
        </w:tc>
        <w:tc>
          <w:tcPr>
            <w:tcW w:w="0" w:type="auto"/>
            <w:hideMark/>
          </w:tcPr>
          <w:p w14:paraId="68A27592" w14:textId="77777777" w:rsidR="00FD0E14" w:rsidRPr="004F13B4" w:rsidRDefault="00FD0E14" w:rsidP="004F13B4">
            <w:pPr>
              <w:pStyle w:val="BodyText"/>
              <w:spacing w:before="0" w:after="0"/>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1"/>
                <w:sz w:val="18"/>
                <w:szCs w:val="18"/>
              </w:rPr>
            </w:pPr>
            <w:r w:rsidRPr="3C9E86E5">
              <w:rPr>
                <w:rFonts w:asciiTheme="minorHAnsi" w:eastAsiaTheme="minorEastAsia" w:hAnsiTheme="minorHAnsi" w:cstheme="minorBidi"/>
                <w:color w:val="FFFFFF" w:themeColor="background2"/>
                <w:sz w:val="18"/>
                <w:szCs w:val="18"/>
              </w:rPr>
              <w:t>Controlled State Variable</w:t>
            </w:r>
          </w:p>
        </w:tc>
        <w:tc>
          <w:tcPr>
            <w:tcW w:w="0" w:type="auto"/>
            <w:hideMark/>
          </w:tcPr>
          <w:p w14:paraId="3B855521" w14:textId="77777777" w:rsidR="00FD0E14" w:rsidRPr="004F13B4" w:rsidRDefault="00FD0E14" w:rsidP="004F13B4">
            <w:pPr>
              <w:pStyle w:val="BodyText"/>
              <w:spacing w:before="0" w:after="0"/>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1"/>
                <w:sz w:val="18"/>
                <w:szCs w:val="18"/>
              </w:rPr>
            </w:pPr>
            <w:r w:rsidRPr="3C9E86E5">
              <w:rPr>
                <w:rFonts w:asciiTheme="minorHAnsi" w:eastAsiaTheme="minorEastAsia" w:hAnsiTheme="minorHAnsi" w:cstheme="minorBidi"/>
                <w:color w:val="FFFFFF" w:themeColor="background2"/>
                <w:sz w:val="18"/>
                <w:szCs w:val="18"/>
              </w:rPr>
              <w:t>Enforcement Effect</w:t>
            </w:r>
          </w:p>
        </w:tc>
        <w:tc>
          <w:tcPr>
            <w:tcW w:w="0" w:type="auto"/>
          </w:tcPr>
          <w:p w14:paraId="12F4F437" w14:textId="77777777" w:rsidR="00FD0E14" w:rsidRPr="004F13B4" w:rsidRDefault="00FD0E14" w:rsidP="004F13B4">
            <w:pPr>
              <w:pStyle w:val="BodyText"/>
              <w:spacing w:before="0" w:after="0"/>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b w:val="0"/>
                <w:color w:val="FFFFFF" w:themeColor="background1"/>
                <w:sz w:val="18"/>
                <w:szCs w:val="18"/>
              </w:rPr>
            </w:pPr>
          </w:p>
        </w:tc>
      </w:tr>
      <w:tr w:rsidR="00FD0E14" w:rsidRPr="004F13B4" w14:paraId="227B291A" w14:textId="75DCA9A8" w:rsidTr="00FD0E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B3612B0" w14:textId="77777777" w:rsidR="00FD0E14" w:rsidRPr="004F13B4" w:rsidRDefault="00FD0E14" w:rsidP="004F13B4">
            <w:pPr>
              <w:pStyle w:val="BodyText"/>
              <w:spacing w:before="0" w:after="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Firmware Update Channel</w:t>
            </w:r>
          </w:p>
        </w:tc>
        <w:tc>
          <w:tcPr>
            <w:tcW w:w="0" w:type="auto"/>
            <w:hideMark/>
          </w:tcPr>
          <w:p w14:paraId="5477C353" w14:textId="77777777" w:rsidR="00FD0E14" w:rsidRPr="004F13B4" w:rsidRDefault="00FD0E14" w:rsidP="004F13B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Backend Federate</w:t>
            </w:r>
          </w:p>
        </w:tc>
        <w:tc>
          <w:tcPr>
            <w:tcW w:w="0" w:type="auto"/>
            <w:hideMark/>
          </w:tcPr>
          <w:p w14:paraId="118D3BBE" w14:textId="77777777" w:rsidR="00FD0E14" w:rsidRPr="004F13B4" w:rsidRDefault="00FD0E14" w:rsidP="004F13B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Firmware Admission Manager</w:t>
            </w:r>
          </w:p>
        </w:tc>
        <w:tc>
          <w:tcPr>
            <w:tcW w:w="0" w:type="auto"/>
            <w:hideMark/>
          </w:tcPr>
          <w:p w14:paraId="7239B3C6" w14:textId="77777777" w:rsidR="00FD0E14" w:rsidRPr="004F13B4" w:rsidRDefault="00FD0E14" w:rsidP="004F13B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Runtime firmware image</w:t>
            </w:r>
          </w:p>
        </w:tc>
        <w:tc>
          <w:tcPr>
            <w:tcW w:w="0" w:type="auto"/>
            <w:hideMark/>
          </w:tcPr>
          <w:p w14:paraId="2AB2A546" w14:textId="77777777" w:rsidR="00FD0E14" w:rsidRPr="004F13B4" w:rsidRDefault="00FD0E14" w:rsidP="004F13B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Prevents unvalidated execution</w:t>
            </w:r>
          </w:p>
        </w:tc>
        <w:tc>
          <w:tcPr>
            <w:tcW w:w="0" w:type="auto"/>
          </w:tcPr>
          <w:p w14:paraId="2D6575C3" w14:textId="77777777" w:rsidR="00FD0E14" w:rsidRPr="004F13B4" w:rsidRDefault="00FD0E14" w:rsidP="004F13B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p>
        </w:tc>
      </w:tr>
      <w:tr w:rsidR="00FD0E14" w:rsidRPr="004F13B4" w14:paraId="3AB5E6BB" w14:textId="73DB539C" w:rsidTr="00FD0E14">
        <w:tc>
          <w:tcPr>
            <w:cnfStyle w:val="001000000000" w:firstRow="0" w:lastRow="0" w:firstColumn="1" w:lastColumn="0" w:oddVBand="0" w:evenVBand="0" w:oddHBand="0" w:evenHBand="0" w:firstRowFirstColumn="0" w:firstRowLastColumn="0" w:lastRowFirstColumn="0" w:lastRowLastColumn="0"/>
            <w:tcW w:w="0" w:type="auto"/>
            <w:hideMark/>
          </w:tcPr>
          <w:p w14:paraId="69E48689" w14:textId="77777777" w:rsidR="00FD0E14" w:rsidRPr="004F13B4" w:rsidRDefault="00FD0E14" w:rsidP="004F13B4">
            <w:pPr>
              <w:pStyle w:val="BodyText"/>
              <w:spacing w:before="0" w:after="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Grid Command Channel</w:t>
            </w:r>
          </w:p>
        </w:tc>
        <w:tc>
          <w:tcPr>
            <w:tcW w:w="0" w:type="auto"/>
            <w:hideMark/>
          </w:tcPr>
          <w:p w14:paraId="7F0A2988" w14:textId="77777777" w:rsidR="00FD0E14" w:rsidRPr="004F13B4" w:rsidRDefault="00FD0E14" w:rsidP="004F13B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Grid Federate</w:t>
            </w:r>
          </w:p>
        </w:tc>
        <w:tc>
          <w:tcPr>
            <w:tcW w:w="0" w:type="auto"/>
            <w:hideMark/>
          </w:tcPr>
          <w:p w14:paraId="43E83899" w14:textId="77777777" w:rsidR="00FD0E14" w:rsidRPr="004F13B4" w:rsidRDefault="00FD0E14" w:rsidP="004F13B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Policy Enforcement Engine</w:t>
            </w:r>
          </w:p>
        </w:tc>
        <w:tc>
          <w:tcPr>
            <w:tcW w:w="0" w:type="auto"/>
            <w:hideMark/>
          </w:tcPr>
          <w:p w14:paraId="3ED01887" w14:textId="77777777" w:rsidR="00FD0E14" w:rsidRPr="004F13B4" w:rsidRDefault="00FD0E14" w:rsidP="004F13B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Charging power setpoint</w:t>
            </w:r>
          </w:p>
        </w:tc>
        <w:tc>
          <w:tcPr>
            <w:tcW w:w="0" w:type="auto"/>
            <w:hideMark/>
          </w:tcPr>
          <w:p w14:paraId="5049CFCE" w14:textId="77777777" w:rsidR="00FD0E14" w:rsidRPr="004F13B4" w:rsidRDefault="00FD0E14" w:rsidP="004F13B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Enforces stability constraints</w:t>
            </w:r>
          </w:p>
        </w:tc>
        <w:tc>
          <w:tcPr>
            <w:tcW w:w="0" w:type="auto"/>
          </w:tcPr>
          <w:p w14:paraId="402375AB" w14:textId="77777777" w:rsidR="00FD0E14" w:rsidRPr="004F13B4" w:rsidRDefault="00FD0E14" w:rsidP="004F13B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p>
        </w:tc>
      </w:tr>
      <w:tr w:rsidR="00FD0E14" w:rsidRPr="004F13B4" w14:paraId="4BE76226" w14:textId="3535C1B4" w:rsidTr="00FD0E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61660D" w14:textId="77777777" w:rsidR="00FD0E14" w:rsidRPr="004F13B4" w:rsidRDefault="00FD0E14" w:rsidP="004F13B4">
            <w:pPr>
              <w:pStyle w:val="BodyText"/>
              <w:spacing w:before="0" w:after="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EVSE Controller Logic</w:t>
            </w:r>
          </w:p>
        </w:tc>
        <w:tc>
          <w:tcPr>
            <w:tcW w:w="0" w:type="auto"/>
            <w:hideMark/>
          </w:tcPr>
          <w:p w14:paraId="069503ED" w14:textId="77777777" w:rsidR="00FD0E14" w:rsidRPr="004F13B4" w:rsidRDefault="00FD0E14" w:rsidP="004F13B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EVSE Federate</w:t>
            </w:r>
          </w:p>
        </w:tc>
        <w:tc>
          <w:tcPr>
            <w:tcW w:w="0" w:type="auto"/>
            <w:hideMark/>
          </w:tcPr>
          <w:p w14:paraId="1DC450AC" w14:textId="77777777" w:rsidR="00FD0E14" w:rsidRPr="004F13B4" w:rsidRDefault="00FD0E14" w:rsidP="004F13B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TSM Core Monitor</w:t>
            </w:r>
          </w:p>
        </w:tc>
        <w:tc>
          <w:tcPr>
            <w:tcW w:w="0" w:type="auto"/>
            <w:hideMark/>
          </w:tcPr>
          <w:p w14:paraId="0F57AB75" w14:textId="77777777" w:rsidR="00FD0E14" w:rsidRPr="004F13B4" w:rsidRDefault="00FD0E14" w:rsidP="004F13B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Control state transitions</w:t>
            </w:r>
          </w:p>
        </w:tc>
        <w:tc>
          <w:tcPr>
            <w:tcW w:w="0" w:type="auto"/>
            <w:hideMark/>
          </w:tcPr>
          <w:p w14:paraId="31595A3B" w14:textId="5622172B" w:rsidR="00FD0E14" w:rsidRPr="004F13B4" w:rsidRDefault="00FD0E14" w:rsidP="004F13B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 xml:space="preserve">Mandatory validation </w:t>
            </w:r>
            <w:r w:rsidR="007B0424" w:rsidRPr="3C9E86E5">
              <w:rPr>
                <w:rFonts w:asciiTheme="minorHAnsi" w:eastAsiaTheme="minorEastAsia" w:hAnsiTheme="minorHAnsi" w:cstheme="minorBidi"/>
                <w:sz w:val="18"/>
                <w:szCs w:val="18"/>
              </w:rPr>
              <w:t>before</w:t>
            </w:r>
            <w:r w:rsidRPr="3C9E86E5">
              <w:rPr>
                <w:rFonts w:asciiTheme="minorHAnsi" w:eastAsiaTheme="minorEastAsia" w:hAnsiTheme="minorHAnsi" w:cstheme="minorBidi"/>
                <w:sz w:val="18"/>
                <w:szCs w:val="18"/>
              </w:rPr>
              <w:t xml:space="preserve"> execution</w:t>
            </w:r>
          </w:p>
        </w:tc>
        <w:tc>
          <w:tcPr>
            <w:tcW w:w="0" w:type="auto"/>
          </w:tcPr>
          <w:p w14:paraId="6A54EDE8" w14:textId="77777777" w:rsidR="00FD0E14" w:rsidRPr="004F13B4" w:rsidRDefault="00FD0E14" w:rsidP="004F13B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p>
        </w:tc>
      </w:tr>
      <w:tr w:rsidR="00FD0E14" w:rsidRPr="004F13B4" w14:paraId="3B3B633B" w14:textId="58B6B979" w:rsidTr="00FD0E14">
        <w:tc>
          <w:tcPr>
            <w:cnfStyle w:val="001000000000" w:firstRow="0" w:lastRow="0" w:firstColumn="1" w:lastColumn="0" w:oddVBand="0" w:evenVBand="0" w:oddHBand="0" w:evenHBand="0" w:firstRowFirstColumn="0" w:firstRowLastColumn="0" w:lastRowFirstColumn="0" w:lastRowLastColumn="0"/>
            <w:tcW w:w="0" w:type="auto"/>
            <w:hideMark/>
          </w:tcPr>
          <w:p w14:paraId="06AD280C" w14:textId="77777777" w:rsidR="00FD0E14" w:rsidRPr="004F13B4" w:rsidRDefault="00FD0E14" w:rsidP="004F13B4">
            <w:pPr>
              <w:pStyle w:val="BodyText"/>
              <w:spacing w:before="0" w:after="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Actuator Interface</w:t>
            </w:r>
          </w:p>
        </w:tc>
        <w:tc>
          <w:tcPr>
            <w:tcW w:w="0" w:type="auto"/>
            <w:hideMark/>
          </w:tcPr>
          <w:p w14:paraId="3BE5F87A" w14:textId="77777777" w:rsidR="00FD0E14" w:rsidRPr="004F13B4" w:rsidRDefault="00FD0E14" w:rsidP="004F13B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Physical EVSE Model</w:t>
            </w:r>
          </w:p>
        </w:tc>
        <w:tc>
          <w:tcPr>
            <w:tcW w:w="0" w:type="auto"/>
            <w:hideMark/>
          </w:tcPr>
          <w:p w14:paraId="007A28EE" w14:textId="77777777" w:rsidR="00FD0E14" w:rsidRPr="004F13B4" w:rsidRDefault="00FD0E14" w:rsidP="004F13B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Hardware Controller</w:t>
            </w:r>
          </w:p>
        </w:tc>
        <w:tc>
          <w:tcPr>
            <w:tcW w:w="0" w:type="auto"/>
            <w:hideMark/>
          </w:tcPr>
          <w:p w14:paraId="6980E64F" w14:textId="57E87A27" w:rsidR="00FD0E14" w:rsidRPr="004F13B4" w:rsidRDefault="007B0424" w:rsidP="004F13B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Contactor/modulation</w:t>
            </w:r>
            <w:r w:rsidR="00FD0E14" w:rsidRPr="3C9E86E5">
              <w:rPr>
                <w:rFonts w:asciiTheme="minorHAnsi" w:eastAsiaTheme="minorEastAsia" w:hAnsiTheme="minorHAnsi" w:cstheme="minorBidi"/>
                <w:sz w:val="18"/>
                <w:szCs w:val="18"/>
              </w:rPr>
              <w:t xml:space="preserve"> signals</w:t>
            </w:r>
          </w:p>
        </w:tc>
        <w:tc>
          <w:tcPr>
            <w:tcW w:w="0" w:type="auto"/>
            <w:hideMark/>
          </w:tcPr>
          <w:p w14:paraId="11105938" w14:textId="77777777" w:rsidR="00FD0E14" w:rsidRPr="004F13B4" w:rsidRDefault="00FD0E14" w:rsidP="004F13B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Blocks unauthorised switching</w:t>
            </w:r>
          </w:p>
        </w:tc>
        <w:tc>
          <w:tcPr>
            <w:tcW w:w="0" w:type="auto"/>
          </w:tcPr>
          <w:p w14:paraId="74F63E5B" w14:textId="77777777" w:rsidR="00FD0E14" w:rsidRPr="004F13B4" w:rsidRDefault="00FD0E14" w:rsidP="004F13B4">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p>
        </w:tc>
      </w:tr>
      <w:tr w:rsidR="00FD0E14" w:rsidRPr="004F13B4" w14:paraId="17118530" w14:textId="12372429" w:rsidTr="00FD0E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5A9683" w14:textId="77777777" w:rsidR="00FD0E14" w:rsidRPr="004F13B4" w:rsidRDefault="00FD0E14" w:rsidP="004F13B4">
            <w:pPr>
              <w:pStyle w:val="BodyText"/>
              <w:spacing w:before="0" w:after="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Telemetry Channel</w:t>
            </w:r>
          </w:p>
        </w:tc>
        <w:tc>
          <w:tcPr>
            <w:tcW w:w="0" w:type="auto"/>
            <w:hideMark/>
          </w:tcPr>
          <w:p w14:paraId="5E4D15C0" w14:textId="77777777" w:rsidR="00FD0E14" w:rsidRPr="004F13B4" w:rsidRDefault="00FD0E14" w:rsidP="004F13B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Monitoring Federate</w:t>
            </w:r>
          </w:p>
        </w:tc>
        <w:tc>
          <w:tcPr>
            <w:tcW w:w="0" w:type="auto"/>
            <w:hideMark/>
          </w:tcPr>
          <w:p w14:paraId="4E4851D2" w14:textId="77777777" w:rsidR="00FD0E14" w:rsidRPr="004F13B4" w:rsidRDefault="00FD0E14" w:rsidP="004F13B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Log &amp; Integrity Module</w:t>
            </w:r>
          </w:p>
        </w:tc>
        <w:tc>
          <w:tcPr>
            <w:tcW w:w="0" w:type="auto"/>
            <w:hideMark/>
          </w:tcPr>
          <w:p w14:paraId="4777D4C8" w14:textId="77777777" w:rsidR="00FD0E14" w:rsidRPr="004F13B4" w:rsidRDefault="00FD0E14" w:rsidP="004F13B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Enforcement events</w:t>
            </w:r>
          </w:p>
        </w:tc>
        <w:tc>
          <w:tcPr>
            <w:tcW w:w="0" w:type="auto"/>
            <w:hideMark/>
          </w:tcPr>
          <w:p w14:paraId="5B2AE149" w14:textId="77777777" w:rsidR="00FD0E14" w:rsidRPr="004F13B4" w:rsidRDefault="00FD0E14" w:rsidP="004F13B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Signed state reporting</w:t>
            </w:r>
          </w:p>
        </w:tc>
        <w:tc>
          <w:tcPr>
            <w:tcW w:w="0" w:type="auto"/>
          </w:tcPr>
          <w:p w14:paraId="6872E8EC" w14:textId="77777777" w:rsidR="00FD0E14" w:rsidRPr="004F13B4" w:rsidRDefault="00FD0E14" w:rsidP="004F13B4">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p>
        </w:tc>
      </w:tr>
    </w:tbl>
    <w:p w14:paraId="660D0977" w14:textId="3B1E1A95" w:rsidR="00A20CED" w:rsidRDefault="00A20CED" w:rsidP="148BD744">
      <w:pPr>
        <w:pStyle w:val="BodyText"/>
        <w:jc w:val="both"/>
        <w:rPr>
          <w:rFonts w:asciiTheme="minorHAnsi" w:eastAsiaTheme="minorEastAsia" w:hAnsiTheme="minorHAnsi" w:cstheme="minorBidi"/>
        </w:rPr>
      </w:pPr>
      <w:r w:rsidRPr="148BD744">
        <w:rPr>
          <w:szCs w:val="24"/>
        </w:rPr>
        <w:t>This ensures that all HELICS-published signals affecting physical behaviour are intercepted and validated prior to federation-wide propagation.</w:t>
      </w:r>
    </w:p>
    <w:p w14:paraId="0636F407" w14:textId="0B5FA2FD" w:rsidR="00311AC6" w:rsidRPr="00311AC6" w:rsidRDefault="00311AC6" w:rsidP="00311AC6">
      <w:pPr>
        <w:pStyle w:val="Heading3"/>
        <w:rPr>
          <w:rFonts w:asciiTheme="minorHAnsi" w:eastAsiaTheme="minorEastAsia" w:hAnsiTheme="minorHAnsi" w:cstheme="minorBidi"/>
        </w:rPr>
      </w:pPr>
      <w:bookmarkStart w:id="256" w:name="_Toc234310810"/>
      <w:r w:rsidRPr="00311AC6">
        <w:t>Architectural Enforcement Properties</w:t>
      </w:r>
      <w:bookmarkEnd w:id="256"/>
    </w:p>
    <w:p w14:paraId="0F1AF0F5" w14:textId="05F1E055" w:rsidR="00311AC6" w:rsidRDefault="00311AC6" w:rsidP="148BD744">
      <w:pPr>
        <w:pStyle w:val="BodyText"/>
        <w:jc w:val="both"/>
        <w:rPr>
          <w:rFonts w:asciiTheme="minorHAnsi" w:eastAsiaTheme="minorEastAsia" w:hAnsiTheme="minorHAnsi" w:cstheme="minorBidi"/>
        </w:rPr>
      </w:pPr>
      <w:r w:rsidRPr="148BD744">
        <w:rPr>
          <w:szCs w:val="24"/>
        </w:rPr>
        <w:t>The structural validity of the TSM architecture is characterised through mediation, isolation, and containment principles. These properties are embedded in the design to guarantee that no external or low-integrity input can directly influence actuator or grid-interactive behaviour without validation</w:t>
      </w:r>
      <w:r w:rsidR="00DF1FE6" w:rsidRPr="148BD744">
        <w:rPr>
          <w:szCs w:val="24"/>
        </w:rPr>
        <w:t xml:space="preserve">. Enforced properties are summarised in the Table below. </w:t>
      </w:r>
    </w:p>
    <w:p w14:paraId="622D6C13" w14:textId="77777777" w:rsidR="00DF1FE6" w:rsidRDefault="00DF1FE6" w:rsidP="00311AC6">
      <w:pPr>
        <w:pStyle w:val="BodyText"/>
        <w:rPr>
          <w:rFonts w:asciiTheme="minorHAnsi" w:eastAsiaTheme="minorEastAsia" w:hAnsiTheme="minorHAnsi" w:cstheme="minorBidi"/>
          <w:sz w:val="20"/>
          <w:szCs w:val="20"/>
        </w:rPr>
      </w:pPr>
    </w:p>
    <w:p w14:paraId="781050C9" w14:textId="7DF79C30" w:rsidR="00DF1FE6" w:rsidRDefault="00946632" w:rsidP="00946632">
      <w:pPr>
        <w:pStyle w:val="Caption"/>
        <w:rPr>
          <w:rFonts w:asciiTheme="minorHAnsi" w:eastAsiaTheme="minorEastAsia" w:hAnsiTheme="minorHAnsi" w:cstheme="minorBidi"/>
          <w:i/>
          <w:color w:val="0E2841"/>
          <w:szCs w:val="20"/>
          <w:lang w:val="en-GB"/>
        </w:rPr>
      </w:pPr>
      <w:bookmarkStart w:id="257" w:name="_Toc233112266"/>
      <w:r>
        <w:t xml:space="preserve">Table </w:t>
      </w:r>
      <w:r w:rsidR="00113348">
        <w:fldChar w:fldCharType="begin"/>
      </w:r>
      <w:r w:rsidR="00113348">
        <w:instrText xml:space="preserve"> SEQ Table \* ARABIC </w:instrText>
      </w:r>
      <w:r w:rsidR="00113348">
        <w:fldChar w:fldCharType="separate"/>
      </w:r>
      <w:r w:rsidR="00F8092D">
        <w:rPr>
          <w:noProof/>
        </w:rPr>
        <w:t>12</w:t>
      </w:r>
      <w:r w:rsidR="00113348">
        <w:rPr>
          <w:noProof/>
        </w:rPr>
        <w:fldChar w:fldCharType="end"/>
      </w:r>
      <w:r w:rsidR="5AAE63FD" w:rsidRPr="148BD744">
        <w:rPr>
          <w:rFonts w:ascii="Aptos" w:eastAsia="Aptos" w:hAnsi="Aptos" w:cs="Aptos"/>
          <w:i/>
          <w:color w:val="0E2841"/>
          <w:szCs w:val="20"/>
          <w:lang w:val="en-GB"/>
        </w:rPr>
        <w:t>: TSM Architectural Enforcement Properties</w:t>
      </w:r>
      <w:bookmarkEnd w:id="257"/>
    </w:p>
    <w:tbl>
      <w:tblPr>
        <w:tblStyle w:val="TableCSIRO"/>
        <w:tblW w:w="0" w:type="auto"/>
        <w:tblLook w:val="04A0" w:firstRow="1" w:lastRow="0" w:firstColumn="1" w:lastColumn="0" w:noHBand="0" w:noVBand="1"/>
      </w:tblPr>
      <w:tblGrid>
        <w:gridCol w:w="1923"/>
        <w:gridCol w:w="2502"/>
        <w:gridCol w:w="2172"/>
        <w:gridCol w:w="2928"/>
      </w:tblGrid>
      <w:tr w:rsidR="002F6F02" w:rsidRPr="00DF1FE6" w14:paraId="459DBD50" w14:textId="77777777" w:rsidTr="00DF1F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E78669" w14:textId="77777777" w:rsidR="00DF1FE6" w:rsidRPr="00DF1FE6" w:rsidRDefault="00DF1FE6" w:rsidP="00DF1FE6">
            <w:pPr>
              <w:pStyle w:val="BodyText"/>
              <w:spacing w:before="0" w:after="0" w:line="240" w:lineRule="auto"/>
              <w:rPr>
                <w:rFonts w:asciiTheme="minorHAnsi" w:eastAsiaTheme="minorEastAsia" w:hAnsiTheme="minorHAnsi" w:cstheme="minorBidi"/>
                <w:color w:val="FFFFFF" w:themeColor="background1"/>
                <w:sz w:val="18"/>
                <w:szCs w:val="18"/>
              </w:rPr>
            </w:pPr>
            <w:r w:rsidRPr="3C9E86E5">
              <w:rPr>
                <w:color w:val="FFFFFF" w:themeColor="background2"/>
                <w:sz w:val="18"/>
                <w:szCs w:val="18"/>
              </w:rPr>
              <w:t>Enforcement Property</w:t>
            </w:r>
          </w:p>
        </w:tc>
        <w:tc>
          <w:tcPr>
            <w:tcW w:w="0" w:type="auto"/>
            <w:hideMark/>
          </w:tcPr>
          <w:p w14:paraId="571C3166" w14:textId="77777777" w:rsidR="00DF1FE6" w:rsidRPr="00DF1FE6" w:rsidRDefault="00DF1FE6" w:rsidP="00DF1FE6">
            <w:pPr>
              <w:pStyle w:val="BodyText"/>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1"/>
                <w:sz w:val="18"/>
                <w:szCs w:val="18"/>
              </w:rPr>
            </w:pPr>
            <w:r w:rsidRPr="3C9E86E5">
              <w:rPr>
                <w:color w:val="FFFFFF" w:themeColor="background2"/>
                <w:sz w:val="18"/>
                <w:szCs w:val="18"/>
              </w:rPr>
              <w:t>Description</w:t>
            </w:r>
          </w:p>
        </w:tc>
        <w:tc>
          <w:tcPr>
            <w:tcW w:w="0" w:type="auto"/>
            <w:hideMark/>
          </w:tcPr>
          <w:p w14:paraId="6FA00C4A" w14:textId="77777777" w:rsidR="00DF1FE6" w:rsidRPr="00DF1FE6" w:rsidRDefault="00DF1FE6" w:rsidP="00DF1FE6">
            <w:pPr>
              <w:pStyle w:val="BodyText"/>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1"/>
                <w:sz w:val="18"/>
                <w:szCs w:val="18"/>
              </w:rPr>
            </w:pPr>
            <w:r w:rsidRPr="3C9E86E5">
              <w:rPr>
                <w:color w:val="FFFFFF" w:themeColor="background2"/>
                <w:sz w:val="18"/>
                <w:szCs w:val="18"/>
              </w:rPr>
              <w:t>Implementing Component</w:t>
            </w:r>
          </w:p>
        </w:tc>
        <w:tc>
          <w:tcPr>
            <w:tcW w:w="0" w:type="auto"/>
            <w:hideMark/>
          </w:tcPr>
          <w:p w14:paraId="6A0464D9" w14:textId="77777777" w:rsidR="00DF1FE6" w:rsidRPr="00DF1FE6" w:rsidRDefault="00DF1FE6" w:rsidP="00DF1FE6">
            <w:pPr>
              <w:pStyle w:val="BodyText"/>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1"/>
                <w:sz w:val="18"/>
                <w:szCs w:val="18"/>
              </w:rPr>
            </w:pPr>
            <w:r w:rsidRPr="3C9E86E5">
              <w:rPr>
                <w:color w:val="FFFFFF" w:themeColor="background2"/>
                <w:sz w:val="18"/>
                <w:szCs w:val="18"/>
              </w:rPr>
              <w:t>Architectural Guarantee</w:t>
            </w:r>
          </w:p>
        </w:tc>
      </w:tr>
      <w:tr w:rsidR="002F6F02" w:rsidRPr="00DF1FE6" w14:paraId="6531CAF4" w14:textId="77777777" w:rsidTr="00DF1F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746FCB" w14:textId="77777777" w:rsidR="00DF1FE6" w:rsidRPr="00DF1FE6" w:rsidRDefault="00DF1FE6" w:rsidP="00DF1FE6">
            <w:pPr>
              <w:pStyle w:val="BodyText"/>
              <w:spacing w:before="0" w:after="0" w:line="240" w:lineRule="auto"/>
              <w:rPr>
                <w:rFonts w:asciiTheme="minorHAnsi" w:eastAsiaTheme="minorEastAsia" w:hAnsiTheme="minorHAnsi" w:cstheme="minorBidi"/>
                <w:sz w:val="18"/>
                <w:szCs w:val="18"/>
              </w:rPr>
            </w:pPr>
            <w:r w:rsidRPr="00DF1FE6">
              <w:rPr>
                <w:sz w:val="18"/>
                <w:szCs w:val="18"/>
              </w:rPr>
              <w:t>Complete Mediation</w:t>
            </w:r>
          </w:p>
        </w:tc>
        <w:tc>
          <w:tcPr>
            <w:tcW w:w="0" w:type="auto"/>
            <w:hideMark/>
          </w:tcPr>
          <w:p w14:paraId="40F18E65" w14:textId="77777777" w:rsidR="00DF1FE6" w:rsidRPr="00DF1FE6" w:rsidRDefault="00DF1FE6" w:rsidP="00DF1FE6">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00DF1FE6">
              <w:rPr>
                <w:sz w:val="18"/>
                <w:szCs w:val="18"/>
              </w:rPr>
              <w:t>All privileged operations pass through HID</w:t>
            </w:r>
          </w:p>
        </w:tc>
        <w:tc>
          <w:tcPr>
            <w:tcW w:w="0" w:type="auto"/>
            <w:hideMark/>
          </w:tcPr>
          <w:p w14:paraId="0DF095C1" w14:textId="77777777" w:rsidR="00DF1FE6" w:rsidRPr="00DF1FE6" w:rsidRDefault="00DF1FE6" w:rsidP="00DF1FE6">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00DF1FE6">
              <w:rPr>
                <w:sz w:val="18"/>
                <w:szCs w:val="18"/>
              </w:rPr>
              <w:t>TSM Core Monitor</w:t>
            </w:r>
          </w:p>
        </w:tc>
        <w:tc>
          <w:tcPr>
            <w:tcW w:w="0" w:type="auto"/>
            <w:hideMark/>
          </w:tcPr>
          <w:p w14:paraId="61ADD784" w14:textId="77777777" w:rsidR="00DF1FE6" w:rsidRPr="00DF1FE6" w:rsidRDefault="00DF1FE6" w:rsidP="00DF1FE6">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00DF1FE6">
              <w:rPr>
                <w:sz w:val="18"/>
                <w:szCs w:val="18"/>
              </w:rPr>
              <w:t>No direct LID-to-actuator path</w:t>
            </w:r>
          </w:p>
        </w:tc>
      </w:tr>
      <w:tr w:rsidR="00DF1FE6" w:rsidRPr="00DF1FE6" w14:paraId="63863641" w14:textId="77777777" w:rsidTr="00DF1FE6">
        <w:tc>
          <w:tcPr>
            <w:cnfStyle w:val="001000000000" w:firstRow="0" w:lastRow="0" w:firstColumn="1" w:lastColumn="0" w:oddVBand="0" w:evenVBand="0" w:oddHBand="0" w:evenHBand="0" w:firstRowFirstColumn="0" w:firstRowLastColumn="0" w:lastRowFirstColumn="0" w:lastRowLastColumn="0"/>
            <w:tcW w:w="0" w:type="auto"/>
            <w:hideMark/>
          </w:tcPr>
          <w:p w14:paraId="4243D0FA" w14:textId="77777777" w:rsidR="00DF1FE6" w:rsidRPr="00DF1FE6" w:rsidRDefault="00DF1FE6" w:rsidP="00DF1FE6">
            <w:pPr>
              <w:pStyle w:val="BodyText"/>
              <w:spacing w:before="0" w:after="0" w:line="240" w:lineRule="auto"/>
              <w:rPr>
                <w:rFonts w:asciiTheme="minorHAnsi" w:eastAsiaTheme="minorEastAsia" w:hAnsiTheme="minorHAnsi" w:cstheme="minorBidi"/>
                <w:sz w:val="18"/>
                <w:szCs w:val="18"/>
              </w:rPr>
            </w:pPr>
            <w:r w:rsidRPr="00DF1FE6">
              <w:rPr>
                <w:sz w:val="18"/>
                <w:szCs w:val="18"/>
              </w:rPr>
              <w:t>Domain Isolation</w:t>
            </w:r>
          </w:p>
        </w:tc>
        <w:tc>
          <w:tcPr>
            <w:tcW w:w="0" w:type="auto"/>
            <w:hideMark/>
          </w:tcPr>
          <w:p w14:paraId="3EB4D499" w14:textId="77777777" w:rsidR="00DF1FE6" w:rsidRPr="00DF1FE6" w:rsidRDefault="00DF1FE6" w:rsidP="00DF1FE6">
            <w:pPr>
              <w:pStyle w:val="BodyText"/>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00DF1FE6">
              <w:rPr>
                <w:sz w:val="18"/>
                <w:szCs w:val="18"/>
              </w:rPr>
              <w:t>Logical separation between LID and HID</w:t>
            </w:r>
          </w:p>
        </w:tc>
        <w:tc>
          <w:tcPr>
            <w:tcW w:w="0" w:type="auto"/>
            <w:hideMark/>
          </w:tcPr>
          <w:p w14:paraId="3A4CB9E3" w14:textId="77777777" w:rsidR="00DF1FE6" w:rsidRPr="00DF1FE6" w:rsidRDefault="00DF1FE6" w:rsidP="00DF1FE6">
            <w:pPr>
              <w:pStyle w:val="BodyText"/>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00DF1FE6">
              <w:rPr>
                <w:sz w:val="18"/>
                <w:szCs w:val="18"/>
              </w:rPr>
              <w:t>HID boundary controls</w:t>
            </w:r>
          </w:p>
        </w:tc>
        <w:tc>
          <w:tcPr>
            <w:tcW w:w="0" w:type="auto"/>
            <w:hideMark/>
          </w:tcPr>
          <w:p w14:paraId="2C841E2C" w14:textId="77777777" w:rsidR="00DF1FE6" w:rsidRPr="00DF1FE6" w:rsidRDefault="00DF1FE6" w:rsidP="00DF1FE6">
            <w:pPr>
              <w:pStyle w:val="BodyText"/>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00DF1FE6">
              <w:rPr>
                <w:sz w:val="18"/>
                <w:szCs w:val="18"/>
              </w:rPr>
              <w:t>LID cannot access secure storage or actuator gating</w:t>
            </w:r>
          </w:p>
        </w:tc>
      </w:tr>
      <w:tr w:rsidR="002F6F02" w:rsidRPr="00DF1FE6" w14:paraId="3AAF2142" w14:textId="77777777" w:rsidTr="00DF1F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EDC4543" w14:textId="77777777" w:rsidR="00DF1FE6" w:rsidRPr="00DF1FE6" w:rsidRDefault="00DF1FE6" w:rsidP="00DF1FE6">
            <w:pPr>
              <w:pStyle w:val="BodyText"/>
              <w:spacing w:before="0" w:after="0" w:line="240" w:lineRule="auto"/>
              <w:rPr>
                <w:rFonts w:asciiTheme="minorHAnsi" w:eastAsiaTheme="minorEastAsia" w:hAnsiTheme="minorHAnsi" w:cstheme="minorBidi"/>
                <w:sz w:val="18"/>
                <w:szCs w:val="18"/>
              </w:rPr>
            </w:pPr>
            <w:r w:rsidRPr="00DF1FE6">
              <w:rPr>
                <w:sz w:val="18"/>
                <w:szCs w:val="18"/>
              </w:rPr>
              <w:t>Firmware Integrity Anchoring</w:t>
            </w:r>
          </w:p>
        </w:tc>
        <w:tc>
          <w:tcPr>
            <w:tcW w:w="0" w:type="auto"/>
            <w:hideMark/>
          </w:tcPr>
          <w:p w14:paraId="5359F986" w14:textId="77777777" w:rsidR="00DF1FE6" w:rsidRPr="00DF1FE6" w:rsidRDefault="00DF1FE6" w:rsidP="00DF1FE6">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00DF1FE6">
              <w:rPr>
                <w:sz w:val="18"/>
                <w:szCs w:val="18"/>
              </w:rPr>
              <w:t>Execution depends on verified firmware</w:t>
            </w:r>
          </w:p>
        </w:tc>
        <w:tc>
          <w:tcPr>
            <w:tcW w:w="0" w:type="auto"/>
            <w:hideMark/>
          </w:tcPr>
          <w:p w14:paraId="3DC66FE2" w14:textId="77777777" w:rsidR="00DF1FE6" w:rsidRPr="00DF1FE6" w:rsidRDefault="00DF1FE6" w:rsidP="00DF1FE6">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00DF1FE6">
              <w:rPr>
                <w:sz w:val="18"/>
                <w:szCs w:val="18"/>
              </w:rPr>
              <w:t>Cryptographic Engine + Secure Boot</w:t>
            </w:r>
          </w:p>
        </w:tc>
        <w:tc>
          <w:tcPr>
            <w:tcW w:w="0" w:type="auto"/>
            <w:hideMark/>
          </w:tcPr>
          <w:p w14:paraId="00BF01A7" w14:textId="77777777" w:rsidR="00DF1FE6" w:rsidRPr="00DF1FE6" w:rsidRDefault="00DF1FE6" w:rsidP="00DF1FE6">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00DF1FE6">
              <w:rPr>
                <w:sz w:val="18"/>
                <w:szCs w:val="18"/>
              </w:rPr>
              <w:t>Blocks unauthenticated runtime</w:t>
            </w:r>
          </w:p>
        </w:tc>
      </w:tr>
      <w:tr w:rsidR="00DF1FE6" w:rsidRPr="00DF1FE6" w14:paraId="7B692F8A" w14:textId="77777777" w:rsidTr="00DF1FE6">
        <w:tc>
          <w:tcPr>
            <w:cnfStyle w:val="001000000000" w:firstRow="0" w:lastRow="0" w:firstColumn="1" w:lastColumn="0" w:oddVBand="0" w:evenVBand="0" w:oddHBand="0" w:evenHBand="0" w:firstRowFirstColumn="0" w:firstRowLastColumn="0" w:lastRowFirstColumn="0" w:lastRowLastColumn="0"/>
            <w:tcW w:w="0" w:type="auto"/>
            <w:hideMark/>
          </w:tcPr>
          <w:p w14:paraId="6B9BC6A7" w14:textId="77777777" w:rsidR="00DF1FE6" w:rsidRPr="00DF1FE6" w:rsidRDefault="00DF1FE6" w:rsidP="00DF1FE6">
            <w:pPr>
              <w:pStyle w:val="BodyText"/>
              <w:spacing w:before="0" w:after="0" w:line="240" w:lineRule="auto"/>
              <w:rPr>
                <w:rFonts w:asciiTheme="minorHAnsi" w:eastAsiaTheme="minorEastAsia" w:hAnsiTheme="minorHAnsi" w:cstheme="minorBidi"/>
                <w:sz w:val="18"/>
                <w:szCs w:val="18"/>
              </w:rPr>
            </w:pPr>
            <w:r w:rsidRPr="00DF1FE6">
              <w:rPr>
                <w:sz w:val="18"/>
                <w:szCs w:val="18"/>
              </w:rPr>
              <w:t>Command Policy Enforcement</w:t>
            </w:r>
          </w:p>
        </w:tc>
        <w:tc>
          <w:tcPr>
            <w:tcW w:w="0" w:type="auto"/>
            <w:hideMark/>
          </w:tcPr>
          <w:p w14:paraId="5220ECA1" w14:textId="734ED621" w:rsidR="00DF1FE6" w:rsidRPr="00DF1FE6" w:rsidRDefault="00DF1FE6" w:rsidP="00DF1FE6">
            <w:pPr>
              <w:pStyle w:val="BodyText"/>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00DF1FE6">
              <w:rPr>
                <w:sz w:val="18"/>
                <w:szCs w:val="18"/>
              </w:rPr>
              <w:t xml:space="preserve">Grid commands </w:t>
            </w:r>
            <w:r>
              <w:rPr>
                <w:sz w:val="18"/>
                <w:szCs w:val="18"/>
              </w:rPr>
              <w:t xml:space="preserve">are </w:t>
            </w:r>
            <w:r w:rsidRPr="00DF1FE6">
              <w:rPr>
                <w:sz w:val="18"/>
                <w:szCs w:val="18"/>
              </w:rPr>
              <w:t>evaluated pre-actuation</w:t>
            </w:r>
          </w:p>
        </w:tc>
        <w:tc>
          <w:tcPr>
            <w:tcW w:w="0" w:type="auto"/>
            <w:hideMark/>
          </w:tcPr>
          <w:p w14:paraId="5422AEFC" w14:textId="77777777" w:rsidR="00DF1FE6" w:rsidRPr="00DF1FE6" w:rsidRDefault="00DF1FE6" w:rsidP="00DF1FE6">
            <w:pPr>
              <w:pStyle w:val="BodyText"/>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00DF1FE6">
              <w:rPr>
                <w:sz w:val="18"/>
                <w:szCs w:val="18"/>
              </w:rPr>
              <w:t>Policy Enforcement Engine</w:t>
            </w:r>
          </w:p>
        </w:tc>
        <w:tc>
          <w:tcPr>
            <w:tcW w:w="0" w:type="auto"/>
            <w:hideMark/>
          </w:tcPr>
          <w:p w14:paraId="519FD2DC" w14:textId="77777777" w:rsidR="00DF1FE6" w:rsidRPr="00DF1FE6" w:rsidRDefault="00DF1FE6" w:rsidP="00DF1FE6">
            <w:pPr>
              <w:pStyle w:val="BodyText"/>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00DF1FE6">
              <w:rPr>
                <w:sz w:val="18"/>
                <w:szCs w:val="18"/>
              </w:rPr>
              <w:t>Prevents unsafe power modulation</w:t>
            </w:r>
          </w:p>
        </w:tc>
      </w:tr>
      <w:tr w:rsidR="002F6F02" w:rsidRPr="00DF1FE6" w14:paraId="5FA57C3C" w14:textId="77777777" w:rsidTr="00DF1F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51B760" w14:textId="77777777" w:rsidR="00DF1FE6" w:rsidRPr="00DF1FE6" w:rsidRDefault="00DF1FE6" w:rsidP="00DF1FE6">
            <w:pPr>
              <w:pStyle w:val="BodyText"/>
              <w:spacing w:before="0" w:after="0" w:line="240" w:lineRule="auto"/>
              <w:rPr>
                <w:rFonts w:asciiTheme="minorHAnsi" w:eastAsiaTheme="minorEastAsia" w:hAnsiTheme="minorHAnsi" w:cstheme="minorBidi"/>
                <w:sz w:val="18"/>
                <w:szCs w:val="18"/>
              </w:rPr>
            </w:pPr>
            <w:r w:rsidRPr="00DF1FE6">
              <w:rPr>
                <w:sz w:val="18"/>
                <w:szCs w:val="18"/>
              </w:rPr>
              <w:t>Escalation Containment</w:t>
            </w:r>
          </w:p>
        </w:tc>
        <w:tc>
          <w:tcPr>
            <w:tcW w:w="0" w:type="auto"/>
            <w:hideMark/>
          </w:tcPr>
          <w:p w14:paraId="12F48344" w14:textId="77777777" w:rsidR="00DF1FE6" w:rsidRPr="00DF1FE6" w:rsidRDefault="00DF1FE6" w:rsidP="00DF1FE6">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00DF1FE6">
              <w:rPr>
                <w:sz w:val="18"/>
                <w:szCs w:val="18"/>
              </w:rPr>
              <w:t>Compromise confined within LID</w:t>
            </w:r>
          </w:p>
        </w:tc>
        <w:tc>
          <w:tcPr>
            <w:tcW w:w="0" w:type="auto"/>
            <w:hideMark/>
          </w:tcPr>
          <w:p w14:paraId="495C93AE" w14:textId="77777777" w:rsidR="00DF1FE6" w:rsidRPr="00DF1FE6" w:rsidRDefault="00DF1FE6" w:rsidP="00DF1FE6">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00DF1FE6">
              <w:rPr>
                <w:sz w:val="18"/>
                <w:szCs w:val="18"/>
              </w:rPr>
              <w:t>Hardware Interface Controller</w:t>
            </w:r>
          </w:p>
        </w:tc>
        <w:tc>
          <w:tcPr>
            <w:tcW w:w="0" w:type="auto"/>
            <w:hideMark/>
          </w:tcPr>
          <w:p w14:paraId="7F9A5B17" w14:textId="77777777" w:rsidR="00DF1FE6" w:rsidRPr="00DF1FE6" w:rsidRDefault="00DF1FE6" w:rsidP="00DF1FE6">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00DF1FE6">
              <w:rPr>
                <w:sz w:val="18"/>
                <w:szCs w:val="18"/>
              </w:rPr>
              <w:t>Prevents cross-domain amplification</w:t>
            </w:r>
          </w:p>
        </w:tc>
      </w:tr>
    </w:tbl>
    <w:p w14:paraId="2B7A6F9E" w14:textId="331F3834" w:rsidR="0028084F" w:rsidRDefault="718650C8" w:rsidP="000F000E">
      <w:pPr>
        <w:pStyle w:val="Heading2"/>
        <w:ind w:left="426"/>
        <w:rPr>
          <w:rFonts w:asciiTheme="minorHAnsi" w:eastAsiaTheme="minorEastAsia" w:hAnsiTheme="minorHAnsi" w:cstheme="minorBidi"/>
          <w:b/>
        </w:rPr>
      </w:pPr>
      <w:r w:rsidRPr="6A328E42">
        <w:rPr>
          <w:b/>
        </w:rPr>
        <w:t xml:space="preserve"> </w:t>
      </w:r>
      <w:bookmarkStart w:id="258" w:name="_Toc222954498"/>
      <w:bookmarkStart w:id="259" w:name="_Toc223022380"/>
      <w:bookmarkStart w:id="260" w:name="_Toc234310811"/>
      <w:r w:rsidR="006E3137">
        <w:rPr>
          <w:b/>
          <w:bCs w:val="0"/>
        </w:rPr>
        <w:t>EVSE Co-simulation</w:t>
      </w:r>
      <w:r w:rsidR="006E3137" w:rsidRPr="006E3137">
        <w:rPr>
          <w:b/>
          <w:bCs w:val="0"/>
        </w:rPr>
        <w:t xml:space="preserve"> </w:t>
      </w:r>
      <w:r w:rsidR="00433D84">
        <w:rPr>
          <w:b/>
          <w:bCs w:val="0"/>
        </w:rPr>
        <w:t>B</w:t>
      </w:r>
      <w:r w:rsidR="006E3137" w:rsidRPr="006E3137">
        <w:rPr>
          <w:b/>
          <w:bCs w:val="0"/>
        </w:rPr>
        <w:t xml:space="preserve">aseline </w:t>
      </w:r>
      <w:r w:rsidR="00433D84">
        <w:rPr>
          <w:b/>
          <w:bCs w:val="0"/>
        </w:rPr>
        <w:t>M</w:t>
      </w:r>
      <w:r w:rsidR="006E3137" w:rsidRPr="006E3137">
        <w:rPr>
          <w:b/>
          <w:bCs w:val="0"/>
        </w:rPr>
        <w:t xml:space="preserve">odel </w:t>
      </w:r>
      <w:r w:rsidR="00433D84">
        <w:rPr>
          <w:b/>
          <w:bCs w:val="0"/>
        </w:rPr>
        <w:t>R</w:t>
      </w:r>
      <w:r w:rsidR="006E3137" w:rsidRPr="006E3137">
        <w:rPr>
          <w:b/>
          <w:bCs w:val="0"/>
        </w:rPr>
        <w:t>esults</w:t>
      </w:r>
      <w:bookmarkEnd w:id="258"/>
      <w:bookmarkEnd w:id="259"/>
      <w:bookmarkEnd w:id="260"/>
    </w:p>
    <w:p w14:paraId="0151F323" w14:textId="77777777" w:rsidR="00610E47" w:rsidRPr="004F1CA5" w:rsidRDefault="006F2AF8" w:rsidP="00610E47">
      <w:pPr>
        <w:pStyle w:val="BodyText"/>
        <w:jc w:val="both"/>
        <w:rPr>
          <w:rFonts w:asciiTheme="minorHAnsi" w:hAnsiTheme="minorHAnsi" w:cstheme="minorBidi"/>
          <w:b/>
          <w:szCs w:val="24"/>
        </w:rPr>
      </w:pPr>
      <w:r w:rsidRPr="148BD744">
        <w:rPr>
          <w:rFonts w:asciiTheme="minorHAnsi" w:hAnsiTheme="minorHAnsi" w:cstheme="minorBidi"/>
          <w:szCs w:val="24"/>
        </w:rPr>
        <w:t>This section presents the results obtained from the EVSE co-simulation baseline model developed in Phase II (Co-Simulation Platform Development). The simulations capture realistic configurations of EVSE components, grid dynamics, EV charging behaviour, and their interconnections as defined in the architectural decomposition described earlier. The baseline model establishes the reference operational behaviour against which subsequent supervisory enforcement and adversarial scenarios are evaluated.</w:t>
      </w:r>
    </w:p>
    <w:p w14:paraId="75E40EF9" w14:textId="43C8A771" w:rsidR="6A328E42" w:rsidRPr="001C02C4" w:rsidRDefault="5C711659" w:rsidP="001C02C4">
      <w:pPr>
        <w:spacing w:after="160" w:line="257" w:lineRule="auto"/>
        <w:jc w:val="both"/>
        <w:rPr>
          <w:rFonts w:asciiTheme="minorHAnsi" w:eastAsia="Aptos" w:hAnsiTheme="minorHAnsi" w:cstheme="minorHAnsi"/>
          <w:b/>
          <w:bCs/>
          <w:sz w:val="28"/>
          <w:szCs w:val="28"/>
        </w:rPr>
      </w:pPr>
      <w:bookmarkStart w:id="261" w:name="_Toc222954499"/>
      <w:r w:rsidRPr="001C02C4">
        <w:rPr>
          <w:rFonts w:asciiTheme="minorHAnsi" w:eastAsia="Aptos" w:hAnsiTheme="minorHAnsi" w:cstheme="minorHAnsi"/>
          <w:b/>
          <w:bCs/>
          <w:sz w:val="28"/>
          <w:szCs w:val="28"/>
        </w:rPr>
        <w:t>Single EVSE with Grid Integration</w:t>
      </w:r>
      <w:bookmarkEnd w:id="261"/>
      <w:r w:rsidRPr="001C02C4">
        <w:rPr>
          <w:rFonts w:asciiTheme="minorHAnsi" w:eastAsia="Aptos" w:hAnsiTheme="minorHAnsi" w:cstheme="minorHAnsi"/>
          <w:b/>
          <w:bCs/>
          <w:sz w:val="28"/>
          <w:szCs w:val="28"/>
        </w:rPr>
        <w:t xml:space="preserve"> </w:t>
      </w:r>
    </w:p>
    <w:p w14:paraId="0A4FE4EB" w14:textId="124740A2" w:rsidR="6A328E42" w:rsidRPr="004F1CA5" w:rsidRDefault="5C711659" w:rsidP="09E359FC">
      <w:pPr>
        <w:spacing w:after="160" w:line="257" w:lineRule="auto"/>
        <w:jc w:val="both"/>
        <w:rPr>
          <w:rFonts w:asciiTheme="minorHAnsi" w:hAnsiTheme="minorHAnsi" w:cstheme="minorBidi"/>
          <w:sz w:val="24"/>
          <w:szCs w:val="24"/>
        </w:rPr>
      </w:pPr>
      <w:r w:rsidRPr="43DC43E6">
        <w:rPr>
          <w:rFonts w:asciiTheme="minorHAnsi" w:eastAsia="Aptos" w:hAnsiTheme="minorHAnsi" w:cstheme="minorBidi"/>
          <w:sz w:val="24"/>
          <w:szCs w:val="24"/>
        </w:rPr>
        <w:t xml:space="preserve">In this scenario, a single EVSE operates under grid conditions to observe the functional stability and grid dynamics. In this case, it is a reference model to investigate for further complex behaviour and stochastic grid dynamics. The objective in this scenario is to evaluate current and voltage constraints, charging dynamics, </w:t>
      </w:r>
      <w:r w:rsidR="00433D84">
        <w:rPr>
          <w:rFonts w:asciiTheme="minorHAnsi" w:eastAsia="Aptos" w:hAnsiTheme="minorHAnsi" w:cstheme="minorBidi"/>
          <w:sz w:val="24"/>
          <w:szCs w:val="24"/>
        </w:rPr>
        <w:t>adherence to communication protocols</w:t>
      </w:r>
      <w:r w:rsidRPr="43DC43E6">
        <w:rPr>
          <w:rFonts w:asciiTheme="minorHAnsi" w:eastAsia="Aptos" w:hAnsiTheme="minorHAnsi" w:cstheme="minorBidi"/>
          <w:sz w:val="24"/>
          <w:szCs w:val="24"/>
        </w:rPr>
        <w:t xml:space="preserve">, and stable operation in a co-simulation federation environment. </w:t>
      </w:r>
    </w:p>
    <w:p w14:paraId="33873892" w14:textId="014E7436" w:rsidR="6A328E42" w:rsidRPr="004F1CA5" w:rsidRDefault="5C711659" w:rsidP="000650A4">
      <w:pPr>
        <w:spacing w:after="160" w:line="257" w:lineRule="auto"/>
        <w:jc w:val="both"/>
        <w:rPr>
          <w:rFonts w:asciiTheme="minorHAnsi" w:eastAsia="Aptos" w:hAnsiTheme="minorHAnsi" w:cstheme="minorHAnsi"/>
          <w:b/>
          <w:bCs/>
          <w:color w:val="0F4761"/>
          <w:sz w:val="28"/>
          <w:szCs w:val="28"/>
        </w:rPr>
      </w:pPr>
      <w:r w:rsidRPr="004F1CA5">
        <w:rPr>
          <w:rFonts w:asciiTheme="minorHAnsi" w:eastAsia="Aptos" w:hAnsiTheme="minorHAnsi" w:cstheme="minorHAnsi"/>
        </w:rPr>
        <w:t xml:space="preserve"> </w:t>
      </w:r>
      <w:bookmarkStart w:id="262" w:name="_Toc222954500"/>
      <w:r w:rsidRPr="004F1CA5">
        <w:rPr>
          <w:rFonts w:asciiTheme="minorHAnsi" w:eastAsia="Aptos" w:hAnsiTheme="minorHAnsi" w:cstheme="minorHAnsi"/>
          <w:b/>
          <w:bCs/>
          <w:color w:val="auto"/>
          <w:sz w:val="28"/>
          <w:szCs w:val="28"/>
        </w:rPr>
        <w:t>Simulation Configuration</w:t>
      </w:r>
      <w:bookmarkEnd w:id="262"/>
      <w:r w:rsidRPr="004F1CA5">
        <w:rPr>
          <w:rFonts w:asciiTheme="minorHAnsi" w:eastAsia="Aptos" w:hAnsiTheme="minorHAnsi" w:cstheme="minorHAnsi"/>
          <w:color w:val="0F4761"/>
          <w:sz w:val="28"/>
          <w:szCs w:val="28"/>
        </w:rPr>
        <w:t xml:space="preserve"> </w:t>
      </w:r>
    </w:p>
    <w:p w14:paraId="4CA80315" w14:textId="0AA5C96C" w:rsidR="6A328E42" w:rsidRPr="004F1CA5" w:rsidRDefault="5C711659" w:rsidP="09E359FC">
      <w:pPr>
        <w:spacing w:after="160" w:line="257" w:lineRule="auto"/>
        <w:jc w:val="both"/>
        <w:rPr>
          <w:rFonts w:asciiTheme="minorHAnsi" w:hAnsiTheme="minorHAnsi" w:cstheme="minorBidi"/>
          <w:sz w:val="24"/>
          <w:szCs w:val="24"/>
        </w:rPr>
      </w:pPr>
      <w:r w:rsidRPr="43DC43E6">
        <w:rPr>
          <w:rFonts w:asciiTheme="minorHAnsi" w:eastAsia="Aptos" w:hAnsiTheme="minorHAnsi" w:cstheme="minorBidi"/>
          <w:sz w:val="24"/>
          <w:szCs w:val="24"/>
        </w:rPr>
        <w:t xml:space="preserve">The simulation configuration of a single EVSE supports three connectors with a capacity of 50 kW each, and the power station capacity is 100 kW. Two EVs of nominal battery capacity of 60 kWh each are configured with an initial SoC of 20%. The power grid is modelled with a distribution feeder of 12.47 kV, and the feeder capacity limit is 150 kW. The duration of the simulation is 120 minutes, and a 1-minute interval is used for capturing temporal resolution to observe steady-states and transient responses. </w:t>
      </w:r>
    </w:p>
    <w:p w14:paraId="40E75875" w14:textId="252FC8D4" w:rsidR="6A328E42" w:rsidRPr="004F1CA5" w:rsidRDefault="5C711659" w:rsidP="000650A4">
      <w:pPr>
        <w:spacing w:after="160" w:line="257" w:lineRule="auto"/>
        <w:rPr>
          <w:rFonts w:asciiTheme="minorHAnsi" w:eastAsia="Aptos" w:hAnsiTheme="minorHAnsi" w:cstheme="minorHAnsi"/>
          <w:sz w:val="28"/>
          <w:szCs w:val="28"/>
        </w:rPr>
      </w:pPr>
      <w:r w:rsidRPr="004F1CA5">
        <w:rPr>
          <w:rFonts w:asciiTheme="minorHAnsi" w:eastAsia="Aptos" w:hAnsiTheme="minorHAnsi" w:cstheme="minorHAnsi"/>
        </w:rPr>
        <w:t xml:space="preserve"> </w:t>
      </w:r>
      <w:bookmarkStart w:id="263" w:name="_Toc222954501"/>
      <w:r w:rsidRPr="004F1CA5">
        <w:rPr>
          <w:rFonts w:asciiTheme="minorHAnsi" w:eastAsia="Aptos" w:hAnsiTheme="minorHAnsi" w:cstheme="minorHAnsi"/>
          <w:b/>
          <w:bCs/>
          <w:color w:val="auto"/>
          <w:sz w:val="28"/>
          <w:szCs w:val="28"/>
        </w:rPr>
        <w:t>Execution Framework</w:t>
      </w:r>
      <w:bookmarkEnd w:id="263"/>
      <w:r w:rsidRPr="004F1CA5">
        <w:rPr>
          <w:rFonts w:asciiTheme="minorHAnsi" w:eastAsia="Aptos" w:hAnsiTheme="minorHAnsi" w:cstheme="minorHAnsi"/>
          <w:b/>
          <w:bCs/>
          <w:color w:val="auto"/>
          <w:sz w:val="28"/>
          <w:szCs w:val="28"/>
        </w:rPr>
        <w:t xml:space="preserve"> </w:t>
      </w:r>
    </w:p>
    <w:p w14:paraId="14B99E38" w14:textId="5D05DE09" w:rsidR="6A328E42" w:rsidRPr="004F1CA5" w:rsidRDefault="5C711659" w:rsidP="09E359FC">
      <w:pPr>
        <w:spacing w:after="160" w:line="257" w:lineRule="auto"/>
        <w:jc w:val="both"/>
        <w:rPr>
          <w:rFonts w:asciiTheme="minorHAnsi" w:hAnsiTheme="minorHAnsi" w:cstheme="minorBidi"/>
          <w:sz w:val="24"/>
          <w:szCs w:val="24"/>
        </w:rPr>
      </w:pPr>
      <w:r w:rsidRPr="43DC43E6">
        <w:rPr>
          <w:rFonts w:asciiTheme="minorHAnsi" w:eastAsia="Aptos" w:hAnsiTheme="minorHAnsi" w:cstheme="minorBidi"/>
          <w:sz w:val="24"/>
          <w:szCs w:val="24"/>
        </w:rPr>
        <w:t xml:space="preserve">The simulation EV charging system package and Simulator classes are used for the concurrent operations of EVs, EVSE, and power grid feeders. To capture real-time results, the dashboard launches with </w:t>
      </w:r>
      <w:r w:rsidRPr="43DC43E6">
        <w:rPr>
          <w:rFonts w:asciiTheme="minorHAnsi" w:eastAsia="Aptos" w:hAnsiTheme="minorHAnsi" w:cstheme="minorBidi"/>
          <w:i/>
          <w:sz w:val="24"/>
          <w:szCs w:val="24"/>
        </w:rPr>
        <w:t xml:space="preserve">Enhanced Messages Server </w:t>
      </w:r>
      <w:r w:rsidRPr="43DC43E6">
        <w:rPr>
          <w:rFonts w:asciiTheme="minorHAnsi" w:eastAsia="Aptos" w:hAnsiTheme="minorHAnsi" w:cstheme="minorBidi"/>
          <w:sz w:val="24"/>
          <w:szCs w:val="24"/>
        </w:rPr>
        <w:t xml:space="preserve">for the visualization of execution events, communication interactions, and operational constraints. The communication protocols enable interactions among EVs, EVSE, and the power grid. The logging metrics record telemetry exchanges, event traces, operational control, and performance metrics in the runtime of the simulation.  </w:t>
      </w:r>
    </w:p>
    <w:p w14:paraId="7D5BF9BE" w14:textId="625D75B4" w:rsidR="6A328E42" w:rsidRPr="004F1CA5" w:rsidRDefault="5C711659" w:rsidP="09E359FC">
      <w:pPr>
        <w:spacing w:after="160" w:line="257" w:lineRule="auto"/>
        <w:jc w:val="both"/>
        <w:rPr>
          <w:rFonts w:asciiTheme="minorHAnsi" w:hAnsiTheme="minorHAnsi" w:cstheme="minorBidi"/>
          <w:sz w:val="24"/>
          <w:szCs w:val="24"/>
        </w:rPr>
      </w:pPr>
      <w:r w:rsidRPr="43DC43E6">
        <w:rPr>
          <w:rFonts w:asciiTheme="minorHAnsi" w:eastAsia="Aptos" w:hAnsiTheme="minorHAnsi" w:cstheme="minorBidi"/>
          <w:sz w:val="24"/>
          <w:szCs w:val="24"/>
        </w:rPr>
        <w:t xml:space="preserve">The single EVSE is integrated with the IEEE 13-bus distribution system through the HELICS co-simulation framework. </w:t>
      </w:r>
      <w:r w:rsidR="00782FEB">
        <w:rPr>
          <w:rFonts w:asciiTheme="minorHAnsi" w:eastAsia="Aptos" w:hAnsiTheme="minorHAnsi" w:cstheme="minorBidi"/>
          <w:sz w:val="24"/>
          <w:szCs w:val="24"/>
        </w:rPr>
        <w:t>f</w:t>
      </w:r>
      <w:r w:rsidRPr="43DC43E6">
        <w:rPr>
          <w:rFonts w:asciiTheme="minorHAnsi" w:eastAsia="Aptos" w:hAnsiTheme="minorHAnsi" w:cstheme="minorBidi"/>
          <w:sz w:val="24"/>
          <w:szCs w:val="24"/>
        </w:rPr>
        <w:t xml:space="preserve">igure </w:t>
      </w:r>
      <w:r w:rsidR="390D6DA4" w:rsidRPr="43DC43E6">
        <w:rPr>
          <w:rFonts w:asciiTheme="minorHAnsi" w:eastAsia="Aptos" w:hAnsiTheme="minorHAnsi" w:cstheme="minorBidi"/>
          <w:sz w:val="24"/>
          <w:szCs w:val="24"/>
        </w:rPr>
        <w:t>2</w:t>
      </w:r>
      <w:r w:rsidRPr="43DC43E6">
        <w:rPr>
          <w:rFonts w:asciiTheme="minorHAnsi" w:eastAsia="Aptos" w:hAnsiTheme="minorHAnsi" w:cstheme="minorBidi"/>
          <w:sz w:val="24"/>
          <w:szCs w:val="24"/>
        </w:rPr>
        <w:t xml:space="preserve">1 illustrates the grid integration architecture, where the EVSE federate interfaces with the power distribution network through OpenDSS, exchanging real-time power flow data, voltage measurements, and control signals. The EVSE operates as a controlled load on the distribution feeder, with bidirectional communication enabling dynamic power management and grid stability control. The integration ensures compliance with grid constraints, including voltage limits (±5% of nominal), feeder capacity (150 kW), and power quality standards. </w:t>
      </w:r>
    </w:p>
    <w:p w14:paraId="1DC94095" w14:textId="36796384" w:rsidR="6A328E42" w:rsidRDefault="6A328E42" w:rsidP="09E359FC">
      <w:pPr>
        <w:spacing w:after="160" w:line="257" w:lineRule="auto"/>
        <w:rPr>
          <w:rFonts w:asciiTheme="minorHAnsi" w:hAnsiTheme="minorHAnsi" w:cstheme="minorHAnsi"/>
        </w:rPr>
      </w:pPr>
    </w:p>
    <w:p w14:paraId="4B94D096" w14:textId="52AA7813" w:rsidR="00820004" w:rsidRPr="004F1CA5" w:rsidRDefault="00820004" w:rsidP="09E359FC">
      <w:pPr>
        <w:spacing w:after="160" w:line="257" w:lineRule="auto"/>
        <w:rPr>
          <w:rFonts w:asciiTheme="minorHAnsi" w:hAnsiTheme="minorHAnsi" w:cstheme="minorHAnsi"/>
        </w:rPr>
      </w:pPr>
      <w:r>
        <w:rPr>
          <w:noProof/>
        </w:rPr>
        <w:drawing>
          <wp:inline distT="0" distB="0" distL="0" distR="0" wp14:anchorId="3D7696F1" wp14:editId="0AA7E852">
            <wp:extent cx="6120130" cy="6723380"/>
            <wp:effectExtent l="0" t="0" r="0" b="1270"/>
            <wp:docPr id="1209131602" name="Picture 20" descr="A diagram of a computer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131602" name="Picture 20" descr="A diagram of a computer system&#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20130" cy="6723380"/>
                    </a:xfrm>
                    <a:prstGeom prst="rect">
                      <a:avLst/>
                    </a:prstGeom>
                    <a:noFill/>
                    <a:ln>
                      <a:noFill/>
                    </a:ln>
                  </pic:spPr>
                </pic:pic>
              </a:graphicData>
            </a:graphic>
          </wp:inline>
        </w:drawing>
      </w:r>
    </w:p>
    <w:p w14:paraId="11916FC9" w14:textId="10C710AE" w:rsidR="6A328E42" w:rsidRPr="004F1CA5" w:rsidRDefault="00B95BE2" w:rsidP="00B95BE2">
      <w:pPr>
        <w:pStyle w:val="Caption"/>
        <w:rPr>
          <w:rFonts w:asciiTheme="minorHAnsi" w:hAnsiTheme="minorHAnsi" w:cstheme="minorBidi"/>
          <w:szCs w:val="20"/>
        </w:rPr>
      </w:pPr>
      <w:bookmarkStart w:id="264" w:name="_Toc233112227"/>
      <w:r>
        <w:t xml:space="preserve">Figure </w:t>
      </w:r>
      <w:r w:rsidR="00113348">
        <w:fldChar w:fldCharType="begin"/>
      </w:r>
      <w:r w:rsidR="00113348">
        <w:instrText xml:space="preserve"> SEQ Figure \* ARABIC </w:instrText>
      </w:r>
      <w:r w:rsidR="00113348">
        <w:fldChar w:fldCharType="separate"/>
      </w:r>
      <w:r w:rsidR="00F8092D">
        <w:rPr>
          <w:noProof/>
        </w:rPr>
        <w:t>21</w:t>
      </w:r>
      <w:r w:rsidR="00113348">
        <w:rPr>
          <w:noProof/>
        </w:rPr>
        <w:fldChar w:fldCharType="end"/>
      </w:r>
      <w:r w:rsidR="5C711659" w:rsidRPr="43DC43E6">
        <w:rPr>
          <w:rFonts w:asciiTheme="minorHAnsi" w:eastAsia="Aptos" w:hAnsiTheme="minorHAnsi" w:cstheme="minorBidi"/>
          <w:i/>
          <w:color w:val="0E2841"/>
          <w:szCs w:val="20"/>
          <w:lang w:val="en-GB"/>
        </w:rPr>
        <w:t>: Grid integration architecture for single EVSE showing HELICS federation, OpenDSS power flow interface, and bidirectional communication pathways.</w:t>
      </w:r>
      <w:bookmarkEnd w:id="264"/>
      <w:r w:rsidR="5C711659" w:rsidRPr="43DC43E6">
        <w:rPr>
          <w:rFonts w:asciiTheme="minorHAnsi" w:eastAsia="Aptos" w:hAnsiTheme="minorHAnsi" w:cstheme="minorBidi"/>
          <w:i/>
          <w:color w:val="0E2841"/>
          <w:szCs w:val="20"/>
          <w:lang w:val="en-GB"/>
        </w:rPr>
        <w:t xml:space="preserve"> </w:t>
      </w:r>
    </w:p>
    <w:p w14:paraId="691F892F" w14:textId="45564642" w:rsidR="6A328E42" w:rsidRPr="004F1CA5" w:rsidRDefault="5C711659" w:rsidP="09E359FC">
      <w:pPr>
        <w:spacing w:after="160" w:line="257" w:lineRule="auto"/>
        <w:rPr>
          <w:rFonts w:asciiTheme="minorHAnsi" w:hAnsiTheme="minorHAnsi" w:cstheme="minorHAnsi"/>
        </w:rPr>
      </w:pPr>
      <w:r w:rsidRPr="004F1CA5">
        <w:rPr>
          <w:rFonts w:asciiTheme="minorHAnsi" w:eastAsia="Aptos" w:hAnsiTheme="minorHAnsi" w:cstheme="minorHAnsi"/>
        </w:rPr>
        <w:t xml:space="preserve">  </w:t>
      </w:r>
    </w:p>
    <w:p w14:paraId="26314B76" w14:textId="7A4453A4" w:rsidR="6A328E42" w:rsidRPr="004F1CA5" w:rsidRDefault="5C711659" w:rsidP="09E359FC">
      <w:pPr>
        <w:pStyle w:val="Heading3"/>
        <w:spacing w:before="160" w:after="80" w:line="257" w:lineRule="auto"/>
        <w:rPr>
          <w:rFonts w:asciiTheme="minorHAnsi" w:eastAsia="Aptos" w:hAnsiTheme="minorHAnsi" w:cstheme="minorBidi"/>
          <w:b w:val="0"/>
          <w:color w:val="0F4761"/>
          <w:sz w:val="28"/>
          <w:szCs w:val="28"/>
        </w:rPr>
      </w:pPr>
      <w:bookmarkStart w:id="265" w:name="_Toc222954502"/>
      <w:bookmarkStart w:id="266" w:name="_Toc234310812"/>
      <w:r w:rsidRPr="19F71E1F">
        <w:rPr>
          <w:rFonts w:asciiTheme="minorHAnsi" w:eastAsia="Aptos" w:hAnsiTheme="minorHAnsi" w:cstheme="minorBidi"/>
          <w:sz w:val="28"/>
          <w:szCs w:val="28"/>
        </w:rPr>
        <w:t>Performance Evaluation</w:t>
      </w:r>
      <w:bookmarkEnd w:id="265"/>
      <w:bookmarkEnd w:id="266"/>
      <w:r w:rsidRPr="19F71E1F">
        <w:rPr>
          <w:rFonts w:asciiTheme="minorHAnsi" w:eastAsia="Aptos" w:hAnsiTheme="minorHAnsi" w:cstheme="minorBidi"/>
          <w:b w:val="0"/>
          <w:color w:val="0F4761"/>
          <w:sz w:val="28"/>
          <w:szCs w:val="28"/>
        </w:rPr>
        <w:t xml:space="preserve"> </w:t>
      </w:r>
    </w:p>
    <w:p w14:paraId="2F43330E" w14:textId="4F82F901" w:rsidR="6A328E42" w:rsidRPr="004F1CA5" w:rsidRDefault="5C711659" w:rsidP="09E359FC">
      <w:pPr>
        <w:spacing w:after="160" w:line="257" w:lineRule="auto"/>
        <w:jc w:val="both"/>
        <w:rPr>
          <w:rFonts w:asciiTheme="minorHAnsi" w:hAnsiTheme="minorHAnsi" w:cstheme="minorBidi"/>
          <w:sz w:val="24"/>
          <w:szCs w:val="24"/>
        </w:rPr>
      </w:pPr>
      <w:r w:rsidRPr="43DC43E6">
        <w:rPr>
          <w:rFonts w:asciiTheme="minorHAnsi" w:eastAsia="Aptos" w:hAnsiTheme="minorHAnsi" w:cstheme="minorBidi"/>
          <w:sz w:val="24"/>
          <w:szCs w:val="24"/>
        </w:rPr>
        <w:t xml:space="preserve">Once the simulation execution is complete, three datasets are generated, such as events.csv, messages.csv, and metrics.csv. The datasets capture logs of communication events, EV charging dynamics, and aggregated power system profiles. The results show that the stable operation of EV charging according to the power grid capacity of 150 kW. Figure </w:t>
      </w:r>
      <w:r w:rsidR="7564D6C7" w:rsidRPr="43DC43E6">
        <w:rPr>
          <w:rFonts w:asciiTheme="minorHAnsi" w:eastAsia="Aptos" w:hAnsiTheme="minorHAnsi" w:cstheme="minorBidi"/>
          <w:sz w:val="24"/>
          <w:szCs w:val="24"/>
        </w:rPr>
        <w:t>2</w:t>
      </w:r>
      <w:r w:rsidRPr="43DC43E6">
        <w:rPr>
          <w:rFonts w:asciiTheme="minorHAnsi" w:eastAsia="Aptos" w:hAnsiTheme="minorHAnsi" w:cstheme="minorBidi"/>
          <w:sz w:val="24"/>
          <w:szCs w:val="24"/>
        </w:rPr>
        <w:t xml:space="preserve">2 shows EV load profiles, power utilization, and load behaviour according to the grid feeder dynamics and control limits. The power utilization is calculated as follows: The grid utilization factor, computed as: </w:t>
      </w:r>
    </w:p>
    <w:p w14:paraId="148CF38B" w14:textId="7EC7C1C1" w:rsidR="6E8DE32D" w:rsidRDefault="00000000" w:rsidP="4AE5C498">
      <w:pPr>
        <w:spacing w:after="160" w:line="257" w:lineRule="auto"/>
        <w:jc w:val="center"/>
        <w:rPr>
          <w:rFonts w:asciiTheme="minorHAnsi" w:eastAsia="Aptos" w:hAnsiTheme="minorHAnsi" w:cstheme="minorBidi"/>
        </w:rPr>
      </w:pPr>
      <m:oMathPara>
        <m:oMath>
          <m:sSub>
            <m:sSubPr>
              <m:ctrlPr>
                <w:rPr>
                  <w:rFonts w:ascii="Cambria Math" w:hAnsi="Cambria Math"/>
                </w:rPr>
              </m:ctrlPr>
            </m:sSubPr>
            <m:e>
              <m:r>
                <w:rPr>
                  <w:rFonts w:ascii="Cambria Math" w:hAnsi="Cambria Math"/>
                </w:rPr>
                <m:t>P</m:t>
              </m:r>
            </m:e>
            <m:sub>
              <m:r>
                <w:rPr>
                  <w:rFonts w:ascii="Cambria Math" w:hAnsi="Cambria Math"/>
                </w:rPr>
                <m:t>feeder</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sys</m:t>
                  </m:r>
                </m:sub>
              </m:sSub>
              <m:d>
                <m:dPr>
                  <m:ctrlPr>
                    <w:rPr>
                      <w:rFonts w:ascii="Cambria Math" w:hAnsi="Cambria Math"/>
                    </w:rPr>
                  </m:ctrlPr>
                </m:dPr>
                <m:e>
                  <m:r>
                    <w:rPr>
                      <w:rFonts w:ascii="Cambria Math" w:hAnsi="Cambria Math"/>
                    </w:rPr>
                    <m:t>t</m:t>
                  </m:r>
                </m:e>
              </m:d>
            </m:num>
            <m:den>
              <m:sSub>
                <m:sSubPr>
                  <m:ctrlPr>
                    <w:rPr>
                      <w:rFonts w:ascii="Cambria Math" w:hAnsi="Cambria Math"/>
                    </w:rPr>
                  </m:ctrlPr>
                </m:sSubPr>
                <m:e>
                  <m:r>
                    <w:rPr>
                      <w:rFonts w:ascii="Cambria Math" w:hAnsi="Cambria Math"/>
                    </w:rPr>
                    <m:t>P</m:t>
                  </m:r>
                </m:e>
                <m:sub>
                  <m:func>
                    <m:funcPr>
                      <m:ctrlPr>
                        <w:rPr>
                          <w:rFonts w:ascii="Cambria Math" w:hAnsi="Cambria Math"/>
                        </w:rPr>
                      </m:ctrlPr>
                    </m:funcPr>
                    <m:fName>
                      <m:r>
                        <m:rPr>
                          <m:sty m:val="p"/>
                        </m:rPr>
                        <w:rPr>
                          <w:rFonts w:ascii="Cambria Math" w:hAnsi="Cambria Math"/>
                        </w:rPr>
                        <m:t>lim</m:t>
                      </m:r>
                    </m:fName>
                    <m:e>
                      <m:r>
                        <w:rPr>
                          <w:rFonts w:ascii="Cambria Math" w:hAnsi="Cambria Math"/>
                        </w:rPr>
                        <m:t>i</m:t>
                      </m:r>
                    </m:e>
                  </m:func>
                  <m:r>
                    <w:rPr>
                      <w:rFonts w:ascii="Cambria Math" w:hAnsi="Cambria Math"/>
                    </w:rPr>
                    <m:t>t</m:t>
                  </m:r>
                </m:sub>
              </m:sSub>
            </m:den>
          </m:f>
          <m:r>
            <w:rPr>
              <w:rFonts w:ascii="Cambria Math" w:hAnsi="Cambria Math"/>
            </w:rPr>
            <m:t>×100    </m:t>
          </m:r>
          <m:d>
            <m:dPr>
              <m:ctrlPr>
                <w:rPr>
                  <w:rFonts w:ascii="Cambria Math" w:hAnsi="Cambria Math"/>
                </w:rPr>
              </m:ctrlPr>
            </m:dPr>
            <m:e>
              <m:r>
                <w:rPr>
                  <w:rFonts w:ascii="Cambria Math" w:hAnsi="Cambria Math"/>
                </w:rPr>
                <m:t>2</m:t>
              </m:r>
            </m:e>
          </m:d>
        </m:oMath>
      </m:oMathPara>
    </w:p>
    <w:p w14:paraId="04552735" w14:textId="52F9BAC8" w:rsidR="6A328E42" w:rsidRPr="004F1CA5" w:rsidRDefault="5C711659" w:rsidP="55F29549">
      <w:pPr>
        <w:spacing w:after="160" w:line="257" w:lineRule="auto"/>
        <w:jc w:val="both"/>
        <w:rPr>
          <w:rFonts w:asciiTheme="minorHAnsi" w:hAnsiTheme="minorHAnsi" w:cstheme="minorBidi"/>
          <w:sz w:val="24"/>
          <w:szCs w:val="24"/>
        </w:rPr>
      </w:pPr>
      <w:r w:rsidRPr="005713FD">
        <w:rPr>
          <w:rFonts w:asciiTheme="minorHAnsi" w:eastAsia="Aptos" w:hAnsiTheme="minorHAnsi" w:cstheme="minorBidi"/>
          <w:sz w:val="24"/>
          <w:szCs w:val="24"/>
        </w:rPr>
        <w:t xml:space="preserve">  </w:t>
      </w:r>
      <w:r w:rsidRPr="55F29549">
        <w:rPr>
          <w:rFonts w:asciiTheme="minorHAnsi" w:eastAsia="Aptos" w:hAnsiTheme="minorHAnsi" w:cstheme="minorBidi"/>
          <w:sz w:val="24"/>
          <w:szCs w:val="24"/>
        </w:rPr>
        <w:t xml:space="preserve">To keep the operational stability of the power grid, the utilization factor must be kept under 80% in the entire simulation process to keep reserve margins and safe limits. To capture long-term demand patterns and short-term oscillations, a rolling window of 10 minutes is applied in the simulation process. </w:t>
      </w:r>
    </w:p>
    <w:p w14:paraId="1099C65D" w14:textId="79D308BD" w:rsidR="6A328E42" w:rsidRDefault="5C711659" w:rsidP="09E359FC">
      <w:pPr>
        <w:spacing w:after="160" w:line="257" w:lineRule="auto"/>
        <w:rPr>
          <w:rFonts w:asciiTheme="minorHAnsi" w:hAnsiTheme="minorHAnsi" w:cstheme="minorHAnsi"/>
        </w:rPr>
      </w:pPr>
      <w:r w:rsidRPr="004F1CA5">
        <w:rPr>
          <w:rFonts w:asciiTheme="minorHAnsi" w:eastAsia="Aptos" w:hAnsiTheme="minorHAnsi" w:cstheme="minorHAnsi"/>
        </w:rPr>
        <w:t xml:space="preserve"> </w:t>
      </w:r>
    </w:p>
    <w:p w14:paraId="6590AA3C" w14:textId="03A2CDE9" w:rsidR="008712B9" w:rsidRPr="004F1CA5" w:rsidRDefault="008712B9" w:rsidP="09E359FC">
      <w:pPr>
        <w:spacing w:after="160" w:line="257" w:lineRule="auto"/>
        <w:rPr>
          <w:rFonts w:asciiTheme="minorHAnsi" w:hAnsiTheme="minorHAnsi" w:cstheme="minorHAnsi"/>
        </w:rPr>
      </w:pPr>
      <w:r>
        <w:rPr>
          <w:noProof/>
        </w:rPr>
        <w:drawing>
          <wp:inline distT="0" distB="0" distL="0" distR="0" wp14:anchorId="1909DE19" wp14:editId="41B3CB79">
            <wp:extent cx="6120130" cy="4573905"/>
            <wp:effectExtent l="0" t="0" r="0" b="0"/>
            <wp:docPr id="1284394085" name="Picture 2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394085" name="Picture 21" descr="A screenshot of a graph&#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20130" cy="4573905"/>
                    </a:xfrm>
                    <a:prstGeom prst="rect">
                      <a:avLst/>
                    </a:prstGeom>
                    <a:noFill/>
                    <a:ln>
                      <a:noFill/>
                    </a:ln>
                  </pic:spPr>
                </pic:pic>
              </a:graphicData>
            </a:graphic>
          </wp:inline>
        </w:drawing>
      </w:r>
    </w:p>
    <w:p w14:paraId="6F3A8E5F" w14:textId="360A5778" w:rsidR="6A328E42" w:rsidRPr="004F1CA5" w:rsidRDefault="00B95BE2" w:rsidP="00B95BE2">
      <w:pPr>
        <w:pStyle w:val="Caption"/>
        <w:rPr>
          <w:rFonts w:asciiTheme="minorHAnsi" w:hAnsiTheme="minorHAnsi" w:cstheme="minorBidi"/>
          <w:szCs w:val="20"/>
        </w:rPr>
      </w:pPr>
      <w:bookmarkStart w:id="267" w:name="_Toc233112228"/>
      <w:r>
        <w:t xml:space="preserve">Figure </w:t>
      </w:r>
      <w:r w:rsidR="00113348">
        <w:fldChar w:fldCharType="begin"/>
      </w:r>
      <w:r w:rsidR="00113348">
        <w:instrText xml:space="preserve"> SEQ Figure \* ARABIC </w:instrText>
      </w:r>
      <w:r w:rsidR="00113348">
        <w:fldChar w:fldCharType="separate"/>
      </w:r>
      <w:r w:rsidR="00F8092D">
        <w:rPr>
          <w:noProof/>
        </w:rPr>
        <w:t>22</w:t>
      </w:r>
      <w:r w:rsidR="00113348">
        <w:rPr>
          <w:noProof/>
        </w:rPr>
        <w:fldChar w:fldCharType="end"/>
      </w:r>
      <w:r w:rsidR="5C711659" w:rsidRPr="55F29549">
        <w:rPr>
          <w:rFonts w:asciiTheme="minorHAnsi" w:eastAsia="Aptos" w:hAnsiTheme="minorHAnsi" w:cstheme="minorBidi"/>
          <w:i/>
          <w:color w:val="0E2841"/>
          <w:szCs w:val="20"/>
          <w:lang w:val="en-GB"/>
        </w:rPr>
        <w:t>: Top panel shows total system power demand over time. Bottom panel displays grid utilization factor (percentage of feeder capacity) demonstrating stable operation below 80% threshold, with shaded regions indicating charging phases and reserve margins.</w:t>
      </w:r>
      <w:bookmarkEnd w:id="267"/>
    </w:p>
    <w:p w14:paraId="3312B326" w14:textId="7247DC65" w:rsidR="6A328E42" w:rsidRPr="004F1CA5" w:rsidRDefault="5C711659" w:rsidP="09E359FC">
      <w:pPr>
        <w:spacing w:after="160" w:line="257" w:lineRule="auto"/>
        <w:rPr>
          <w:rFonts w:asciiTheme="minorHAnsi" w:hAnsiTheme="minorHAnsi" w:cstheme="minorHAnsi"/>
        </w:rPr>
      </w:pPr>
      <w:r w:rsidRPr="004F1CA5">
        <w:rPr>
          <w:rFonts w:asciiTheme="minorHAnsi" w:eastAsia="Aptos" w:hAnsiTheme="minorHAnsi" w:cstheme="minorHAnsi"/>
        </w:rPr>
        <w:t xml:space="preserve"> </w:t>
      </w:r>
    </w:p>
    <w:p w14:paraId="3C7DDBF6" w14:textId="596533FB" w:rsidR="6A328E42" w:rsidRPr="004F1CA5" w:rsidRDefault="5C711659" w:rsidP="09E359FC">
      <w:pPr>
        <w:pStyle w:val="Heading3"/>
        <w:spacing w:before="160" w:after="80" w:line="257" w:lineRule="auto"/>
        <w:rPr>
          <w:rFonts w:asciiTheme="minorHAnsi" w:eastAsia="Aptos" w:hAnsiTheme="minorHAnsi" w:cstheme="minorBidi"/>
          <w:sz w:val="28"/>
          <w:szCs w:val="28"/>
        </w:rPr>
      </w:pPr>
      <w:bookmarkStart w:id="268" w:name="_Toc222954503"/>
      <w:bookmarkStart w:id="269" w:name="_Toc234310813"/>
      <w:r w:rsidRPr="19F71E1F">
        <w:rPr>
          <w:rFonts w:asciiTheme="minorHAnsi" w:eastAsia="Aptos" w:hAnsiTheme="minorHAnsi" w:cstheme="minorBidi"/>
          <w:sz w:val="28"/>
          <w:szCs w:val="28"/>
        </w:rPr>
        <w:t>EV Charging Dynamics</w:t>
      </w:r>
      <w:bookmarkEnd w:id="268"/>
      <w:bookmarkEnd w:id="269"/>
      <w:r w:rsidRPr="19F71E1F">
        <w:rPr>
          <w:rFonts w:asciiTheme="minorHAnsi" w:eastAsia="Aptos" w:hAnsiTheme="minorHAnsi" w:cstheme="minorBidi"/>
          <w:sz w:val="28"/>
          <w:szCs w:val="28"/>
        </w:rPr>
        <w:t xml:space="preserve"> </w:t>
      </w:r>
    </w:p>
    <w:p w14:paraId="3EB26E6B" w14:textId="7394A3B5" w:rsidR="6A328E42" w:rsidRPr="004F1CA5" w:rsidRDefault="5C711659" w:rsidP="09E359FC">
      <w:pPr>
        <w:spacing w:after="160" w:line="257" w:lineRule="auto"/>
        <w:jc w:val="both"/>
        <w:rPr>
          <w:rFonts w:asciiTheme="minorHAnsi" w:hAnsiTheme="minorHAnsi" w:cstheme="minorBidi"/>
          <w:sz w:val="24"/>
          <w:szCs w:val="24"/>
        </w:rPr>
      </w:pPr>
      <w:r w:rsidRPr="55F29549">
        <w:rPr>
          <w:rFonts w:asciiTheme="minorHAnsi" w:eastAsia="Aptos" w:hAnsiTheme="minorHAnsi" w:cstheme="minorBidi"/>
          <w:sz w:val="24"/>
          <w:szCs w:val="24"/>
        </w:rPr>
        <w:t xml:space="preserve">The EV charging behaviour is analysed with active sessions and the number of EV charging sessions. Every EV follows the design charging progression, charging dynamics, power grid control limits, and power tapering. The energy delivered and SoC computation are estimated as follows: </w:t>
      </w:r>
    </w:p>
    <w:p w14:paraId="00305230" w14:textId="20B36F66" w:rsidR="6A328E42" w:rsidRPr="004F1CA5" w:rsidRDefault="5C711659" w:rsidP="09E359FC">
      <w:pPr>
        <w:spacing w:after="160" w:line="257" w:lineRule="auto"/>
        <w:jc w:val="center"/>
        <w:rPr>
          <w:rFonts w:asciiTheme="minorHAnsi" w:hAnsiTheme="minorHAnsi" w:cstheme="minorHAnsi"/>
        </w:rPr>
      </w:pPr>
      <w:r>
        <w:rPr>
          <w:noProof/>
        </w:rPr>
        <w:drawing>
          <wp:inline distT="0" distB="0" distL="0" distR="0" wp14:anchorId="72698AEB" wp14:editId="4ED40080">
            <wp:extent cx="1962150" cy="200025"/>
            <wp:effectExtent l="0" t="0" r="0" b="0"/>
            <wp:docPr id="13397036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703612" name="Picture 1339703612"/>
                    <pic:cNvPicPr/>
                  </pic:nvPicPr>
                  <pic:blipFill>
                    <a:blip r:embed="rId40">
                      <a:extLst>
                        <a:ext uri="{28A0092B-C50C-407E-A947-70E740481C1C}">
                          <a14:useLocalDpi xmlns:a14="http://schemas.microsoft.com/office/drawing/2010/main"/>
                        </a:ext>
                      </a:extLst>
                    </a:blip>
                    <a:stretch>
                      <a:fillRect/>
                    </a:stretch>
                  </pic:blipFill>
                  <pic:spPr>
                    <a:xfrm>
                      <a:off x="0" y="0"/>
                      <a:ext cx="1962150" cy="200025"/>
                    </a:xfrm>
                    <a:prstGeom prst="rect">
                      <a:avLst/>
                    </a:prstGeom>
                  </pic:spPr>
                </pic:pic>
              </a:graphicData>
            </a:graphic>
          </wp:inline>
        </w:drawing>
      </w:r>
      <w:r w:rsidR="4F4EDC99" w:rsidRPr="4AE5C498">
        <w:rPr>
          <w:rFonts w:asciiTheme="minorHAnsi" w:hAnsiTheme="minorHAnsi" w:cstheme="minorBidi"/>
        </w:rPr>
        <w:t xml:space="preserve">              (3)</w:t>
      </w:r>
    </w:p>
    <w:p w14:paraId="3D1234ED" w14:textId="7622471A" w:rsidR="6A328E42" w:rsidRPr="004F1CA5" w:rsidRDefault="5C711659" w:rsidP="09E359FC">
      <w:pPr>
        <w:spacing w:after="160" w:line="257" w:lineRule="auto"/>
        <w:rPr>
          <w:rFonts w:asciiTheme="minorHAnsi" w:hAnsiTheme="minorHAnsi" w:cstheme="minorHAnsi"/>
        </w:rPr>
      </w:pPr>
      <w:r w:rsidRPr="004F1CA5">
        <w:rPr>
          <w:rFonts w:asciiTheme="minorHAnsi" w:eastAsia="Aptos" w:hAnsiTheme="minorHAnsi" w:cstheme="minorHAnsi"/>
        </w:rPr>
        <w:t xml:space="preserve"> </w:t>
      </w:r>
    </w:p>
    <w:p w14:paraId="3113D91B" w14:textId="4D1E79F5" w:rsidR="6A328E42" w:rsidRPr="004F1CA5" w:rsidRDefault="5C711659" w:rsidP="09E359FC">
      <w:pPr>
        <w:spacing w:after="160" w:line="257" w:lineRule="auto"/>
        <w:jc w:val="both"/>
        <w:rPr>
          <w:rFonts w:asciiTheme="minorHAnsi" w:hAnsiTheme="minorHAnsi" w:cstheme="minorBidi"/>
          <w:sz w:val="24"/>
          <w:szCs w:val="24"/>
        </w:rPr>
      </w:pPr>
      <w:r w:rsidRPr="55F29549">
        <w:rPr>
          <w:rFonts w:asciiTheme="minorHAnsi" w:eastAsia="Aptos" w:hAnsiTheme="minorHAnsi" w:cstheme="minorBidi"/>
          <w:sz w:val="24"/>
          <w:szCs w:val="24"/>
        </w:rPr>
        <w:t xml:space="preserve">Where the EV battery capacity is represented with </w:t>
      </w:r>
      <w:r>
        <w:rPr>
          <w:noProof/>
        </w:rPr>
        <w:drawing>
          <wp:inline distT="0" distB="0" distL="0" distR="0" wp14:anchorId="36E29011" wp14:editId="1582E671">
            <wp:extent cx="933450" cy="180975"/>
            <wp:effectExtent l="0" t="0" r="0" b="0"/>
            <wp:docPr id="3855644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564417" name="Picture 385564417"/>
                    <pic:cNvPicPr/>
                  </pic:nvPicPr>
                  <pic:blipFill>
                    <a:blip r:embed="rId41">
                      <a:extLst>
                        <a:ext uri="{28A0092B-C50C-407E-A947-70E740481C1C}">
                          <a14:useLocalDpi xmlns:a14="http://schemas.microsoft.com/office/drawing/2010/main"/>
                        </a:ext>
                      </a:extLst>
                    </a:blip>
                    <a:stretch>
                      <a:fillRect/>
                    </a:stretch>
                  </pic:blipFill>
                  <pic:spPr>
                    <a:xfrm>
                      <a:off x="0" y="0"/>
                      <a:ext cx="933450" cy="180975"/>
                    </a:xfrm>
                    <a:prstGeom prst="rect">
                      <a:avLst/>
                    </a:prstGeom>
                  </pic:spPr>
                </pic:pic>
              </a:graphicData>
            </a:graphic>
          </wp:inline>
        </w:drawing>
      </w:r>
      <w:r w:rsidRPr="55F29549">
        <w:rPr>
          <w:rFonts w:asciiTheme="minorHAnsi" w:eastAsia="Aptos" w:hAnsiTheme="minorHAnsi" w:cstheme="minorBidi"/>
          <w:sz w:val="24"/>
          <w:szCs w:val="24"/>
        </w:rPr>
        <w:t xml:space="preserve">, </w:t>
      </w:r>
      <w:r>
        <w:rPr>
          <w:noProof/>
        </w:rPr>
        <w:drawing>
          <wp:inline distT="0" distB="0" distL="0" distR="0" wp14:anchorId="40B259C8" wp14:editId="3306D25E">
            <wp:extent cx="542925" cy="190500"/>
            <wp:effectExtent l="0" t="0" r="0" b="0"/>
            <wp:docPr id="287773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77375" name="Picture 28777375"/>
                    <pic:cNvPicPr/>
                  </pic:nvPicPr>
                  <pic:blipFill>
                    <a:blip r:embed="rId42">
                      <a:extLst>
                        <a:ext uri="{28A0092B-C50C-407E-A947-70E740481C1C}">
                          <a14:useLocalDpi xmlns:a14="http://schemas.microsoft.com/office/drawing/2010/main"/>
                        </a:ext>
                      </a:extLst>
                    </a:blip>
                    <a:stretch>
                      <a:fillRect/>
                    </a:stretch>
                  </pic:blipFill>
                  <pic:spPr>
                    <a:xfrm>
                      <a:off x="0" y="0"/>
                      <a:ext cx="542925" cy="190500"/>
                    </a:xfrm>
                    <a:prstGeom prst="rect">
                      <a:avLst/>
                    </a:prstGeom>
                  </pic:spPr>
                </pic:pic>
              </a:graphicData>
            </a:graphic>
          </wp:inline>
        </w:drawing>
      </w:r>
      <w:r w:rsidRPr="55F29549">
        <w:rPr>
          <w:rFonts w:asciiTheme="minorHAnsi" w:eastAsia="Aptos" w:hAnsiTheme="minorHAnsi" w:cstheme="minorBidi"/>
          <w:sz w:val="24"/>
          <w:szCs w:val="24"/>
        </w:rPr>
        <w:t xml:space="preserve">  is initial SoC of EVs while </w:t>
      </w:r>
      <w:r>
        <w:rPr>
          <w:noProof/>
        </w:rPr>
        <w:drawing>
          <wp:inline distT="0" distB="0" distL="0" distR="0" wp14:anchorId="196A582B" wp14:editId="1B16F3C3">
            <wp:extent cx="476250" cy="190500"/>
            <wp:effectExtent l="0" t="0" r="0" b="0"/>
            <wp:docPr id="3983591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359194" name="Picture 398359194"/>
                    <pic:cNvPicPr/>
                  </pic:nvPicPr>
                  <pic:blipFill>
                    <a:blip r:embed="rId43">
                      <a:extLst>
                        <a:ext uri="{28A0092B-C50C-407E-A947-70E740481C1C}">
                          <a14:useLocalDpi xmlns:a14="http://schemas.microsoft.com/office/drawing/2010/main"/>
                        </a:ext>
                      </a:extLst>
                    </a:blip>
                    <a:stretch>
                      <a:fillRect/>
                    </a:stretch>
                  </pic:blipFill>
                  <pic:spPr>
                    <a:xfrm>
                      <a:off x="0" y="0"/>
                      <a:ext cx="476250" cy="190500"/>
                    </a:xfrm>
                    <a:prstGeom prst="rect">
                      <a:avLst/>
                    </a:prstGeom>
                  </pic:spPr>
                </pic:pic>
              </a:graphicData>
            </a:graphic>
          </wp:inline>
        </w:drawing>
      </w:r>
      <w:r w:rsidRPr="55F29549">
        <w:rPr>
          <w:rFonts w:asciiTheme="minorHAnsi" w:eastAsia="Aptos" w:hAnsiTheme="minorHAnsi" w:cstheme="minorBidi"/>
          <w:sz w:val="24"/>
          <w:szCs w:val="24"/>
        </w:rPr>
        <w:t xml:space="preserve">  is final SoC of the EVs. Figure 3 illustrates active sessions of EVs and instantaneous EV charging. The results confirm that EV charging profiles do not violate power grid level constraints and charging station control limits. The EV charging dynamics demonstrate coordinated control and power tapering mechanisms. Figure </w:t>
      </w:r>
      <w:r w:rsidR="72A47B53" w:rsidRPr="55F29549">
        <w:rPr>
          <w:rFonts w:asciiTheme="minorHAnsi" w:eastAsia="Aptos" w:hAnsiTheme="minorHAnsi" w:cstheme="minorBidi"/>
          <w:sz w:val="24"/>
          <w:szCs w:val="24"/>
        </w:rPr>
        <w:t>2</w:t>
      </w:r>
      <w:r w:rsidRPr="55F29549">
        <w:rPr>
          <w:rFonts w:asciiTheme="minorHAnsi" w:eastAsia="Aptos" w:hAnsiTheme="minorHAnsi" w:cstheme="minorBidi"/>
          <w:sz w:val="24"/>
          <w:szCs w:val="24"/>
        </w:rPr>
        <w:t xml:space="preserve">3 presents two key aspects: </w:t>
      </w:r>
    </w:p>
    <w:p w14:paraId="0B04F616" w14:textId="0A2820B3" w:rsidR="6A328E42" w:rsidRPr="004F1CA5" w:rsidRDefault="5C711659" w:rsidP="00846D08">
      <w:pPr>
        <w:pStyle w:val="ListParagraph"/>
        <w:numPr>
          <w:ilvl w:val="0"/>
          <w:numId w:val="33"/>
        </w:numPr>
        <w:spacing w:before="0" w:after="0" w:line="257" w:lineRule="auto"/>
        <w:jc w:val="both"/>
        <w:rPr>
          <w:rFonts w:asciiTheme="minorHAnsi" w:eastAsia="Aptos" w:hAnsiTheme="minorHAnsi" w:cstheme="minorBidi"/>
        </w:rPr>
      </w:pPr>
      <w:r w:rsidRPr="55F29549">
        <w:rPr>
          <w:rFonts w:asciiTheme="minorHAnsi" w:eastAsia="Aptos" w:hAnsiTheme="minorHAnsi" w:cstheme="minorBidi"/>
        </w:rPr>
        <w:t>The active charging sessions timeline showing when each EV is connected and drawing power.</w:t>
      </w:r>
    </w:p>
    <w:p w14:paraId="017AF0E6" w14:textId="20A081AB" w:rsidR="6A328E42" w:rsidRPr="004F1CA5" w:rsidRDefault="5C711659" w:rsidP="00846D08">
      <w:pPr>
        <w:pStyle w:val="ListParagraph"/>
        <w:numPr>
          <w:ilvl w:val="0"/>
          <w:numId w:val="33"/>
        </w:numPr>
        <w:spacing w:before="0" w:after="0" w:line="257" w:lineRule="auto"/>
        <w:jc w:val="both"/>
        <w:rPr>
          <w:rFonts w:asciiTheme="minorHAnsi" w:eastAsia="Aptos" w:hAnsiTheme="minorHAnsi" w:cstheme="minorBidi"/>
        </w:rPr>
      </w:pPr>
      <w:r w:rsidRPr="55F29549">
        <w:rPr>
          <w:rFonts w:asciiTheme="minorHAnsi" w:eastAsia="Aptos" w:hAnsiTheme="minorHAnsi" w:cstheme="minorBidi"/>
        </w:rPr>
        <w:t xml:space="preserve">The instantaneous charging power profiles for both EVs. </w:t>
      </w:r>
    </w:p>
    <w:p w14:paraId="45D074B1" w14:textId="19698FFE" w:rsidR="6A328E42" w:rsidRPr="004F1CA5" w:rsidRDefault="5C711659" w:rsidP="09E359FC">
      <w:pPr>
        <w:spacing w:after="160" w:line="257" w:lineRule="auto"/>
        <w:jc w:val="both"/>
        <w:rPr>
          <w:rFonts w:asciiTheme="minorHAnsi" w:hAnsiTheme="minorHAnsi" w:cstheme="minorBidi"/>
          <w:sz w:val="24"/>
          <w:szCs w:val="24"/>
        </w:rPr>
      </w:pPr>
      <w:r w:rsidRPr="55F29549">
        <w:rPr>
          <w:rFonts w:asciiTheme="minorHAnsi" w:eastAsia="Aptos" w:hAnsiTheme="minorHAnsi" w:cstheme="minorBidi"/>
          <w:sz w:val="24"/>
          <w:szCs w:val="24"/>
        </w:rPr>
        <w:t xml:space="preserve">The power profiles exhibit the expected CC-CV (constant current-constant voltage) charging behavior, with initial constant current phase at maximum power, followed by voltage-limited tapering as the battery approaches full charge. The coordination ensures that aggregate power demand remains within grid and EVSE capacity limits while maximizing charging efficiency. </w:t>
      </w:r>
    </w:p>
    <w:p w14:paraId="190B6AFF" w14:textId="66740739" w:rsidR="005854A8" w:rsidRPr="004F1CA5" w:rsidRDefault="5C711659" w:rsidP="09E359FC">
      <w:pPr>
        <w:spacing w:after="160" w:line="257" w:lineRule="auto"/>
        <w:rPr>
          <w:rFonts w:asciiTheme="minorHAnsi" w:hAnsiTheme="minorHAnsi" w:cstheme="minorHAnsi"/>
        </w:rPr>
      </w:pPr>
      <w:r w:rsidRPr="004F1CA5">
        <w:rPr>
          <w:rFonts w:asciiTheme="minorHAnsi" w:eastAsia="Aptos" w:hAnsiTheme="minorHAnsi" w:cstheme="minorHAnsi"/>
        </w:rPr>
        <w:t xml:space="preserve"> </w:t>
      </w:r>
      <w:r w:rsidR="005854A8">
        <w:rPr>
          <w:noProof/>
        </w:rPr>
        <w:drawing>
          <wp:inline distT="0" distB="0" distL="0" distR="0" wp14:anchorId="1501DDAF" wp14:editId="4B805F16">
            <wp:extent cx="6120130" cy="3808730"/>
            <wp:effectExtent l="0" t="0" r="0" b="1270"/>
            <wp:docPr id="1689984785" name="Picture 22" descr="A graph showing a number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984785" name="Picture 22" descr="A graph showing a number of different colored lines&#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20130" cy="3808730"/>
                    </a:xfrm>
                    <a:prstGeom prst="rect">
                      <a:avLst/>
                    </a:prstGeom>
                    <a:noFill/>
                    <a:ln>
                      <a:noFill/>
                    </a:ln>
                  </pic:spPr>
                </pic:pic>
              </a:graphicData>
            </a:graphic>
          </wp:inline>
        </w:drawing>
      </w:r>
    </w:p>
    <w:p w14:paraId="5250AC34" w14:textId="311E24B9" w:rsidR="6A328E42" w:rsidRPr="004F1CA5" w:rsidRDefault="00B95BE2" w:rsidP="00B95BE2">
      <w:pPr>
        <w:pStyle w:val="Caption"/>
        <w:rPr>
          <w:rFonts w:asciiTheme="minorHAnsi" w:hAnsiTheme="minorHAnsi" w:cstheme="minorBidi"/>
          <w:szCs w:val="20"/>
        </w:rPr>
      </w:pPr>
      <w:bookmarkStart w:id="270" w:name="_Toc233112229"/>
      <w:r>
        <w:t xml:space="preserve">Figure </w:t>
      </w:r>
      <w:r w:rsidR="00113348">
        <w:fldChar w:fldCharType="begin"/>
      </w:r>
      <w:r w:rsidR="00113348">
        <w:instrText xml:space="preserve"> SEQ Figure \* ARABIC </w:instrText>
      </w:r>
      <w:r w:rsidR="00113348">
        <w:fldChar w:fldCharType="separate"/>
      </w:r>
      <w:r w:rsidR="00F8092D">
        <w:rPr>
          <w:noProof/>
        </w:rPr>
        <w:t>23</w:t>
      </w:r>
      <w:r w:rsidR="00113348">
        <w:rPr>
          <w:noProof/>
        </w:rPr>
        <w:fldChar w:fldCharType="end"/>
      </w:r>
      <w:r w:rsidR="5C711659" w:rsidRPr="55F29549">
        <w:rPr>
          <w:rFonts w:asciiTheme="minorHAnsi" w:eastAsia="Aptos" w:hAnsiTheme="minorHAnsi" w:cstheme="minorBidi"/>
          <w:i/>
          <w:color w:val="0E2841"/>
          <w:szCs w:val="20"/>
          <w:lang w:val="en-GB"/>
        </w:rPr>
        <w:t>: The charging dynamics of two EVs and their control trajectories in a single EVSE scenario</w:t>
      </w:r>
      <w:bookmarkEnd w:id="270"/>
    </w:p>
    <w:p w14:paraId="2743DEE5" w14:textId="1636B0D9" w:rsidR="6A328E42" w:rsidRPr="004F1CA5" w:rsidRDefault="5C711659" w:rsidP="09E359FC">
      <w:pPr>
        <w:spacing w:after="160" w:line="257" w:lineRule="auto"/>
        <w:rPr>
          <w:rFonts w:asciiTheme="minorHAnsi" w:hAnsiTheme="minorHAnsi" w:cstheme="minorHAnsi"/>
        </w:rPr>
      </w:pPr>
      <w:r w:rsidRPr="004F1CA5">
        <w:rPr>
          <w:rFonts w:asciiTheme="minorHAnsi" w:eastAsia="Aptos" w:hAnsiTheme="minorHAnsi" w:cstheme="minorHAnsi"/>
        </w:rPr>
        <w:t xml:space="preserve"> </w:t>
      </w:r>
    </w:p>
    <w:p w14:paraId="39E39BE5" w14:textId="73689455" w:rsidR="6A328E42" w:rsidRPr="004F1CA5" w:rsidRDefault="5C711659" w:rsidP="09E359FC">
      <w:pPr>
        <w:spacing w:after="160" w:line="257" w:lineRule="auto"/>
        <w:jc w:val="both"/>
        <w:rPr>
          <w:rFonts w:asciiTheme="minorHAnsi" w:hAnsiTheme="minorHAnsi" w:cstheme="minorBidi"/>
          <w:sz w:val="24"/>
          <w:szCs w:val="24"/>
        </w:rPr>
      </w:pPr>
      <w:r w:rsidRPr="466E1D4B">
        <w:rPr>
          <w:rFonts w:asciiTheme="minorHAnsi" w:eastAsia="Aptos" w:hAnsiTheme="minorHAnsi" w:cstheme="minorBidi"/>
          <w:sz w:val="24"/>
          <w:szCs w:val="24"/>
        </w:rPr>
        <w:t xml:space="preserve">Figure </w:t>
      </w:r>
      <w:r w:rsidR="56B22C48" w:rsidRPr="466E1D4B">
        <w:rPr>
          <w:rFonts w:asciiTheme="minorHAnsi" w:eastAsia="Aptos" w:hAnsiTheme="minorHAnsi" w:cstheme="minorBidi"/>
          <w:sz w:val="24"/>
          <w:szCs w:val="24"/>
        </w:rPr>
        <w:t>2</w:t>
      </w:r>
      <w:r w:rsidRPr="466E1D4B">
        <w:rPr>
          <w:rFonts w:asciiTheme="minorHAnsi" w:eastAsia="Aptos" w:hAnsiTheme="minorHAnsi" w:cstheme="minorBidi"/>
          <w:sz w:val="24"/>
          <w:szCs w:val="24"/>
        </w:rPr>
        <w:t xml:space="preserve">4 reflects the energy consumption profile evaluated for the EVSE and power grid, estimating both individual EV charging energy and total system energy consumption. In case of total system energy, it captures the cumulative energy streams from SYSTEM federates in which the energy delivered to the EVSE federate is computed. The results illustrate an exponential increase at the initial state due to the SoC constraints and charging demand. The shaded region reflects a progressive increase of energy transfer due to ramp-up profile, steady-state charging patterns, and power tapering for full charge of EVs. It provides a significant inductor to capture grid utilizations, considering EVSE operational limits, feeder capacities, demand response, and total energy throughputs. </w:t>
      </w:r>
    </w:p>
    <w:p w14:paraId="2B4C3363" w14:textId="170039A1" w:rsidR="6A328E42" w:rsidRDefault="6A328E42" w:rsidP="09E359FC">
      <w:pPr>
        <w:spacing w:after="160" w:line="257" w:lineRule="auto"/>
        <w:rPr>
          <w:rFonts w:asciiTheme="minorHAnsi" w:hAnsiTheme="minorHAnsi" w:cstheme="minorHAnsi"/>
        </w:rPr>
      </w:pPr>
    </w:p>
    <w:p w14:paraId="708A0475" w14:textId="66BA66E1" w:rsidR="00891F61" w:rsidRPr="004F1CA5" w:rsidRDefault="00891F61" w:rsidP="09E359FC">
      <w:pPr>
        <w:spacing w:after="160" w:line="257" w:lineRule="auto"/>
        <w:rPr>
          <w:rFonts w:asciiTheme="minorHAnsi" w:hAnsiTheme="minorHAnsi" w:cstheme="minorHAnsi"/>
        </w:rPr>
      </w:pPr>
      <w:r>
        <w:rPr>
          <w:noProof/>
        </w:rPr>
        <w:drawing>
          <wp:inline distT="0" distB="0" distL="0" distR="0" wp14:anchorId="782C2685" wp14:editId="1D9E1B52">
            <wp:extent cx="6120130" cy="3804285"/>
            <wp:effectExtent l="0" t="0" r="0" b="5715"/>
            <wp:docPr id="263796758" name="Picture 23" descr="A graph showing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796758" name="Picture 23" descr="A graph showing a red line&#10;&#10;AI-generated content may be incorrec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20130" cy="3804285"/>
                    </a:xfrm>
                    <a:prstGeom prst="rect">
                      <a:avLst/>
                    </a:prstGeom>
                    <a:noFill/>
                    <a:ln>
                      <a:noFill/>
                    </a:ln>
                  </pic:spPr>
                </pic:pic>
              </a:graphicData>
            </a:graphic>
          </wp:inline>
        </w:drawing>
      </w:r>
    </w:p>
    <w:p w14:paraId="1D412C7D" w14:textId="1DAE7121" w:rsidR="6A328E42" w:rsidRPr="004F1CA5" w:rsidRDefault="00B95BE2" w:rsidP="00B95BE2">
      <w:pPr>
        <w:pStyle w:val="Caption"/>
        <w:rPr>
          <w:rFonts w:asciiTheme="minorHAnsi" w:hAnsiTheme="minorHAnsi" w:cstheme="minorBidi"/>
          <w:szCs w:val="20"/>
        </w:rPr>
      </w:pPr>
      <w:bookmarkStart w:id="271" w:name="_Toc233112230"/>
      <w:r>
        <w:t xml:space="preserve">Figure </w:t>
      </w:r>
      <w:r w:rsidR="00113348">
        <w:fldChar w:fldCharType="begin"/>
      </w:r>
      <w:r w:rsidR="00113348">
        <w:instrText xml:space="preserve"> SEQ Figure \* ARABIC </w:instrText>
      </w:r>
      <w:r w:rsidR="00113348">
        <w:fldChar w:fldCharType="separate"/>
      </w:r>
      <w:r w:rsidR="00F8092D">
        <w:rPr>
          <w:noProof/>
        </w:rPr>
        <w:t>24</w:t>
      </w:r>
      <w:r w:rsidR="00113348">
        <w:rPr>
          <w:noProof/>
        </w:rPr>
        <w:fldChar w:fldCharType="end"/>
      </w:r>
      <w:r w:rsidR="5C711659" w:rsidRPr="466E1D4B">
        <w:rPr>
          <w:rFonts w:asciiTheme="minorHAnsi" w:eastAsia="Aptos" w:hAnsiTheme="minorHAnsi" w:cstheme="minorBidi"/>
          <w:i/>
          <w:color w:val="0E2841"/>
          <w:szCs w:val="20"/>
          <w:lang w:val="en-GB"/>
        </w:rPr>
        <w:t>: The total energy consumption of the system and individual EVs in a single EVSE scenario.</w:t>
      </w:r>
      <w:bookmarkEnd w:id="271"/>
    </w:p>
    <w:p w14:paraId="450A5412" w14:textId="2F444129" w:rsidR="6A328E42" w:rsidRPr="004F1CA5" w:rsidRDefault="5C711659" w:rsidP="09E359FC">
      <w:pPr>
        <w:spacing w:after="160" w:line="257" w:lineRule="auto"/>
        <w:rPr>
          <w:rFonts w:asciiTheme="minorHAnsi" w:hAnsiTheme="minorHAnsi" w:cstheme="minorHAnsi"/>
        </w:rPr>
      </w:pPr>
      <w:r w:rsidRPr="004F1CA5">
        <w:rPr>
          <w:rFonts w:asciiTheme="minorHAnsi" w:eastAsia="Aptos" w:hAnsiTheme="minorHAnsi" w:cstheme="minorHAnsi"/>
        </w:rPr>
        <w:t xml:space="preserve"> </w:t>
      </w:r>
    </w:p>
    <w:p w14:paraId="472D4FC8" w14:textId="53FF2DAA" w:rsidR="6A328E42" w:rsidRPr="004F1CA5" w:rsidRDefault="5C711659" w:rsidP="09E359FC">
      <w:pPr>
        <w:spacing w:after="160" w:line="257" w:lineRule="auto"/>
        <w:jc w:val="both"/>
        <w:rPr>
          <w:rFonts w:asciiTheme="minorHAnsi" w:hAnsiTheme="minorHAnsi" w:cstheme="minorBidi"/>
          <w:sz w:val="24"/>
          <w:szCs w:val="24"/>
        </w:rPr>
      </w:pPr>
      <w:r w:rsidRPr="466E1D4B">
        <w:rPr>
          <w:rFonts w:asciiTheme="minorHAnsi" w:eastAsia="Aptos" w:hAnsiTheme="minorHAnsi" w:cstheme="minorBidi"/>
          <w:sz w:val="24"/>
          <w:szCs w:val="24"/>
        </w:rPr>
        <w:t xml:space="preserve">The lower part of </w:t>
      </w:r>
      <w:r w:rsidR="00782FEB">
        <w:rPr>
          <w:rFonts w:asciiTheme="minorHAnsi" w:eastAsia="Aptos" w:hAnsiTheme="minorHAnsi" w:cstheme="minorBidi"/>
          <w:sz w:val="24"/>
          <w:szCs w:val="24"/>
        </w:rPr>
        <w:t>f</w:t>
      </w:r>
      <w:r w:rsidRPr="466E1D4B">
        <w:rPr>
          <w:rFonts w:asciiTheme="minorHAnsi" w:eastAsia="Aptos" w:hAnsiTheme="minorHAnsi" w:cstheme="minorBidi"/>
          <w:sz w:val="24"/>
          <w:szCs w:val="24"/>
        </w:rPr>
        <w:t xml:space="preserve">igure 4 evaluates energy consumption of individual EVs, estimated from differential SoC and nominal capacity of EVs. This estimates the exact energy drawn in the single EVSE scenario and presents it in bar graphs. The individual EV presents its energy drawn from its active sessions of the charging system. The energy consumption accumulates energy allocation, prioritization of EV charging, uneven charging behaviour, and power grid impacts. In addition, it allows granular and aggregate charging performance to assess scalability, charging fairness, and EVSE efficiency for peak demand and normal operational scenarios. </w:t>
      </w:r>
    </w:p>
    <w:p w14:paraId="274831B7" w14:textId="4A4B1638" w:rsidR="6A328E42" w:rsidRPr="004F1CA5" w:rsidRDefault="5C711659" w:rsidP="09E359FC">
      <w:pPr>
        <w:spacing w:after="160" w:line="257" w:lineRule="auto"/>
        <w:rPr>
          <w:rFonts w:asciiTheme="minorHAnsi" w:hAnsiTheme="minorHAnsi" w:cstheme="minorHAnsi"/>
        </w:rPr>
      </w:pPr>
      <w:r w:rsidRPr="004F1CA5">
        <w:rPr>
          <w:rFonts w:asciiTheme="minorHAnsi" w:eastAsia="Aptos" w:hAnsiTheme="minorHAnsi" w:cstheme="minorHAnsi"/>
        </w:rPr>
        <w:t xml:space="preserve"> </w:t>
      </w:r>
    </w:p>
    <w:p w14:paraId="34BEE064" w14:textId="29B52C04" w:rsidR="6A328E42" w:rsidRPr="004F1CA5" w:rsidRDefault="5C711659" w:rsidP="09E359FC">
      <w:pPr>
        <w:pStyle w:val="Heading3"/>
        <w:spacing w:before="160" w:after="80" w:line="257" w:lineRule="auto"/>
        <w:rPr>
          <w:rFonts w:asciiTheme="minorHAnsi" w:eastAsia="Aptos" w:hAnsiTheme="minorHAnsi" w:cstheme="minorBidi"/>
          <w:sz w:val="28"/>
          <w:szCs w:val="28"/>
        </w:rPr>
      </w:pPr>
      <w:bookmarkStart w:id="272" w:name="_Toc222954504"/>
      <w:bookmarkStart w:id="273" w:name="_Toc234310814"/>
      <w:r w:rsidRPr="19F71E1F">
        <w:rPr>
          <w:rFonts w:asciiTheme="minorHAnsi" w:eastAsia="Aptos" w:hAnsiTheme="minorHAnsi" w:cstheme="minorBidi"/>
          <w:sz w:val="28"/>
          <w:szCs w:val="28"/>
        </w:rPr>
        <w:t>Communication Interactions</w:t>
      </w:r>
      <w:bookmarkEnd w:id="272"/>
      <w:bookmarkEnd w:id="273"/>
      <w:r w:rsidRPr="19F71E1F">
        <w:rPr>
          <w:rFonts w:asciiTheme="minorHAnsi" w:eastAsia="Aptos" w:hAnsiTheme="minorHAnsi" w:cstheme="minorBidi"/>
          <w:sz w:val="28"/>
          <w:szCs w:val="28"/>
        </w:rPr>
        <w:t xml:space="preserve"> </w:t>
      </w:r>
    </w:p>
    <w:p w14:paraId="585B5C28" w14:textId="28B1AB6D" w:rsidR="6A328E42" w:rsidRPr="004F1CA5" w:rsidRDefault="5C711659" w:rsidP="09E359FC">
      <w:pPr>
        <w:spacing w:after="160" w:line="257" w:lineRule="auto"/>
        <w:jc w:val="both"/>
        <w:rPr>
          <w:rFonts w:asciiTheme="minorHAnsi" w:hAnsiTheme="minorHAnsi" w:cstheme="minorBidi"/>
          <w:sz w:val="24"/>
          <w:szCs w:val="24"/>
        </w:rPr>
      </w:pPr>
      <w:r w:rsidRPr="466E1D4B">
        <w:rPr>
          <w:rFonts w:asciiTheme="minorHAnsi" w:eastAsia="Aptos" w:hAnsiTheme="minorHAnsi" w:cstheme="minorBidi"/>
          <w:sz w:val="24"/>
          <w:szCs w:val="24"/>
        </w:rPr>
        <w:t xml:space="preserve">For the single EVSE with grid-connected operation, the communication layer handles control messages of OCPP 1.6J and ISO 15118-20, capturing telemetry statistics and information exchange during this scenario. The synchronization between federates is still deterministic, with no loss of control data and packets. Starting from the communication handshake, request-response, authentication, and connection establishment, approximately 44 messages are exchanged in this scenario, capturing 36 messages of OCPP 1.6J and 8 messages of ISO 15118-20. The type of messages includes heartbeats, session setup requests, session setup responses, start transactions, start transaction responses, and stop transactions. Figure </w:t>
      </w:r>
      <w:r w:rsidR="720D09BA" w:rsidRPr="466E1D4B">
        <w:rPr>
          <w:rFonts w:asciiTheme="minorHAnsi" w:eastAsia="Aptos" w:hAnsiTheme="minorHAnsi" w:cstheme="minorBidi"/>
          <w:sz w:val="24"/>
          <w:szCs w:val="24"/>
        </w:rPr>
        <w:t>2</w:t>
      </w:r>
      <w:r w:rsidRPr="466E1D4B">
        <w:rPr>
          <w:rFonts w:asciiTheme="minorHAnsi" w:eastAsia="Aptos" w:hAnsiTheme="minorHAnsi" w:cstheme="minorBidi"/>
          <w:sz w:val="24"/>
          <w:szCs w:val="24"/>
        </w:rPr>
        <w:t xml:space="preserve">5 illustrates the statistics of the communication logs, confirming charging session and EVSE transition Idle → Charge → Complete in the simulation. </w:t>
      </w:r>
    </w:p>
    <w:p w14:paraId="62B83B62" w14:textId="2EB6E3A1" w:rsidR="00D6514A" w:rsidRPr="004F1CA5" w:rsidRDefault="5C711659" w:rsidP="09E359FC">
      <w:pPr>
        <w:spacing w:after="160" w:line="257" w:lineRule="auto"/>
        <w:rPr>
          <w:rFonts w:asciiTheme="minorHAnsi" w:hAnsiTheme="minorHAnsi" w:cstheme="minorHAnsi"/>
        </w:rPr>
      </w:pPr>
      <w:r w:rsidRPr="004F1CA5">
        <w:rPr>
          <w:rFonts w:asciiTheme="minorHAnsi" w:eastAsia="Aptos" w:hAnsiTheme="minorHAnsi" w:cstheme="minorHAnsi"/>
        </w:rPr>
        <w:t xml:space="preserve"> </w:t>
      </w:r>
      <w:r w:rsidR="00D6514A">
        <w:rPr>
          <w:noProof/>
        </w:rPr>
        <w:drawing>
          <wp:inline distT="0" distB="0" distL="0" distR="0" wp14:anchorId="6B675229" wp14:editId="700E7E60">
            <wp:extent cx="6120130" cy="2482850"/>
            <wp:effectExtent l="0" t="0" r="0" b="0"/>
            <wp:docPr id="1948191525" name="Picture 2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191525" name="Picture 24" descr="A screenshot of a computer&#10;&#10;AI-generated content may be incorrec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20130" cy="2482850"/>
                    </a:xfrm>
                    <a:prstGeom prst="rect">
                      <a:avLst/>
                    </a:prstGeom>
                    <a:noFill/>
                    <a:ln>
                      <a:noFill/>
                    </a:ln>
                  </pic:spPr>
                </pic:pic>
              </a:graphicData>
            </a:graphic>
          </wp:inline>
        </w:drawing>
      </w:r>
    </w:p>
    <w:p w14:paraId="6F5C230F" w14:textId="247B8925" w:rsidR="6A328E42" w:rsidRPr="004F1CA5" w:rsidRDefault="00B95BE2" w:rsidP="00B95BE2">
      <w:pPr>
        <w:pStyle w:val="Caption"/>
        <w:rPr>
          <w:rFonts w:asciiTheme="minorHAnsi" w:hAnsiTheme="minorHAnsi" w:cstheme="minorBidi"/>
          <w:szCs w:val="20"/>
        </w:rPr>
      </w:pPr>
      <w:bookmarkStart w:id="274" w:name="_Toc233112231"/>
      <w:r>
        <w:t xml:space="preserve">Figure </w:t>
      </w:r>
      <w:r w:rsidR="00113348">
        <w:fldChar w:fldCharType="begin"/>
      </w:r>
      <w:r w:rsidR="00113348">
        <w:instrText xml:space="preserve"> SEQ Figure \* ARABIC </w:instrText>
      </w:r>
      <w:r w:rsidR="00113348">
        <w:fldChar w:fldCharType="separate"/>
      </w:r>
      <w:r w:rsidR="00F8092D">
        <w:rPr>
          <w:noProof/>
        </w:rPr>
        <w:t>25</w:t>
      </w:r>
      <w:r w:rsidR="00113348">
        <w:rPr>
          <w:noProof/>
        </w:rPr>
        <w:fldChar w:fldCharType="end"/>
      </w:r>
      <w:r w:rsidR="5C711659" w:rsidRPr="466E1D4B">
        <w:rPr>
          <w:rFonts w:asciiTheme="minorHAnsi" w:eastAsia="Aptos" w:hAnsiTheme="minorHAnsi" w:cstheme="minorBidi"/>
          <w:i/>
          <w:color w:val="0E2841"/>
          <w:szCs w:val="20"/>
          <w:lang w:val="en-GB"/>
        </w:rPr>
        <w:t>: The communication protocols, statistics, and message exchange in the single EVSE scenario.</w:t>
      </w:r>
      <w:bookmarkEnd w:id="274"/>
    </w:p>
    <w:p w14:paraId="14AB8E50" w14:textId="225E6413" w:rsidR="6A328E42" w:rsidRPr="004F1CA5" w:rsidRDefault="5C711659" w:rsidP="09E359FC">
      <w:pPr>
        <w:spacing w:after="160" w:line="257" w:lineRule="auto"/>
        <w:rPr>
          <w:rFonts w:asciiTheme="minorHAnsi" w:hAnsiTheme="minorHAnsi" w:cstheme="minorHAnsi"/>
        </w:rPr>
      </w:pPr>
      <w:r w:rsidRPr="004F1CA5">
        <w:rPr>
          <w:rFonts w:asciiTheme="minorHAnsi" w:eastAsia="Aptos" w:hAnsiTheme="minorHAnsi" w:cstheme="minorHAnsi"/>
        </w:rPr>
        <w:t xml:space="preserve">  </w:t>
      </w:r>
    </w:p>
    <w:p w14:paraId="4E3C79D4" w14:textId="643F5399" w:rsidR="6A328E42" w:rsidRPr="004F1CA5" w:rsidRDefault="5C711659" w:rsidP="09E359FC">
      <w:pPr>
        <w:spacing w:after="160" w:line="257" w:lineRule="auto"/>
        <w:jc w:val="both"/>
        <w:rPr>
          <w:rFonts w:asciiTheme="minorHAnsi" w:hAnsiTheme="minorHAnsi" w:cstheme="minorBidi"/>
          <w:sz w:val="24"/>
          <w:szCs w:val="24"/>
        </w:rPr>
      </w:pPr>
      <w:r w:rsidRPr="466E1D4B">
        <w:rPr>
          <w:rFonts w:asciiTheme="minorHAnsi" w:eastAsia="Aptos" w:hAnsiTheme="minorHAnsi" w:cstheme="minorBidi"/>
          <w:sz w:val="24"/>
          <w:szCs w:val="24"/>
        </w:rPr>
        <w:t xml:space="preserve">In conclusion, the scenario of single EVSE grid integration validates the baseline be- haviour, cyber-physical control dynamics, communication interactions, and operational stability. The testing scenario confirms compliance with EVSE envelope behaviour, EV modelling, operational limits, power grid dynamics, and synchronization across HELICS-enabled federates. The generated datasets provide a benchmark and foundation for fleet-level complex scenarios where control dynamics and power grid impacts are more challenging. Moreover, it provides a reference for the communication message exchange in complex scenarios and its evaluation for in-depth analysis. </w:t>
      </w:r>
    </w:p>
    <w:p w14:paraId="027F5D9A" w14:textId="25D14C3F" w:rsidR="6A328E42" w:rsidRPr="004F1CA5" w:rsidRDefault="5C711659" w:rsidP="09E359FC">
      <w:pPr>
        <w:spacing w:after="160" w:line="257" w:lineRule="auto"/>
        <w:rPr>
          <w:rFonts w:asciiTheme="minorHAnsi" w:hAnsiTheme="minorHAnsi" w:cstheme="minorHAnsi"/>
        </w:rPr>
      </w:pPr>
      <w:r w:rsidRPr="004F1CA5">
        <w:rPr>
          <w:rFonts w:asciiTheme="minorHAnsi" w:eastAsia="Aptos" w:hAnsiTheme="minorHAnsi" w:cstheme="minorHAnsi"/>
        </w:rPr>
        <w:t xml:space="preserve">  </w:t>
      </w:r>
    </w:p>
    <w:p w14:paraId="7973D086" w14:textId="71C3F5A1" w:rsidR="6A328E42" w:rsidRPr="004F1CA5" w:rsidRDefault="5C711659" w:rsidP="09E359FC">
      <w:pPr>
        <w:pStyle w:val="Heading3"/>
        <w:spacing w:before="160" w:after="80" w:line="257" w:lineRule="auto"/>
        <w:rPr>
          <w:rFonts w:asciiTheme="minorHAnsi" w:eastAsia="Aptos" w:hAnsiTheme="minorHAnsi" w:cstheme="minorBidi"/>
          <w:b w:val="0"/>
          <w:color w:val="0F4761"/>
          <w:sz w:val="28"/>
          <w:szCs w:val="28"/>
        </w:rPr>
      </w:pPr>
      <w:bookmarkStart w:id="275" w:name="_Toc222954505"/>
      <w:bookmarkStart w:id="276" w:name="_Toc234310815"/>
      <w:r w:rsidRPr="19F71E1F">
        <w:rPr>
          <w:rFonts w:asciiTheme="minorHAnsi" w:eastAsia="Aptos" w:hAnsiTheme="minorHAnsi" w:cstheme="minorBidi"/>
          <w:sz w:val="28"/>
          <w:szCs w:val="28"/>
        </w:rPr>
        <w:t>EVSE Fleet with Grid Integration</w:t>
      </w:r>
      <w:bookmarkEnd w:id="275"/>
      <w:bookmarkEnd w:id="276"/>
      <w:r w:rsidRPr="19F71E1F">
        <w:rPr>
          <w:rFonts w:asciiTheme="minorHAnsi" w:eastAsia="Aptos" w:hAnsiTheme="minorHAnsi" w:cstheme="minorBidi"/>
          <w:b w:val="0"/>
          <w:color w:val="0F4761"/>
          <w:sz w:val="28"/>
          <w:szCs w:val="28"/>
        </w:rPr>
        <w:t xml:space="preserve"> </w:t>
      </w:r>
    </w:p>
    <w:p w14:paraId="3599D30B" w14:textId="2ED255D1" w:rsidR="6A328E42" w:rsidRPr="004F1CA5" w:rsidRDefault="5C711659" w:rsidP="09E359FC">
      <w:pPr>
        <w:spacing w:after="160" w:line="257" w:lineRule="auto"/>
        <w:jc w:val="both"/>
        <w:rPr>
          <w:rFonts w:asciiTheme="minorHAnsi" w:hAnsiTheme="minorHAnsi" w:cstheme="minorBidi"/>
          <w:sz w:val="24"/>
          <w:szCs w:val="24"/>
        </w:rPr>
      </w:pPr>
      <w:r w:rsidRPr="466E1D4B">
        <w:rPr>
          <w:rFonts w:asciiTheme="minorHAnsi" w:eastAsia="Aptos" w:hAnsiTheme="minorHAnsi" w:cstheme="minorBidi"/>
          <w:sz w:val="24"/>
          <w:szCs w:val="24"/>
        </w:rPr>
        <w:t xml:space="preserve">In the second scenario, the EVSE fleet with grid integration is analysed in the co-simulation environment, in which different extreme test cases are demonstrated. Under high-demand conditions, it provides stability evaluation, scalability assessment, and end-to-end resiliency control for EVSE fleet to grid integration. It extends foundational baseline behaviour discussed in scenario one, considering real-time EVSE and grid dynamics such as grid overloading, charging station concurrency, battery thermal challenges, complications in communication networks, and EVSE system scalability heatmaps. </w:t>
      </w:r>
    </w:p>
    <w:p w14:paraId="0956CC7E" w14:textId="4F2CC372" w:rsidR="6A328E42" w:rsidRPr="004F1CA5" w:rsidRDefault="5C711659" w:rsidP="09E359FC">
      <w:pPr>
        <w:spacing w:after="160" w:line="257" w:lineRule="auto"/>
        <w:jc w:val="both"/>
        <w:rPr>
          <w:rFonts w:asciiTheme="minorHAnsi" w:hAnsiTheme="minorHAnsi" w:cstheme="minorBidi"/>
          <w:sz w:val="24"/>
          <w:szCs w:val="24"/>
        </w:rPr>
      </w:pPr>
      <w:r w:rsidRPr="466E1D4B">
        <w:rPr>
          <w:rFonts w:asciiTheme="minorHAnsi" w:eastAsia="Aptos" w:hAnsiTheme="minorHAnsi" w:cstheme="minorBidi"/>
          <w:sz w:val="24"/>
          <w:szCs w:val="24"/>
        </w:rPr>
        <w:t xml:space="preserve">In this scenario, EVSE federates operate with unique operational behaviour and random starting time for charging to exercise realistic behaviour of the fleet’s operation. In the EVSE fleet analysis, the coordination and congestion control under the HELICS environment were also examined for real-time synchronization, interactions, and communication resiliency. In addition, the provision of quantitative insights for high-demand conditions, grid control behaviour, performance degradation trends, and scalability limits is also investigated. Furthermore, the robustness of the cyber-physical simulation environment is evaluated on a scale to assess the operational control limits, its cyber resiliency, and scalability in complex EVSE and grid interaction scenarios. </w:t>
      </w:r>
    </w:p>
    <w:p w14:paraId="0A8B18CA" w14:textId="07A103E2" w:rsidR="6A328E42" w:rsidRPr="004F1CA5" w:rsidRDefault="5C711659" w:rsidP="09E359FC">
      <w:pPr>
        <w:spacing w:after="160" w:line="257" w:lineRule="auto"/>
        <w:jc w:val="both"/>
        <w:rPr>
          <w:rFonts w:asciiTheme="minorHAnsi" w:hAnsiTheme="minorHAnsi" w:cstheme="minorHAnsi"/>
        </w:rPr>
      </w:pPr>
      <w:r w:rsidRPr="004F1CA5">
        <w:rPr>
          <w:rFonts w:asciiTheme="minorHAnsi" w:eastAsia="Aptos" w:hAnsiTheme="minorHAnsi" w:cstheme="minorHAnsi"/>
        </w:rPr>
        <w:t xml:space="preserve"> </w:t>
      </w:r>
    </w:p>
    <w:p w14:paraId="034AC0E8" w14:textId="26026643" w:rsidR="6A328E42" w:rsidRPr="004F1CA5" w:rsidRDefault="5C711659" w:rsidP="09E359FC">
      <w:pPr>
        <w:pStyle w:val="Heading3"/>
        <w:spacing w:before="160" w:after="80" w:line="257" w:lineRule="auto"/>
        <w:rPr>
          <w:rFonts w:asciiTheme="minorHAnsi" w:eastAsia="Aptos" w:hAnsiTheme="minorHAnsi" w:cstheme="minorBidi"/>
          <w:sz w:val="28"/>
          <w:szCs w:val="28"/>
        </w:rPr>
      </w:pPr>
      <w:bookmarkStart w:id="277" w:name="_Toc222954506"/>
      <w:bookmarkStart w:id="278" w:name="_Toc234310816"/>
      <w:r w:rsidRPr="19F71E1F">
        <w:rPr>
          <w:rFonts w:asciiTheme="minorHAnsi" w:eastAsia="Aptos" w:hAnsiTheme="minorHAnsi" w:cstheme="minorBidi"/>
          <w:sz w:val="28"/>
          <w:szCs w:val="28"/>
        </w:rPr>
        <w:t>Simulation Configuration</w:t>
      </w:r>
      <w:bookmarkEnd w:id="277"/>
      <w:bookmarkEnd w:id="278"/>
      <w:r w:rsidRPr="19F71E1F">
        <w:rPr>
          <w:rFonts w:asciiTheme="minorHAnsi" w:eastAsia="Aptos" w:hAnsiTheme="minorHAnsi" w:cstheme="minorBidi"/>
          <w:sz w:val="28"/>
          <w:szCs w:val="28"/>
        </w:rPr>
        <w:t xml:space="preserve"> </w:t>
      </w:r>
    </w:p>
    <w:p w14:paraId="0410070A" w14:textId="3C85A926" w:rsidR="6A328E42" w:rsidRPr="004F1CA5" w:rsidRDefault="5C711659" w:rsidP="09E359FC">
      <w:pPr>
        <w:spacing w:after="160" w:line="257" w:lineRule="auto"/>
        <w:jc w:val="both"/>
        <w:rPr>
          <w:rFonts w:asciiTheme="minorHAnsi" w:hAnsiTheme="minorHAnsi" w:cstheme="minorBidi"/>
          <w:sz w:val="24"/>
          <w:szCs w:val="24"/>
        </w:rPr>
      </w:pPr>
      <w:r w:rsidRPr="4AA8F338">
        <w:rPr>
          <w:rFonts w:asciiTheme="minorHAnsi" w:eastAsia="Aptos" w:hAnsiTheme="minorHAnsi" w:cstheme="minorBidi"/>
          <w:sz w:val="24"/>
          <w:szCs w:val="24"/>
        </w:rPr>
        <w:t xml:space="preserve">For the EVSE fleet configurations, there are ten EVSE fleets (EVSE 1–EVSE 10), having multiple connectors to entertain EV charging sessions simultaneously. There are numerous EVs with different battery capacities starting from 40 kWh to 80 kWh that are initialize having random SoC ranging from 10% and 40%. The aggregate feeder capacity is set to 600 kW while the capacity of each EVSE unit is configured with 100 kW. The simulation time spans from 180 minutes and is adjusted dynamically, capturing temporal results after every minute in the simulation runtime. It captures steady-state and transient dynamics of the EVSE fleet with grid integration. To replicate uncertainty at a large-scale EVSE fleet, temperature derating effects, voltage instabilities, and communication latencies are randomly injected in the simulation runtime. In the HELICS environment, the EVs, EVSEs, grid, and other federates are orchestrated and synchronized in the co-simulation setup. The global simulation run file executes and generates manifest files to record EVSE charging dynamics and events. The telemetry of EVSE fleet performance is logged with CSV datasets such as communication throughput, active power, currents, and voltage control. </w:t>
      </w:r>
    </w:p>
    <w:p w14:paraId="262C5AE5" w14:textId="2FC3DC43" w:rsidR="6A328E42" w:rsidRPr="004F1CA5" w:rsidRDefault="5C711659" w:rsidP="09E359FC">
      <w:pPr>
        <w:spacing w:after="160" w:line="257" w:lineRule="auto"/>
        <w:jc w:val="both"/>
        <w:rPr>
          <w:rFonts w:asciiTheme="minorHAnsi" w:hAnsiTheme="minorHAnsi" w:cstheme="minorBidi"/>
        </w:rPr>
      </w:pPr>
      <w:r w:rsidRPr="4AA8F338">
        <w:rPr>
          <w:rFonts w:asciiTheme="minorHAnsi" w:eastAsia="Aptos" w:hAnsiTheme="minorHAnsi" w:cstheme="minorBidi"/>
          <w:sz w:val="24"/>
          <w:szCs w:val="24"/>
        </w:rPr>
        <w:t xml:space="preserve">The EVSE fleet integration extends the single-EVSE architecture to a distributed multi-point configuration. Figure </w:t>
      </w:r>
      <w:r w:rsidR="67AB1ECF" w:rsidRPr="4AA8F338">
        <w:rPr>
          <w:rFonts w:asciiTheme="minorHAnsi" w:eastAsia="Aptos" w:hAnsiTheme="minorHAnsi" w:cstheme="minorBidi"/>
          <w:sz w:val="24"/>
          <w:szCs w:val="24"/>
        </w:rPr>
        <w:t>2</w:t>
      </w:r>
      <w:r w:rsidRPr="4AA8F338">
        <w:rPr>
          <w:rFonts w:asciiTheme="minorHAnsi" w:eastAsia="Aptos" w:hAnsiTheme="minorHAnsi" w:cstheme="minorBidi"/>
          <w:sz w:val="24"/>
          <w:szCs w:val="24"/>
        </w:rPr>
        <w:t xml:space="preserve">6 illustrates how ten EVSE stations are distributed across the IEEE 13-bus feeder, with each station connected to different buses to evaluate load distribution, voltage profiles, and aggregate power demand. The HELICS federation coordinates all EVSE federates, EV actors, and the grid model, ensuring time-synchronized operation and communication protocol adherence. This distributed architecture enables evaluation of fleet-level impacts on grid stability, voltage regulation, and feeder loading under high-demand scenarios. </w:t>
      </w:r>
      <w:r w:rsidRPr="39AFABCF">
        <w:rPr>
          <w:rFonts w:asciiTheme="minorHAnsi" w:eastAsia="Aptos" w:hAnsiTheme="minorHAnsi" w:cstheme="minorBidi"/>
        </w:rPr>
        <w:t xml:space="preserve"> </w:t>
      </w:r>
    </w:p>
    <w:p w14:paraId="22ACCDE0" w14:textId="11D68B60" w:rsidR="6A328E42" w:rsidRDefault="6A328E42" w:rsidP="0BC5F012">
      <w:pPr>
        <w:spacing w:after="160" w:line="257" w:lineRule="auto"/>
        <w:jc w:val="center"/>
        <w:rPr>
          <w:rFonts w:asciiTheme="minorHAnsi" w:hAnsiTheme="minorHAnsi" w:cstheme="minorBidi"/>
        </w:rPr>
      </w:pPr>
    </w:p>
    <w:p w14:paraId="14A8E402" w14:textId="6548AC02" w:rsidR="007F0F18" w:rsidRPr="004F1CA5" w:rsidRDefault="007F0F18" w:rsidP="0BC5F012">
      <w:pPr>
        <w:spacing w:after="160" w:line="257" w:lineRule="auto"/>
        <w:jc w:val="center"/>
        <w:rPr>
          <w:rFonts w:asciiTheme="minorHAnsi" w:hAnsiTheme="minorHAnsi" w:cstheme="minorBidi"/>
        </w:rPr>
      </w:pPr>
      <w:r>
        <w:rPr>
          <w:noProof/>
        </w:rPr>
        <w:drawing>
          <wp:inline distT="0" distB="0" distL="0" distR="0" wp14:anchorId="0AFDE1EB" wp14:editId="27A62700">
            <wp:extent cx="6120130" cy="6689725"/>
            <wp:effectExtent l="0" t="0" r="0" b="0"/>
            <wp:docPr id="1602783711" name="Picture 25"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83711" name="Picture 25" descr="A diagram of a company&#10;&#10;AI-generated content may be incorrec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20130" cy="6689725"/>
                    </a:xfrm>
                    <a:prstGeom prst="rect">
                      <a:avLst/>
                    </a:prstGeom>
                    <a:noFill/>
                    <a:ln>
                      <a:noFill/>
                    </a:ln>
                  </pic:spPr>
                </pic:pic>
              </a:graphicData>
            </a:graphic>
          </wp:inline>
        </w:drawing>
      </w:r>
    </w:p>
    <w:p w14:paraId="45AFAA06" w14:textId="7F0E2476" w:rsidR="6A328E42" w:rsidRPr="004F1CA5" w:rsidRDefault="00B95BE2" w:rsidP="00B95BE2">
      <w:pPr>
        <w:pStyle w:val="Caption"/>
        <w:rPr>
          <w:rFonts w:asciiTheme="minorHAnsi" w:hAnsiTheme="minorHAnsi" w:cstheme="minorBidi"/>
          <w:szCs w:val="20"/>
        </w:rPr>
      </w:pPr>
      <w:bookmarkStart w:id="279" w:name="_Toc233112232"/>
      <w:r>
        <w:t xml:space="preserve">Figure </w:t>
      </w:r>
      <w:r w:rsidR="00113348">
        <w:fldChar w:fldCharType="begin"/>
      </w:r>
      <w:r w:rsidR="00113348">
        <w:instrText xml:space="preserve"> SEQ Figure \* ARABIC </w:instrText>
      </w:r>
      <w:r w:rsidR="00113348">
        <w:fldChar w:fldCharType="separate"/>
      </w:r>
      <w:r w:rsidR="00F8092D">
        <w:rPr>
          <w:noProof/>
        </w:rPr>
        <w:t>26</w:t>
      </w:r>
      <w:r w:rsidR="00113348">
        <w:rPr>
          <w:noProof/>
        </w:rPr>
        <w:fldChar w:fldCharType="end"/>
      </w:r>
      <w:r w:rsidR="5C711659" w:rsidRPr="4AA8F338">
        <w:rPr>
          <w:rFonts w:asciiTheme="minorHAnsi" w:eastAsia="Aptos" w:hAnsiTheme="minorHAnsi" w:cstheme="minorBidi"/>
          <w:i/>
          <w:color w:val="0E2841"/>
          <w:szCs w:val="20"/>
          <w:lang w:val="en-GB"/>
        </w:rPr>
        <w:t>: EVSE fleet grid integration architecture showing distributed deployment across IEEE 13-bus system, HELICS federation coordination, and aggregate load management.</w:t>
      </w:r>
      <w:bookmarkEnd w:id="279"/>
    </w:p>
    <w:p w14:paraId="1B8CD9AD" w14:textId="60551722" w:rsidR="6A328E42" w:rsidRPr="004F1CA5" w:rsidRDefault="5C711659" w:rsidP="09E359FC">
      <w:pPr>
        <w:spacing w:after="160" w:line="257" w:lineRule="auto"/>
        <w:jc w:val="both"/>
        <w:rPr>
          <w:rFonts w:asciiTheme="minorHAnsi" w:hAnsiTheme="minorHAnsi" w:cstheme="minorBidi"/>
          <w:sz w:val="24"/>
          <w:szCs w:val="24"/>
        </w:rPr>
      </w:pPr>
      <w:r w:rsidRPr="4AA8F338">
        <w:rPr>
          <w:rFonts w:asciiTheme="minorHAnsi" w:eastAsia="Aptos" w:hAnsiTheme="minorHAnsi" w:cstheme="minorBidi"/>
          <w:sz w:val="24"/>
          <w:szCs w:val="24"/>
        </w:rPr>
        <w:t xml:space="preserve">There are five test scenarios developed for the stability and robustness of the EVSE fleet and grid integration, enabling overall system control and adaptive control logic. The details of five test scenarios in the EVSE fleet with grid integration are provided in the following sections. </w:t>
      </w:r>
    </w:p>
    <w:p w14:paraId="16542D96" w14:textId="672FDAD1" w:rsidR="6A328E42" w:rsidRPr="004F1CA5" w:rsidRDefault="5C711659" w:rsidP="09E359FC">
      <w:pPr>
        <w:spacing w:after="160" w:line="257" w:lineRule="auto"/>
        <w:rPr>
          <w:rFonts w:asciiTheme="minorHAnsi" w:hAnsiTheme="minorHAnsi" w:cstheme="minorHAnsi"/>
        </w:rPr>
      </w:pPr>
      <w:r w:rsidRPr="004F1CA5">
        <w:rPr>
          <w:rFonts w:asciiTheme="minorHAnsi" w:eastAsia="Aptos" w:hAnsiTheme="minorHAnsi" w:cstheme="minorHAnsi"/>
        </w:rPr>
        <w:t xml:space="preserve"> </w:t>
      </w:r>
    </w:p>
    <w:p w14:paraId="6BF9BD8D" w14:textId="18423576" w:rsidR="6A328E42" w:rsidRPr="004F1CA5" w:rsidRDefault="5C711659" w:rsidP="09E359FC">
      <w:pPr>
        <w:pStyle w:val="Heading3"/>
        <w:spacing w:before="160" w:after="80" w:line="257" w:lineRule="auto"/>
        <w:rPr>
          <w:rFonts w:asciiTheme="minorHAnsi" w:eastAsia="Aptos" w:hAnsiTheme="minorHAnsi" w:cstheme="minorBidi"/>
          <w:sz w:val="28"/>
          <w:szCs w:val="28"/>
        </w:rPr>
      </w:pPr>
      <w:bookmarkStart w:id="280" w:name="_Toc222954507"/>
      <w:bookmarkStart w:id="281" w:name="_Toc234310817"/>
      <w:r w:rsidRPr="19F71E1F">
        <w:rPr>
          <w:rFonts w:asciiTheme="minorHAnsi" w:eastAsia="Aptos" w:hAnsiTheme="minorHAnsi" w:cstheme="minorBidi"/>
          <w:sz w:val="28"/>
          <w:szCs w:val="28"/>
        </w:rPr>
        <w:t>Grid Overload Analysis</w:t>
      </w:r>
      <w:bookmarkEnd w:id="280"/>
      <w:bookmarkEnd w:id="281"/>
      <w:r w:rsidRPr="19F71E1F">
        <w:rPr>
          <w:rFonts w:asciiTheme="minorHAnsi" w:eastAsia="Aptos" w:hAnsiTheme="minorHAnsi" w:cstheme="minorBidi"/>
          <w:sz w:val="28"/>
          <w:szCs w:val="28"/>
        </w:rPr>
        <w:t xml:space="preserve"> </w:t>
      </w:r>
    </w:p>
    <w:p w14:paraId="4BFE6100" w14:textId="5DE155FD" w:rsidR="6A328E42" w:rsidRPr="004F1CA5" w:rsidRDefault="5C711659" w:rsidP="09E359FC">
      <w:pPr>
        <w:spacing w:after="160" w:line="257" w:lineRule="auto"/>
        <w:jc w:val="both"/>
        <w:rPr>
          <w:rFonts w:asciiTheme="minorHAnsi" w:hAnsiTheme="minorHAnsi" w:cstheme="minorBidi"/>
          <w:sz w:val="24"/>
          <w:szCs w:val="24"/>
        </w:rPr>
      </w:pPr>
      <w:r w:rsidRPr="4AA8F338">
        <w:rPr>
          <w:rFonts w:asciiTheme="minorHAnsi" w:eastAsia="Aptos" w:hAnsiTheme="minorHAnsi" w:cstheme="minorBidi"/>
          <w:sz w:val="24"/>
          <w:szCs w:val="24"/>
        </w:rPr>
        <w:t xml:space="preserve">In the Grid Overload Scenario test, the power grid response is evaluated for the EVSE fleet, considering simultaneous EVs charging demand at EVSEs and high charging demands. The EVs are randomly connected with EVSE fleets across distributed power grid feeders 12.47 kV of the grid limit 800 kW for each EVSE unit. The charging profiles in the EVSE units are initiated simultaneously for the demonstration of a sudden load increase on the distribution grid. The performance metrics for system-level total power kw capture quantified power drawn, power utilization, overload detections, and power grid violations with  </w:t>
      </w:r>
      <w:r>
        <w:rPr>
          <w:noProof/>
        </w:rPr>
        <w:drawing>
          <wp:inline distT="0" distB="0" distL="0" distR="0" wp14:anchorId="2A49C4F5" wp14:editId="2B46FE18">
            <wp:extent cx="838200" cy="200025"/>
            <wp:effectExtent l="0" t="0" r="0" b="0"/>
            <wp:docPr id="15004426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442692" name="Picture 1500442692"/>
                    <pic:cNvPicPr/>
                  </pic:nvPicPr>
                  <pic:blipFill>
                    <a:blip r:embed="rId48">
                      <a:extLst>
                        <a:ext uri="{28A0092B-C50C-407E-A947-70E740481C1C}">
                          <a14:useLocalDpi xmlns:a14="http://schemas.microsoft.com/office/drawing/2010/main"/>
                        </a:ext>
                      </a:extLst>
                    </a:blip>
                    <a:stretch>
                      <a:fillRect/>
                    </a:stretch>
                  </pic:blipFill>
                  <pic:spPr>
                    <a:xfrm>
                      <a:off x="0" y="0"/>
                      <a:ext cx="838200" cy="200025"/>
                    </a:xfrm>
                    <a:prstGeom prst="rect">
                      <a:avLst/>
                    </a:prstGeom>
                  </pic:spPr>
                </pic:pic>
              </a:graphicData>
            </a:graphic>
          </wp:inline>
        </w:drawing>
      </w:r>
      <w:r w:rsidRPr="4AA8F338">
        <w:rPr>
          <w:rFonts w:asciiTheme="minorHAnsi" w:eastAsia="Aptos" w:hAnsiTheme="minorHAnsi" w:cstheme="minorBidi"/>
          <w:sz w:val="24"/>
          <w:szCs w:val="24"/>
        </w:rPr>
        <w:t xml:space="preserve">. Figure </w:t>
      </w:r>
      <w:r w:rsidR="6604F323" w:rsidRPr="4AA8F338">
        <w:rPr>
          <w:rFonts w:asciiTheme="minorHAnsi" w:eastAsia="Aptos" w:hAnsiTheme="minorHAnsi" w:cstheme="minorBidi"/>
          <w:sz w:val="24"/>
          <w:szCs w:val="24"/>
        </w:rPr>
        <w:t>2</w:t>
      </w:r>
      <w:r w:rsidRPr="4AA8F338">
        <w:rPr>
          <w:rFonts w:asciiTheme="minorHAnsi" w:eastAsia="Aptos" w:hAnsiTheme="minorHAnsi" w:cstheme="minorBidi"/>
          <w:sz w:val="24"/>
          <w:szCs w:val="24"/>
        </w:rPr>
        <w:t xml:space="preserve">7 illustrates grid overload analysis, including grid capacity, system limits, power grid violations, power grid utilization, and overload detections. </w:t>
      </w:r>
    </w:p>
    <w:p w14:paraId="508055BA" w14:textId="2896FE87" w:rsidR="6A328E42" w:rsidRDefault="6A328E42" w:rsidP="09E359FC">
      <w:pPr>
        <w:spacing w:after="160" w:line="257" w:lineRule="auto"/>
        <w:rPr>
          <w:rFonts w:asciiTheme="minorHAnsi" w:hAnsiTheme="minorHAnsi" w:cstheme="minorHAnsi"/>
        </w:rPr>
      </w:pPr>
    </w:p>
    <w:p w14:paraId="6B99050E" w14:textId="6920FA2E" w:rsidR="00B5177D" w:rsidRPr="004F1CA5" w:rsidRDefault="00B5177D" w:rsidP="09E359FC">
      <w:pPr>
        <w:spacing w:after="160" w:line="257" w:lineRule="auto"/>
        <w:rPr>
          <w:rFonts w:asciiTheme="minorHAnsi" w:hAnsiTheme="minorHAnsi" w:cstheme="minorHAnsi"/>
        </w:rPr>
      </w:pPr>
      <w:r>
        <w:rPr>
          <w:noProof/>
        </w:rPr>
        <w:drawing>
          <wp:inline distT="0" distB="0" distL="0" distR="0" wp14:anchorId="55CB7011" wp14:editId="4EA00025">
            <wp:extent cx="6120130" cy="4617720"/>
            <wp:effectExtent l="0" t="0" r="0" b="0"/>
            <wp:docPr id="800324857" name="Picture 26"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324857" name="Picture 26" descr="A graph of a graph&#10;&#10;AI-generated content may be incorrec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20130" cy="4617720"/>
                    </a:xfrm>
                    <a:prstGeom prst="rect">
                      <a:avLst/>
                    </a:prstGeom>
                    <a:noFill/>
                    <a:ln>
                      <a:noFill/>
                    </a:ln>
                  </pic:spPr>
                </pic:pic>
              </a:graphicData>
            </a:graphic>
          </wp:inline>
        </w:drawing>
      </w:r>
    </w:p>
    <w:p w14:paraId="1B6A189E" w14:textId="7BDDF70E" w:rsidR="6A328E42" w:rsidRPr="004F1CA5" w:rsidRDefault="00B95BE2" w:rsidP="00B95BE2">
      <w:pPr>
        <w:pStyle w:val="Caption"/>
        <w:rPr>
          <w:rFonts w:asciiTheme="minorHAnsi" w:hAnsiTheme="minorHAnsi" w:cstheme="minorBidi"/>
          <w:szCs w:val="20"/>
        </w:rPr>
      </w:pPr>
      <w:bookmarkStart w:id="282" w:name="_Toc233112233"/>
      <w:r>
        <w:t xml:space="preserve">Figure </w:t>
      </w:r>
      <w:r w:rsidR="00113348">
        <w:fldChar w:fldCharType="begin"/>
      </w:r>
      <w:r w:rsidR="00113348">
        <w:instrText xml:space="preserve"> SEQ Figure \* ARABIC </w:instrText>
      </w:r>
      <w:r w:rsidR="00113348">
        <w:fldChar w:fldCharType="separate"/>
      </w:r>
      <w:r w:rsidR="00F8092D">
        <w:rPr>
          <w:noProof/>
        </w:rPr>
        <w:t>27</w:t>
      </w:r>
      <w:r w:rsidR="00113348">
        <w:rPr>
          <w:noProof/>
        </w:rPr>
        <w:fldChar w:fldCharType="end"/>
      </w:r>
      <w:r w:rsidR="5C711659" w:rsidRPr="4AA8F338">
        <w:rPr>
          <w:rFonts w:asciiTheme="minorHAnsi" w:eastAsia="Aptos" w:hAnsiTheme="minorHAnsi" w:cstheme="minorBidi"/>
          <w:i/>
          <w:color w:val="0E2841"/>
          <w:szCs w:val="20"/>
          <w:lang w:val="en-GB"/>
        </w:rPr>
        <w:t>: Estimating power grid capacity, grid utilization, and grid overload detection in the EVSE fleet scenario.</w:t>
      </w:r>
      <w:bookmarkEnd w:id="282"/>
    </w:p>
    <w:p w14:paraId="6BE27271" w14:textId="7D499DCA" w:rsidR="6A328E42" w:rsidRPr="004F1CA5" w:rsidRDefault="5C711659" w:rsidP="09E359FC">
      <w:pPr>
        <w:spacing w:after="160" w:line="257" w:lineRule="auto"/>
        <w:rPr>
          <w:rFonts w:asciiTheme="minorHAnsi" w:hAnsiTheme="minorHAnsi" w:cstheme="minorBidi"/>
          <w:sz w:val="20"/>
          <w:szCs w:val="20"/>
        </w:rPr>
      </w:pPr>
      <w:r w:rsidRPr="4AA8F338">
        <w:rPr>
          <w:rFonts w:asciiTheme="minorHAnsi" w:eastAsia="Aptos" w:hAnsiTheme="minorHAnsi" w:cstheme="minorBidi"/>
          <w:sz w:val="20"/>
          <w:szCs w:val="20"/>
        </w:rPr>
        <w:t xml:space="preserve"> </w:t>
      </w:r>
    </w:p>
    <w:p w14:paraId="4905F4E4" w14:textId="7B286AED" w:rsidR="6A328E42" w:rsidRPr="004F1CA5" w:rsidRDefault="5C711659" w:rsidP="09E359FC">
      <w:pPr>
        <w:spacing w:after="160" w:line="257" w:lineRule="auto"/>
        <w:jc w:val="both"/>
        <w:rPr>
          <w:rFonts w:asciiTheme="minorHAnsi" w:hAnsiTheme="minorHAnsi" w:cstheme="minorBidi"/>
          <w:sz w:val="24"/>
          <w:szCs w:val="24"/>
        </w:rPr>
      </w:pPr>
      <w:r w:rsidRPr="33171B28">
        <w:rPr>
          <w:rFonts w:asciiTheme="minorHAnsi" w:eastAsia="Aptos" w:hAnsiTheme="minorHAnsi" w:cstheme="minorBidi"/>
          <w:sz w:val="24"/>
          <w:szCs w:val="24"/>
        </w:rPr>
        <w:t xml:space="preserve">The grid capacity and system load are evaluated initially to trace real-time power traces, system demands, and grid violations for the runtime simulation window. The initial results reflect the successful detection of system load violations for the specified distribution power feeder capacity. It is also estimated that the aggregated charging demands so that the power dispatch would be adjusted accordingly. In the second result, the distribution power grid utilization factor is estimated. The baseline threshold of power grid utilization is configured at 80% for the stable operation and control stability, enabling accurate estimation of feeder overload during real-time surge of EVSE unit demands. </w:t>
      </w:r>
    </w:p>
    <w:p w14:paraId="7D5CA8A8" w14:textId="5D29BB65" w:rsidR="6A328E42" w:rsidRPr="004F1CA5" w:rsidRDefault="5C711659" w:rsidP="09E359FC">
      <w:pPr>
        <w:spacing w:after="160" w:line="257" w:lineRule="auto"/>
        <w:jc w:val="both"/>
        <w:rPr>
          <w:rFonts w:asciiTheme="minorHAnsi" w:hAnsiTheme="minorHAnsi" w:cstheme="minorBidi"/>
          <w:sz w:val="24"/>
          <w:szCs w:val="24"/>
        </w:rPr>
      </w:pPr>
      <w:r w:rsidRPr="33171B28">
        <w:rPr>
          <w:rFonts w:asciiTheme="minorHAnsi" w:eastAsia="Aptos" w:hAnsiTheme="minorHAnsi" w:cstheme="minorBidi"/>
          <w:sz w:val="24"/>
          <w:szCs w:val="24"/>
        </w:rPr>
        <w:t xml:space="preserve">The results indicate power grid experiences a transient overload capacity of approximately 1500 kW beyond its limit of 800 kW. The average load records 662.72 kW, representing 58.20% power grid utilization and feeder loading, while the grid violations are 41.80% of consecutive 75 occurrences during runtime simulations. The maximum overload capacity is recorded as 700 kW in the peak demand conditions, estimating 41.80% grid capacity violation. The accurate estimation of overload conditions enables optimal dispatch conditions, capturing extreme events for adaptive control logics, and supports us in mitigating EVSE tapering phases. It reflects the co-simulation environment for grid overload conditions, effectively captures real-time high-demand conditions for the EVSE fleet. These finding enables adaptive control strategies for entertaining EVSE fleets and coordinate charging mechanisms for managing peak loads in large-scale EVSE fleets connected with power distribution systems. </w:t>
      </w:r>
    </w:p>
    <w:p w14:paraId="4175956D" w14:textId="0073FD78" w:rsidR="6A328E42" w:rsidRPr="004F1CA5" w:rsidRDefault="5C711659" w:rsidP="09E359FC">
      <w:pPr>
        <w:spacing w:after="160" w:line="257" w:lineRule="auto"/>
        <w:jc w:val="both"/>
        <w:rPr>
          <w:rFonts w:asciiTheme="minorHAnsi" w:hAnsiTheme="minorHAnsi" w:cstheme="minorHAnsi"/>
        </w:rPr>
      </w:pPr>
      <w:r w:rsidRPr="004F1CA5">
        <w:rPr>
          <w:rFonts w:asciiTheme="minorHAnsi" w:eastAsia="Aptos" w:hAnsiTheme="minorHAnsi" w:cstheme="minorHAnsi"/>
        </w:rPr>
        <w:t xml:space="preserve"> </w:t>
      </w:r>
    </w:p>
    <w:p w14:paraId="4F7F544D" w14:textId="213F7140" w:rsidR="6A328E42" w:rsidRPr="004F1CA5" w:rsidRDefault="5C711659" w:rsidP="09E359FC">
      <w:pPr>
        <w:pStyle w:val="Heading3"/>
        <w:spacing w:before="160" w:after="80" w:line="257" w:lineRule="auto"/>
        <w:rPr>
          <w:rFonts w:asciiTheme="minorHAnsi" w:eastAsia="Aptos" w:hAnsiTheme="minorHAnsi" w:cstheme="minorBidi"/>
          <w:b w:val="0"/>
          <w:color w:val="0F4761"/>
          <w:sz w:val="28"/>
          <w:szCs w:val="28"/>
        </w:rPr>
      </w:pPr>
      <w:bookmarkStart w:id="283" w:name="_Toc222954508"/>
      <w:bookmarkStart w:id="284" w:name="_Toc234310818"/>
      <w:r w:rsidRPr="19F71E1F">
        <w:rPr>
          <w:rFonts w:asciiTheme="minorHAnsi" w:eastAsia="Aptos" w:hAnsiTheme="minorHAnsi" w:cstheme="minorBidi"/>
          <w:sz w:val="28"/>
          <w:szCs w:val="28"/>
        </w:rPr>
        <w:t>Charging Station Concurrency</w:t>
      </w:r>
      <w:bookmarkEnd w:id="283"/>
      <w:bookmarkEnd w:id="284"/>
      <w:r w:rsidRPr="19F71E1F">
        <w:rPr>
          <w:rFonts w:asciiTheme="minorHAnsi" w:eastAsia="Aptos" w:hAnsiTheme="minorHAnsi" w:cstheme="minorBidi"/>
          <w:b w:val="0"/>
          <w:color w:val="0F4761"/>
          <w:sz w:val="28"/>
          <w:szCs w:val="28"/>
        </w:rPr>
        <w:t xml:space="preserve"> </w:t>
      </w:r>
    </w:p>
    <w:p w14:paraId="3F10BAF2" w14:textId="2CBF07B7" w:rsidR="6A328E42" w:rsidRPr="004F1CA5" w:rsidRDefault="5C711659" w:rsidP="09E359FC">
      <w:pPr>
        <w:spacing w:after="160" w:line="257" w:lineRule="auto"/>
        <w:jc w:val="both"/>
        <w:rPr>
          <w:rFonts w:asciiTheme="minorHAnsi" w:hAnsiTheme="minorHAnsi" w:cstheme="minorBidi"/>
          <w:sz w:val="24"/>
          <w:szCs w:val="24"/>
        </w:rPr>
      </w:pPr>
      <w:r w:rsidRPr="33171B28">
        <w:rPr>
          <w:rFonts w:asciiTheme="minorHAnsi" w:eastAsia="Aptos" w:hAnsiTheme="minorHAnsi" w:cstheme="minorBidi"/>
          <w:sz w:val="24"/>
          <w:szCs w:val="24"/>
        </w:rPr>
        <w:t xml:space="preserve">In the Charging Station Concurrency test, the EVSE fleet and grid capacity are assessed for handling real-time charging operations. It quantifies concurrent charging loads, concurrent utilization of charging station capacity, EVs distribution across the charging stations, and EV charging sessions. The test demonstrates numerous charging stations, configured with EV connectors, to estimate charging capacity </w:t>
      </w:r>
      <w:r>
        <w:rPr>
          <w:noProof/>
        </w:rPr>
        <w:drawing>
          <wp:inline distT="0" distB="0" distL="0" distR="0" wp14:anchorId="36FEACD5" wp14:editId="72B6A8CD">
            <wp:extent cx="1838325" cy="180975"/>
            <wp:effectExtent l="0" t="0" r="0" b="0"/>
            <wp:docPr id="19339579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957925" name="Picture 1933957925"/>
                    <pic:cNvPicPr/>
                  </pic:nvPicPr>
                  <pic:blipFill>
                    <a:blip r:embed="rId50">
                      <a:extLst>
                        <a:ext uri="{28A0092B-C50C-407E-A947-70E740481C1C}">
                          <a14:useLocalDpi xmlns:a14="http://schemas.microsoft.com/office/drawing/2010/main"/>
                        </a:ext>
                      </a:extLst>
                    </a:blip>
                    <a:stretch>
                      <a:fillRect/>
                    </a:stretch>
                  </pic:blipFill>
                  <pic:spPr>
                    <a:xfrm>
                      <a:off x="0" y="0"/>
                      <a:ext cx="1838325" cy="180975"/>
                    </a:xfrm>
                    <a:prstGeom prst="rect">
                      <a:avLst/>
                    </a:prstGeom>
                  </pic:spPr>
                </pic:pic>
              </a:graphicData>
            </a:graphic>
          </wp:inline>
        </w:drawing>
      </w:r>
      <w:r w:rsidRPr="33171B28">
        <w:rPr>
          <w:rFonts w:asciiTheme="minorHAnsi" w:eastAsia="Aptos" w:hAnsiTheme="minorHAnsi" w:cstheme="minorBidi"/>
          <w:sz w:val="24"/>
          <w:szCs w:val="24"/>
        </w:rPr>
        <w:t xml:space="preserve">. The performance metrics of charging station concurrency are monitored with number of charging and active EVs, enabling further insights for the detailed analysis of charging station utilization and real-time charging sessions. The concurrent charging stations visualize EVSE fleet behaviour, evolving in the runtime, and capture the maximum load condition in the saturation period of power demands. </w:t>
      </w:r>
    </w:p>
    <w:p w14:paraId="226D291C" w14:textId="7EF8EB1B" w:rsidR="6A328E42" w:rsidRPr="004F1CA5" w:rsidRDefault="5C711659" w:rsidP="09E359FC">
      <w:pPr>
        <w:spacing w:after="160" w:line="257" w:lineRule="auto"/>
        <w:jc w:val="both"/>
        <w:rPr>
          <w:rFonts w:asciiTheme="minorHAnsi" w:hAnsiTheme="minorHAnsi" w:cstheme="minorBidi"/>
          <w:sz w:val="24"/>
          <w:szCs w:val="24"/>
        </w:rPr>
      </w:pPr>
      <w:r w:rsidRPr="33171B28">
        <w:rPr>
          <w:rFonts w:asciiTheme="minorHAnsi" w:eastAsia="Aptos" w:hAnsiTheme="minorHAnsi" w:cstheme="minorBidi"/>
          <w:sz w:val="24"/>
          <w:szCs w:val="24"/>
        </w:rPr>
        <w:t xml:space="preserve">The results in </w:t>
      </w:r>
      <w:r w:rsidR="00D57441">
        <w:rPr>
          <w:rFonts w:asciiTheme="minorHAnsi" w:eastAsia="Aptos" w:hAnsiTheme="minorHAnsi" w:cstheme="minorBidi"/>
          <w:sz w:val="24"/>
          <w:szCs w:val="24"/>
        </w:rPr>
        <w:t>f</w:t>
      </w:r>
      <w:r w:rsidRPr="33171B28">
        <w:rPr>
          <w:rFonts w:asciiTheme="minorHAnsi" w:eastAsia="Aptos" w:hAnsiTheme="minorHAnsi" w:cstheme="minorBidi"/>
          <w:sz w:val="24"/>
          <w:szCs w:val="24"/>
        </w:rPr>
        <w:t xml:space="preserve">igure </w:t>
      </w:r>
      <w:r w:rsidR="0BB44EB0" w:rsidRPr="33171B28">
        <w:rPr>
          <w:rFonts w:asciiTheme="minorHAnsi" w:eastAsia="Aptos" w:hAnsiTheme="minorHAnsi" w:cstheme="minorBidi"/>
          <w:sz w:val="24"/>
          <w:szCs w:val="24"/>
        </w:rPr>
        <w:t>2</w:t>
      </w:r>
      <w:r w:rsidRPr="33171B28">
        <w:rPr>
          <w:rFonts w:asciiTheme="minorHAnsi" w:eastAsia="Aptos" w:hAnsiTheme="minorHAnsi" w:cstheme="minorBidi"/>
          <w:sz w:val="24"/>
          <w:szCs w:val="24"/>
        </w:rPr>
        <w:t xml:space="preserve">8 demonstrate EVSE fleet stability achieves operational stability near saturation, facilitating maximum charging sessions in the peak demand, supporting 95–98% connector availability for EV charging. It is obvious from the active charging sessions that maximum EVs serve to manage concurrent charging load at the EVSE fleet during the peak demand situations. For station capacity utilization, the maximum number of connectors facilitates EV charging to meet the charging station capacity in a normal distribution pattern. It reflects an average 85% connector utilization to maintain optimal usage of station capacity. For single charging station evaluation, the performance metrics (EV ARRIVED) capture optimal load balancing, enabling EVSE fleet stability and power grid capacity. The 80% stations load balance EV charging sessions while the remaining 20% facilitates EVs in the stochastic control scenarios. Despite a random arrival profile of EVs, the concurrent charging stations enable synchronization, queue management, connector assignment, and control interactions between EVs, EVSEs, charging stations, and power grid federates. The quantification of these findings confirms </w:t>
      </w:r>
      <w:r w:rsidRPr="33171B28">
        <w:rPr>
          <w:rFonts w:asciiTheme="minorHAnsi" w:eastAsia="Aptos" w:hAnsiTheme="minorHAnsi" w:cstheme="minorBidi"/>
          <w:i/>
          <w:sz w:val="24"/>
          <w:szCs w:val="24"/>
        </w:rPr>
        <w:t>Charging Station Concurrency robustness</w:t>
      </w:r>
      <w:r w:rsidRPr="33171B28">
        <w:rPr>
          <w:rFonts w:asciiTheme="minorHAnsi" w:eastAsia="Aptos" w:hAnsiTheme="minorHAnsi" w:cstheme="minorBidi"/>
          <w:sz w:val="24"/>
          <w:szCs w:val="24"/>
        </w:rPr>
        <w:t xml:space="preserve">, enabling coordinated charging connectivity, optimization of EV charging profiles, connector allocations, adaptive queue control, and optimal utilization of charging station capacity. </w:t>
      </w:r>
    </w:p>
    <w:p w14:paraId="1192349D" w14:textId="2E60616C" w:rsidR="6A328E42" w:rsidRDefault="6A328E42" w:rsidP="09E359FC">
      <w:pPr>
        <w:spacing w:after="160" w:line="257" w:lineRule="auto"/>
        <w:rPr>
          <w:rFonts w:asciiTheme="minorHAnsi" w:hAnsiTheme="minorHAnsi" w:cstheme="minorHAnsi"/>
        </w:rPr>
      </w:pPr>
    </w:p>
    <w:p w14:paraId="4BA67BF4" w14:textId="6C8A4118" w:rsidR="001C6381" w:rsidRPr="004F1CA5" w:rsidRDefault="001C6381" w:rsidP="00C9731C">
      <w:pPr>
        <w:spacing w:after="160" w:line="257" w:lineRule="auto"/>
        <w:jc w:val="center"/>
        <w:rPr>
          <w:rFonts w:asciiTheme="minorHAnsi" w:hAnsiTheme="minorHAnsi" w:cstheme="minorHAnsi"/>
        </w:rPr>
      </w:pPr>
      <w:r>
        <w:rPr>
          <w:noProof/>
        </w:rPr>
        <w:drawing>
          <wp:inline distT="0" distB="0" distL="0" distR="0" wp14:anchorId="15B7F09F" wp14:editId="237F8009">
            <wp:extent cx="6120130" cy="3955415"/>
            <wp:effectExtent l="0" t="0" r="0" b="6985"/>
            <wp:docPr id="498053530" name="Picture 27" descr="A group of graphs showing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053530" name="Picture 27" descr="A group of graphs showing different colors&#10;&#10;AI-generated content may be incorrec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0130" cy="3955415"/>
                    </a:xfrm>
                    <a:prstGeom prst="rect">
                      <a:avLst/>
                    </a:prstGeom>
                    <a:noFill/>
                    <a:ln>
                      <a:noFill/>
                    </a:ln>
                  </pic:spPr>
                </pic:pic>
              </a:graphicData>
            </a:graphic>
          </wp:inline>
        </w:drawing>
      </w:r>
    </w:p>
    <w:p w14:paraId="2ED3884A" w14:textId="1FAC750F" w:rsidR="6A328E42" w:rsidRPr="004F1CA5" w:rsidRDefault="00B95BE2" w:rsidP="00B95BE2">
      <w:pPr>
        <w:pStyle w:val="Caption"/>
        <w:rPr>
          <w:rFonts w:asciiTheme="minorHAnsi" w:hAnsiTheme="minorHAnsi" w:cstheme="minorBidi"/>
          <w:szCs w:val="20"/>
        </w:rPr>
      </w:pPr>
      <w:bookmarkStart w:id="285" w:name="_Toc233112234"/>
      <w:r>
        <w:t xml:space="preserve">Figure </w:t>
      </w:r>
      <w:r w:rsidR="00113348">
        <w:fldChar w:fldCharType="begin"/>
      </w:r>
      <w:r w:rsidR="00113348">
        <w:instrText xml:space="preserve"> SEQ Figure \* ARABIC </w:instrText>
      </w:r>
      <w:r w:rsidR="00113348">
        <w:fldChar w:fldCharType="separate"/>
      </w:r>
      <w:r w:rsidR="00F8092D">
        <w:rPr>
          <w:noProof/>
        </w:rPr>
        <w:t>28</w:t>
      </w:r>
      <w:r w:rsidR="00113348">
        <w:rPr>
          <w:noProof/>
        </w:rPr>
        <w:fldChar w:fldCharType="end"/>
      </w:r>
      <w:r w:rsidR="5C711659" w:rsidRPr="33171B28">
        <w:rPr>
          <w:rFonts w:asciiTheme="minorHAnsi" w:eastAsia="Aptos" w:hAnsiTheme="minorHAnsi" w:cstheme="minorBidi"/>
          <w:i/>
          <w:color w:val="0E2841"/>
          <w:szCs w:val="20"/>
          <w:lang w:val="en-GB"/>
        </w:rPr>
        <w:t>: Charging station concurrency estimation for charging loads, station capacity, EV distribution in the charging stations, and active sessions of EVs in the EVSE fleet scenario.</w:t>
      </w:r>
      <w:bookmarkEnd w:id="285"/>
    </w:p>
    <w:p w14:paraId="4502AF99" w14:textId="7A90F4CD" w:rsidR="6A328E42" w:rsidRPr="004F1CA5" w:rsidRDefault="5C711659" w:rsidP="09E359FC">
      <w:pPr>
        <w:spacing w:after="160" w:line="257" w:lineRule="auto"/>
        <w:rPr>
          <w:rFonts w:asciiTheme="minorHAnsi" w:hAnsiTheme="minorHAnsi" w:cstheme="minorBidi"/>
          <w:sz w:val="20"/>
          <w:szCs w:val="20"/>
        </w:rPr>
      </w:pPr>
      <w:r w:rsidRPr="33171B28">
        <w:rPr>
          <w:rFonts w:asciiTheme="minorHAnsi" w:eastAsia="Aptos" w:hAnsiTheme="minorHAnsi" w:cstheme="minorBidi"/>
          <w:sz w:val="20"/>
          <w:szCs w:val="20"/>
        </w:rPr>
        <w:t xml:space="preserve"> </w:t>
      </w:r>
    </w:p>
    <w:p w14:paraId="79FA1A02" w14:textId="4BB7071D" w:rsidR="6A328E42" w:rsidRPr="004F1CA5" w:rsidRDefault="5C711659" w:rsidP="09E359FC">
      <w:pPr>
        <w:pStyle w:val="Heading3"/>
        <w:spacing w:before="160" w:after="80" w:line="257" w:lineRule="auto"/>
        <w:rPr>
          <w:rFonts w:asciiTheme="minorHAnsi" w:eastAsia="Aptos" w:hAnsiTheme="minorHAnsi" w:cstheme="minorBidi"/>
          <w:sz w:val="28"/>
          <w:szCs w:val="28"/>
        </w:rPr>
      </w:pPr>
      <w:bookmarkStart w:id="286" w:name="_Toc222954509"/>
      <w:bookmarkStart w:id="287" w:name="_Toc234310819"/>
      <w:r w:rsidRPr="19F71E1F">
        <w:rPr>
          <w:rFonts w:asciiTheme="minorHAnsi" w:eastAsia="Aptos" w:hAnsiTheme="minorHAnsi" w:cstheme="minorBidi"/>
          <w:sz w:val="28"/>
          <w:szCs w:val="28"/>
        </w:rPr>
        <w:t>Battery Thermal Management</w:t>
      </w:r>
      <w:bookmarkEnd w:id="286"/>
      <w:bookmarkEnd w:id="287"/>
      <w:r w:rsidRPr="19F71E1F">
        <w:rPr>
          <w:rFonts w:asciiTheme="minorHAnsi" w:eastAsia="Aptos" w:hAnsiTheme="minorHAnsi" w:cstheme="minorBidi"/>
          <w:sz w:val="28"/>
          <w:szCs w:val="28"/>
        </w:rPr>
        <w:t xml:space="preserve"> </w:t>
      </w:r>
    </w:p>
    <w:p w14:paraId="35CBE833" w14:textId="3753BB16" w:rsidR="6A328E42" w:rsidRPr="004F1CA5" w:rsidRDefault="5C711659" w:rsidP="09E359FC">
      <w:pPr>
        <w:spacing w:after="160" w:line="257" w:lineRule="auto"/>
        <w:jc w:val="both"/>
        <w:rPr>
          <w:rFonts w:asciiTheme="minorHAnsi" w:hAnsiTheme="minorHAnsi" w:cstheme="minorBidi"/>
          <w:sz w:val="24"/>
          <w:szCs w:val="24"/>
        </w:rPr>
      </w:pPr>
      <w:r w:rsidRPr="33171B28">
        <w:rPr>
          <w:rFonts w:asciiTheme="minorHAnsi" w:eastAsia="Aptos" w:hAnsiTheme="minorHAnsi" w:cstheme="minorBidi"/>
          <w:sz w:val="24"/>
          <w:szCs w:val="24"/>
        </w:rPr>
        <w:t xml:space="preserve">In the test scenario of Battery Thermal Management, the EV batteries’ temperature at the EVSE fleet is evaluated under high load charging dynamics. It reflects the temperature sensitivity across EV batteries for critical and average limits in the battery charging cycles. The temperature metrics enable EV batteries’ instantaneous temperature and overall temperature in the EVSE fleets. The normal range of temperature during EV battery charging is between 59–86°C and varies upon SoC dynamics. The warning temperature ranges from 86–90°C, enabling battery management control to observe the controller and battery dynamics for safe charging and operation. The critical temperature limit is beyond 95°C, reducing the charging performance and posing potential risks in the routine charging of EVs. </w:t>
      </w:r>
    </w:p>
    <w:p w14:paraId="3C71D285" w14:textId="173B1E40" w:rsidR="6A328E42" w:rsidRDefault="6A328E42" w:rsidP="09E359FC">
      <w:pPr>
        <w:spacing w:after="160" w:line="257" w:lineRule="auto"/>
        <w:rPr>
          <w:rFonts w:asciiTheme="minorHAnsi" w:hAnsiTheme="minorHAnsi" w:cstheme="minorHAnsi"/>
        </w:rPr>
      </w:pPr>
    </w:p>
    <w:p w14:paraId="5730DF33" w14:textId="6C77F7BB" w:rsidR="00484B21" w:rsidRPr="004F1CA5" w:rsidRDefault="00484B21" w:rsidP="00C9731C">
      <w:pPr>
        <w:spacing w:after="160" w:line="257" w:lineRule="auto"/>
        <w:jc w:val="center"/>
        <w:rPr>
          <w:rFonts w:asciiTheme="minorHAnsi" w:hAnsiTheme="minorHAnsi" w:cstheme="minorHAnsi"/>
        </w:rPr>
      </w:pPr>
      <w:r>
        <w:rPr>
          <w:noProof/>
        </w:rPr>
        <w:drawing>
          <wp:inline distT="0" distB="0" distL="0" distR="0" wp14:anchorId="749FB2FB" wp14:editId="07979F66">
            <wp:extent cx="6120130" cy="3935095"/>
            <wp:effectExtent l="0" t="0" r="0" b="8255"/>
            <wp:docPr id="1299357968" name="Picture 28"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357968" name="Picture 28" descr="A screenshot of a graph&#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20130" cy="3935095"/>
                    </a:xfrm>
                    <a:prstGeom prst="rect">
                      <a:avLst/>
                    </a:prstGeom>
                    <a:noFill/>
                    <a:ln>
                      <a:noFill/>
                    </a:ln>
                  </pic:spPr>
                </pic:pic>
              </a:graphicData>
            </a:graphic>
          </wp:inline>
        </w:drawing>
      </w:r>
    </w:p>
    <w:p w14:paraId="3159F80F" w14:textId="0170F3F9" w:rsidR="6A328E42" w:rsidRPr="004F1CA5" w:rsidRDefault="00450B01" w:rsidP="00450B01">
      <w:pPr>
        <w:pStyle w:val="Caption"/>
        <w:rPr>
          <w:rFonts w:asciiTheme="minorHAnsi" w:hAnsiTheme="minorHAnsi" w:cstheme="minorBidi"/>
          <w:szCs w:val="20"/>
        </w:rPr>
      </w:pPr>
      <w:bookmarkStart w:id="288" w:name="_Toc233112235"/>
      <w:r>
        <w:t xml:space="preserve">Figure </w:t>
      </w:r>
      <w:r w:rsidR="00113348">
        <w:fldChar w:fldCharType="begin"/>
      </w:r>
      <w:r w:rsidR="00113348">
        <w:instrText xml:space="preserve"> SEQ Figure \* ARABIC </w:instrText>
      </w:r>
      <w:r w:rsidR="00113348">
        <w:fldChar w:fldCharType="separate"/>
      </w:r>
      <w:r w:rsidR="00F8092D">
        <w:rPr>
          <w:noProof/>
        </w:rPr>
        <w:t>29</w:t>
      </w:r>
      <w:r w:rsidR="00113348">
        <w:rPr>
          <w:noProof/>
        </w:rPr>
        <w:fldChar w:fldCharType="end"/>
      </w:r>
      <w:r w:rsidR="5C711659" w:rsidRPr="33171B28">
        <w:rPr>
          <w:rFonts w:asciiTheme="minorHAnsi" w:eastAsia="Aptos" w:hAnsiTheme="minorHAnsi" w:cstheme="minorBidi"/>
          <w:i/>
          <w:color w:val="0E2841"/>
          <w:szCs w:val="20"/>
          <w:lang w:val="en-GB"/>
        </w:rPr>
        <w:t>: Battery thermal management for estimating individual EV battery temperature, the frequency of temperature limit, peak temperature of EVs during charging, and temperature distribution in the span of EV charging in the EVSE fleet scenario.</w:t>
      </w:r>
      <w:bookmarkEnd w:id="288"/>
      <w:r w:rsidR="5C711659" w:rsidRPr="33171B28">
        <w:rPr>
          <w:rFonts w:asciiTheme="minorHAnsi" w:eastAsia="Aptos" w:hAnsiTheme="minorHAnsi" w:cstheme="minorBidi"/>
          <w:i/>
          <w:color w:val="0E2841"/>
          <w:szCs w:val="20"/>
        </w:rPr>
        <w:t xml:space="preserve"> </w:t>
      </w:r>
    </w:p>
    <w:p w14:paraId="069370D4" w14:textId="75028457" w:rsidR="6A328E42" w:rsidRPr="004F1CA5" w:rsidRDefault="5C711659" w:rsidP="09E359FC">
      <w:pPr>
        <w:spacing w:after="160" w:line="257" w:lineRule="auto"/>
        <w:jc w:val="both"/>
        <w:rPr>
          <w:rFonts w:asciiTheme="minorHAnsi" w:hAnsiTheme="minorHAnsi" w:cstheme="minorBidi"/>
          <w:sz w:val="24"/>
          <w:szCs w:val="24"/>
        </w:rPr>
      </w:pPr>
      <w:r w:rsidRPr="151BD303">
        <w:rPr>
          <w:rFonts w:asciiTheme="minorHAnsi" w:eastAsia="Aptos" w:hAnsiTheme="minorHAnsi" w:cstheme="minorBidi"/>
          <w:sz w:val="24"/>
          <w:szCs w:val="24"/>
        </w:rPr>
        <w:t xml:space="preserve">The results in </w:t>
      </w:r>
      <w:r w:rsidR="00D57441">
        <w:rPr>
          <w:rFonts w:asciiTheme="minorHAnsi" w:eastAsia="Aptos" w:hAnsiTheme="minorHAnsi" w:cstheme="minorBidi"/>
          <w:sz w:val="24"/>
          <w:szCs w:val="24"/>
        </w:rPr>
        <w:t>f</w:t>
      </w:r>
      <w:r w:rsidRPr="151BD303">
        <w:rPr>
          <w:rFonts w:asciiTheme="minorHAnsi" w:eastAsia="Aptos" w:hAnsiTheme="minorHAnsi" w:cstheme="minorBidi"/>
          <w:sz w:val="24"/>
          <w:szCs w:val="24"/>
        </w:rPr>
        <w:t xml:space="preserve">igure </w:t>
      </w:r>
      <w:r w:rsidR="30DCD9D0" w:rsidRPr="151BD303">
        <w:rPr>
          <w:rFonts w:asciiTheme="minorHAnsi" w:eastAsia="Aptos" w:hAnsiTheme="minorHAnsi" w:cstheme="minorBidi"/>
          <w:sz w:val="24"/>
          <w:szCs w:val="24"/>
        </w:rPr>
        <w:t>2</w:t>
      </w:r>
      <w:r w:rsidRPr="151BD303">
        <w:rPr>
          <w:rFonts w:asciiTheme="minorHAnsi" w:eastAsia="Aptos" w:hAnsiTheme="minorHAnsi" w:cstheme="minorBidi"/>
          <w:sz w:val="24"/>
          <w:szCs w:val="24"/>
        </w:rPr>
        <w:t xml:space="preserve">9 reflect the EVSE fleet for thermal management, enabling battery temperature of EVs under the desired limit to keep safe and operational stability. In battery temperature profile management, ten EVs are randomly selected to evaluate thermal distribution during peak demand of the EVSE fleet. It is observed that most of EVs’ charging operates in the safe limit, enabling the robustness of EVSE fleets to handle thermal management risks. In the temperature distribution profile, the highest frequency of most EVs is 80°C as the charging process progresses, while some of the EVs operated under 80°C due to their battery dynamics and initial SoC states. In the peak temperature case, twenty EVs are randomly selected with different SoCs and their overall temperature. It is observed that EVSE fleet dynamic charging profiles and queue management keep the temperature limit in the normal range. For the thermal stress events, the EV battery temperatures rise initially due to charging dynamics and SoC status. Once the charging mechanism is coordinated in the EVSE fleets, the battery temperature becomes balanced and avoids warning and critical limits. These finding of the thermal management indicates temperature-enabled load dispatching algorithms and adaptive charging scheduling without a cooldown interval in the peak demand in the EVSE fleets scenarios. </w:t>
      </w:r>
    </w:p>
    <w:p w14:paraId="013184A1" w14:textId="49F45DF3" w:rsidR="6A328E42" w:rsidRPr="004F1CA5" w:rsidRDefault="5C711659" w:rsidP="09E359FC">
      <w:pPr>
        <w:spacing w:after="160" w:line="257" w:lineRule="auto"/>
        <w:rPr>
          <w:rFonts w:asciiTheme="minorHAnsi" w:hAnsiTheme="minorHAnsi" w:cstheme="minorHAnsi"/>
        </w:rPr>
      </w:pPr>
      <w:r w:rsidRPr="004F1CA5">
        <w:rPr>
          <w:rFonts w:asciiTheme="minorHAnsi" w:eastAsia="Aptos" w:hAnsiTheme="minorHAnsi" w:cstheme="minorHAnsi"/>
        </w:rPr>
        <w:t xml:space="preserve"> </w:t>
      </w:r>
    </w:p>
    <w:p w14:paraId="4F59AB00" w14:textId="23DEBE92" w:rsidR="6A328E42" w:rsidRPr="004F1CA5" w:rsidRDefault="5C711659" w:rsidP="09E359FC">
      <w:pPr>
        <w:pStyle w:val="Heading3"/>
        <w:spacing w:before="160" w:after="80" w:line="257" w:lineRule="auto"/>
        <w:rPr>
          <w:rFonts w:asciiTheme="minorHAnsi" w:eastAsia="Aptos" w:hAnsiTheme="minorHAnsi" w:cstheme="minorBidi"/>
          <w:b w:val="0"/>
          <w:color w:val="0F4761"/>
          <w:sz w:val="28"/>
          <w:szCs w:val="28"/>
        </w:rPr>
      </w:pPr>
      <w:bookmarkStart w:id="289" w:name="_Toc222954510"/>
      <w:bookmarkStart w:id="290" w:name="_Toc234310820"/>
      <w:r w:rsidRPr="19F71E1F">
        <w:rPr>
          <w:rFonts w:asciiTheme="minorHAnsi" w:eastAsia="Aptos" w:hAnsiTheme="minorHAnsi" w:cstheme="minorBidi"/>
          <w:sz w:val="28"/>
          <w:szCs w:val="28"/>
        </w:rPr>
        <w:t>Communication Network Analysis</w:t>
      </w:r>
      <w:bookmarkEnd w:id="289"/>
      <w:bookmarkEnd w:id="290"/>
      <w:r w:rsidRPr="19F71E1F">
        <w:rPr>
          <w:rFonts w:asciiTheme="minorHAnsi" w:eastAsia="Aptos" w:hAnsiTheme="minorHAnsi" w:cstheme="minorBidi"/>
          <w:b w:val="0"/>
          <w:color w:val="0F4761"/>
          <w:sz w:val="28"/>
          <w:szCs w:val="28"/>
        </w:rPr>
        <w:t xml:space="preserve"> </w:t>
      </w:r>
    </w:p>
    <w:p w14:paraId="15685B9B" w14:textId="7C9BE873" w:rsidR="6A328E42" w:rsidRPr="004F1CA5" w:rsidRDefault="5C711659" w:rsidP="09E359FC">
      <w:pPr>
        <w:spacing w:after="160" w:line="257" w:lineRule="auto"/>
        <w:jc w:val="both"/>
        <w:rPr>
          <w:rFonts w:asciiTheme="minorHAnsi" w:hAnsiTheme="minorHAnsi" w:cstheme="minorBidi"/>
          <w:sz w:val="24"/>
          <w:szCs w:val="24"/>
        </w:rPr>
      </w:pPr>
      <w:r w:rsidRPr="151BD303">
        <w:rPr>
          <w:rFonts w:asciiTheme="minorHAnsi" w:eastAsia="Aptos" w:hAnsiTheme="minorHAnsi" w:cstheme="minorBidi"/>
          <w:sz w:val="24"/>
          <w:szCs w:val="24"/>
        </w:rPr>
        <w:t xml:space="preserve">This test evaluates the performance of Communication Network Analysis, focusing on communication resiliency for latency characteristics, protocol distribution, and message traffic under extreme network load. The key aspects in the communication network are communication message rates, protocol distribution for communication interactions, message latency distribution, and types of messages exchanged in the EVSE fleets’ communications. For evaluating communication messaging rates, substantial variation is observed over time due to high load intervals of EV charging in the EVSE fleets, as reflected in </w:t>
      </w:r>
      <w:r w:rsidR="00D57441">
        <w:rPr>
          <w:rFonts w:asciiTheme="minorHAnsi" w:eastAsia="Aptos" w:hAnsiTheme="minorHAnsi" w:cstheme="minorBidi"/>
          <w:sz w:val="24"/>
          <w:szCs w:val="24"/>
        </w:rPr>
        <w:t>f</w:t>
      </w:r>
      <w:r w:rsidRPr="151BD303">
        <w:rPr>
          <w:rFonts w:asciiTheme="minorHAnsi" w:eastAsia="Aptos" w:hAnsiTheme="minorHAnsi" w:cstheme="minorBidi"/>
          <w:sz w:val="24"/>
          <w:szCs w:val="24"/>
        </w:rPr>
        <w:t xml:space="preserve">igure </w:t>
      </w:r>
      <w:r w:rsidR="0A5BF1A2" w:rsidRPr="151BD303">
        <w:rPr>
          <w:rFonts w:asciiTheme="minorHAnsi" w:eastAsia="Aptos" w:hAnsiTheme="minorHAnsi" w:cstheme="minorBidi"/>
          <w:sz w:val="24"/>
          <w:szCs w:val="24"/>
        </w:rPr>
        <w:t>3</w:t>
      </w:r>
      <w:r w:rsidRPr="151BD303">
        <w:rPr>
          <w:rFonts w:asciiTheme="minorHAnsi" w:eastAsia="Aptos" w:hAnsiTheme="minorHAnsi" w:cstheme="minorBidi"/>
          <w:sz w:val="24"/>
          <w:szCs w:val="24"/>
        </w:rPr>
        <w:t xml:space="preserve">0. The highest message rate records as </w:t>
      </w:r>
      <w:r w:rsidRPr="151BD303">
        <w:rPr>
          <w:rFonts w:asciiTheme="minorHAnsi" w:eastAsia="Aptos" w:hAnsiTheme="minorHAnsi" w:cstheme="minorBidi"/>
          <w:b/>
          <w:sz w:val="24"/>
          <w:szCs w:val="24"/>
        </w:rPr>
        <w:t>77 messages per minute</w:t>
      </w:r>
      <w:r w:rsidRPr="151BD303">
        <w:rPr>
          <w:rFonts w:asciiTheme="minorHAnsi" w:eastAsia="Aptos" w:hAnsiTheme="minorHAnsi" w:cstheme="minorBidi"/>
          <w:sz w:val="24"/>
          <w:szCs w:val="24"/>
        </w:rPr>
        <w:t xml:space="preserve"> in the peak demand load as compared to average </w:t>
      </w:r>
      <w:r w:rsidRPr="151BD303">
        <w:rPr>
          <w:rFonts w:asciiTheme="minorHAnsi" w:eastAsia="Aptos" w:hAnsiTheme="minorHAnsi" w:cstheme="minorBidi"/>
          <w:b/>
          <w:sz w:val="24"/>
          <w:szCs w:val="24"/>
        </w:rPr>
        <w:t>13 messages per minute</w:t>
      </w:r>
      <w:r w:rsidRPr="151BD303">
        <w:rPr>
          <w:rFonts w:asciiTheme="minorHAnsi" w:eastAsia="Aptos" w:hAnsiTheme="minorHAnsi" w:cstheme="minorBidi"/>
          <w:sz w:val="24"/>
          <w:szCs w:val="24"/>
        </w:rPr>
        <w:t xml:space="preserve"> in normal charging situations. The message rate is even higher for distinct EVSE-grid security events due to synchronization updates, communication handshakes, and event-driven updates. In the protocol distribution case, the exchange of communication messages is purpose-driven, suggesting maximum utilization of OCCP protocols over ISO 15118-20. From EVSE to CSMS and other entities, OCPP interactions exchange communication messages </w:t>
      </w:r>
      <w:r w:rsidRPr="151BD303">
        <w:rPr>
          <w:rFonts w:asciiTheme="minorHAnsi" w:eastAsia="Aptos" w:hAnsiTheme="minorHAnsi" w:cstheme="minorBidi"/>
          <w:b/>
          <w:sz w:val="24"/>
          <w:szCs w:val="24"/>
        </w:rPr>
        <w:t>85.4% OCPP</w:t>
      </w:r>
      <w:r w:rsidRPr="151BD303">
        <w:rPr>
          <w:rFonts w:asciiTheme="minorHAnsi" w:eastAsia="Aptos" w:hAnsiTheme="minorHAnsi" w:cstheme="minorBidi"/>
          <w:sz w:val="24"/>
          <w:szCs w:val="24"/>
        </w:rPr>
        <w:t xml:space="preserve"> while ISO 15118-20 exchange </w:t>
      </w:r>
      <w:r w:rsidRPr="151BD303">
        <w:rPr>
          <w:rFonts w:asciiTheme="minorHAnsi" w:eastAsia="Aptos" w:hAnsiTheme="minorHAnsi" w:cstheme="minorBidi"/>
          <w:b/>
          <w:sz w:val="24"/>
          <w:szCs w:val="24"/>
        </w:rPr>
        <w:t>14.6% ISO 15118-20</w:t>
      </w:r>
      <w:r w:rsidRPr="151BD303">
        <w:rPr>
          <w:rFonts w:asciiTheme="minorHAnsi" w:eastAsia="Aptos" w:hAnsiTheme="minorHAnsi" w:cstheme="minorBidi"/>
          <w:sz w:val="24"/>
          <w:szCs w:val="24"/>
        </w:rPr>
        <w:t xml:space="preserve">. It demonstrates EVSE edge and central control are fully equipped with communication control interactions, ensuring efficient synchronization and telemetry in large-scale EVSE fleet networks. </w:t>
      </w:r>
    </w:p>
    <w:p w14:paraId="4F393BBE" w14:textId="043184E2" w:rsidR="6A328E42" w:rsidRDefault="6A328E42" w:rsidP="09E359FC">
      <w:pPr>
        <w:spacing w:after="160" w:line="257" w:lineRule="auto"/>
        <w:rPr>
          <w:rFonts w:asciiTheme="minorHAnsi" w:hAnsiTheme="minorHAnsi" w:cstheme="minorHAnsi"/>
        </w:rPr>
      </w:pPr>
    </w:p>
    <w:p w14:paraId="6B9348CE" w14:textId="64C739A6" w:rsidR="00C92150" w:rsidRPr="004F1CA5" w:rsidRDefault="00C92150" w:rsidP="00C9731C">
      <w:pPr>
        <w:spacing w:after="160" w:line="257" w:lineRule="auto"/>
        <w:jc w:val="center"/>
        <w:rPr>
          <w:rFonts w:asciiTheme="minorHAnsi" w:hAnsiTheme="minorHAnsi" w:cstheme="minorHAnsi"/>
        </w:rPr>
      </w:pPr>
      <w:r>
        <w:rPr>
          <w:noProof/>
        </w:rPr>
        <w:drawing>
          <wp:inline distT="0" distB="0" distL="0" distR="0" wp14:anchorId="18E80575" wp14:editId="3D8ADC6E">
            <wp:extent cx="6120130" cy="3953510"/>
            <wp:effectExtent l="0" t="0" r="0" b="8890"/>
            <wp:docPr id="948110537" name="Picture 29"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110537" name="Picture 29" descr="A screenshot of a graph&#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20130" cy="3953510"/>
                    </a:xfrm>
                    <a:prstGeom prst="rect">
                      <a:avLst/>
                    </a:prstGeom>
                    <a:noFill/>
                    <a:ln>
                      <a:noFill/>
                    </a:ln>
                  </pic:spPr>
                </pic:pic>
              </a:graphicData>
            </a:graphic>
          </wp:inline>
        </w:drawing>
      </w:r>
    </w:p>
    <w:p w14:paraId="715B3DA6" w14:textId="3F8584C4" w:rsidR="6A328E42" w:rsidRPr="004F1CA5" w:rsidRDefault="00450B01" w:rsidP="00450B01">
      <w:pPr>
        <w:pStyle w:val="Caption"/>
        <w:rPr>
          <w:rFonts w:asciiTheme="minorHAnsi" w:hAnsiTheme="minorHAnsi" w:cstheme="minorBidi"/>
          <w:szCs w:val="20"/>
        </w:rPr>
      </w:pPr>
      <w:bookmarkStart w:id="291" w:name="_Toc233112236"/>
      <w:r>
        <w:t xml:space="preserve">Figure </w:t>
      </w:r>
      <w:r w:rsidR="00113348">
        <w:fldChar w:fldCharType="begin"/>
      </w:r>
      <w:r w:rsidR="00113348">
        <w:instrText xml:space="preserve"> SEQ Figure \* ARABIC </w:instrText>
      </w:r>
      <w:r w:rsidR="00113348">
        <w:fldChar w:fldCharType="separate"/>
      </w:r>
      <w:r w:rsidR="00F8092D">
        <w:rPr>
          <w:noProof/>
        </w:rPr>
        <w:t>30</w:t>
      </w:r>
      <w:r w:rsidR="00113348">
        <w:rPr>
          <w:noProof/>
        </w:rPr>
        <w:fldChar w:fldCharType="end"/>
      </w:r>
      <w:r w:rsidR="5C711659" w:rsidRPr="151BD303">
        <w:rPr>
          <w:rFonts w:asciiTheme="minorHAnsi" w:eastAsia="Aptos" w:hAnsiTheme="minorHAnsi" w:cstheme="minorBidi"/>
          <w:i/>
          <w:color w:val="0E2841"/>
          <w:szCs w:val="20"/>
          <w:lang w:val="en-GB"/>
        </w:rPr>
        <w:t>: Communication protocol analysis for estimating rate of communication messages, utilization of protocols, latency of communication messages, and frequency of popular control interactions in the EVSE fleet charging scenario.</w:t>
      </w:r>
      <w:bookmarkEnd w:id="291"/>
    </w:p>
    <w:p w14:paraId="7D4E1C3D" w14:textId="22208491" w:rsidR="6A328E42" w:rsidRPr="004F1CA5" w:rsidRDefault="5C711659" w:rsidP="09E359FC">
      <w:pPr>
        <w:spacing w:after="160" w:line="257" w:lineRule="auto"/>
        <w:rPr>
          <w:rFonts w:asciiTheme="minorHAnsi" w:hAnsiTheme="minorHAnsi" w:cstheme="minorBidi"/>
          <w:sz w:val="20"/>
          <w:szCs w:val="20"/>
        </w:rPr>
      </w:pPr>
      <w:r w:rsidRPr="151BD303">
        <w:rPr>
          <w:rFonts w:asciiTheme="minorHAnsi" w:eastAsia="Aptos" w:hAnsiTheme="minorHAnsi" w:cstheme="minorBidi"/>
          <w:sz w:val="20"/>
          <w:szCs w:val="20"/>
        </w:rPr>
        <w:t xml:space="preserve">  </w:t>
      </w:r>
    </w:p>
    <w:p w14:paraId="3192C589" w14:textId="19EFAAE5" w:rsidR="6A328E42" w:rsidRPr="004F1CA5" w:rsidRDefault="5C711659" w:rsidP="09E359FC">
      <w:pPr>
        <w:spacing w:after="160" w:line="257" w:lineRule="auto"/>
        <w:jc w:val="both"/>
        <w:rPr>
          <w:rFonts w:asciiTheme="minorHAnsi" w:hAnsiTheme="minorHAnsi" w:cstheme="minorBidi"/>
          <w:sz w:val="24"/>
          <w:szCs w:val="24"/>
        </w:rPr>
      </w:pPr>
      <w:r w:rsidRPr="151BD303">
        <w:rPr>
          <w:rFonts w:asciiTheme="minorHAnsi" w:eastAsia="Aptos" w:hAnsiTheme="minorHAnsi" w:cstheme="minorBidi"/>
          <w:sz w:val="24"/>
          <w:szCs w:val="24"/>
        </w:rPr>
        <w:t xml:space="preserve">To evaluate the frequency of message latency distribution for real-time communication, the maximum latency </w:t>
      </w:r>
      <w:r w:rsidRPr="151BD303">
        <w:rPr>
          <w:rFonts w:asciiTheme="minorHAnsi" w:eastAsia="Aptos" w:hAnsiTheme="minorHAnsi" w:cstheme="minorBidi"/>
          <w:b/>
          <w:sz w:val="24"/>
          <w:szCs w:val="24"/>
        </w:rPr>
        <w:t>25 ms</w:t>
      </w:r>
      <w:r w:rsidRPr="151BD303">
        <w:rPr>
          <w:rFonts w:asciiTheme="minorHAnsi" w:eastAsia="Aptos" w:hAnsiTheme="minorHAnsi" w:cstheme="minorBidi"/>
          <w:sz w:val="24"/>
          <w:szCs w:val="24"/>
        </w:rPr>
        <w:t xml:space="preserve"> is recorded during peak load demand, while average latency is </w:t>
      </w:r>
      <w:r w:rsidRPr="151BD303">
        <w:rPr>
          <w:rFonts w:asciiTheme="minorHAnsi" w:eastAsia="Aptos" w:hAnsiTheme="minorHAnsi" w:cstheme="minorBidi"/>
          <w:b/>
          <w:sz w:val="24"/>
          <w:szCs w:val="24"/>
        </w:rPr>
        <w:t>9.7 ms</w:t>
      </w:r>
      <w:r w:rsidRPr="151BD303">
        <w:rPr>
          <w:rFonts w:asciiTheme="minorHAnsi" w:eastAsia="Aptos" w:hAnsiTheme="minorHAnsi" w:cstheme="minorBidi"/>
          <w:sz w:val="24"/>
          <w:szCs w:val="24"/>
        </w:rPr>
        <w:t xml:space="preserve"> for routine communication. The smallest latency is recoded as </w:t>
      </w:r>
      <w:r w:rsidRPr="151BD303">
        <w:rPr>
          <w:rFonts w:asciiTheme="minorHAnsi" w:eastAsia="Aptos" w:hAnsiTheme="minorHAnsi" w:cstheme="minorBidi"/>
          <w:b/>
          <w:sz w:val="24"/>
          <w:szCs w:val="24"/>
        </w:rPr>
        <w:t>5 ms</w:t>
      </w:r>
      <w:r w:rsidRPr="151BD303">
        <w:rPr>
          <w:rFonts w:asciiTheme="minorHAnsi" w:eastAsia="Aptos" w:hAnsiTheme="minorHAnsi" w:cstheme="minorBidi"/>
          <w:sz w:val="24"/>
          <w:szCs w:val="24"/>
        </w:rPr>
        <w:t xml:space="preserve"> for the frequency of 1265 messages of OCPP and ISO 15118-20. It shows the communication resiliency of EVSE fleets during traffic bursts and the successful delivery of packets in the end-to-end communication interactions. In addition, it ensures QoS and network stability with minimum latency for frequent control interactions, adhering to real-time communication for EVSE fleets and the grid. For analysing different types of messages in the peak load of EVSE fleets, the frequency of handshake messages and heartbeat is </w:t>
      </w:r>
      <w:r w:rsidRPr="151BD303">
        <w:rPr>
          <w:rFonts w:asciiTheme="minorHAnsi" w:eastAsia="Aptos" w:hAnsiTheme="minorHAnsi" w:cstheme="minorBidi"/>
          <w:b/>
          <w:sz w:val="24"/>
          <w:szCs w:val="24"/>
        </w:rPr>
        <w:t xml:space="preserve">60% </w:t>
      </w:r>
      <w:r w:rsidRPr="151BD303">
        <w:rPr>
          <w:rFonts w:asciiTheme="minorHAnsi" w:eastAsia="Aptos" w:hAnsiTheme="minorHAnsi" w:cstheme="minorBidi"/>
          <w:sz w:val="24"/>
          <w:szCs w:val="24"/>
        </w:rPr>
        <w:t xml:space="preserve">higher than others due to constant engagement during the entire simulation process. It emphasises concurrency of data transactions and system resiliency to demonstrate net- work robustness with the lowest communication delay </w:t>
      </w:r>
      <w:r w:rsidRPr="151BD303">
        <w:rPr>
          <w:rFonts w:asciiTheme="minorHAnsi" w:eastAsia="Aptos" w:hAnsiTheme="minorHAnsi" w:cstheme="minorBidi"/>
          <w:b/>
          <w:sz w:val="24"/>
          <w:szCs w:val="24"/>
        </w:rPr>
        <w:t>5 ms</w:t>
      </w:r>
      <w:r w:rsidRPr="151BD303">
        <w:rPr>
          <w:rFonts w:asciiTheme="minorHAnsi" w:eastAsia="Aptos" w:hAnsiTheme="minorHAnsi" w:cstheme="minorBidi"/>
          <w:sz w:val="24"/>
          <w:szCs w:val="24"/>
        </w:rPr>
        <w:t xml:space="preserve"> under maximum network loading conditions. These findings validate EVSE fleet capabilities to handle complex and large-scale communication networks for more frequent communication control interactions. </w:t>
      </w:r>
    </w:p>
    <w:p w14:paraId="0A927AB1" w14:textId="3500A838" w:rsidR="6A328E42" w:rsidRPr="004F1CA5" w:rsidRDefault="5C711659" w:rsidP="09E359FC">
      <w:pPr>
        <w:spacing w:after="160" w:line="257" w:lineRule="auto"/>
        <w:rPr>
          <w:rFonts w:asciiTheme="minorHAnsi" w:hAnsiTheme="minorHAnsi" w:cstheme="minorHAnsi"/>
        </w:rPr>
      </w:pPr>
      <w:r w:rsidRPr="004F1CA5">
        <w:rPr>
          <w:rFonts w:asciiTheme="minorHAnsi" w:eastAsia="Aptos" w:hAnsiTheme="minorHAnsi" w:cstheme="minorHAnsi"/>
        </w:rPr>
        <w:t xml:space="preserve"> </w:t>
      </w:r>
    </w:p>
    <w:p w14:paraId="317395ED" w14:textId="21D3DE71" w:rsidR="6A328E42" w:rsidRPr="004F1CA5" w:rsidRDefault="00160D23" w:rsidP="09E359FC">
      <w:pPr>
        <w:pStyle w:val="Heading3"/>
        <w:spacing w:before="160" w:after="80" w:line="257" w:lineRule="auto"/>
        <w:rPr>
          <w:rFonts w:asciiTheme="minorHAnsi" w:eastAsia="Aptos" w:hAnsiTheme="minorHAnsi" w:cstheme="minorBidi"/>
          <w:sz w:val="28"/>
          <w:szCs w:val="28"/>
        </w:rPr>
      </w:pPr>
      <w:bookmarkStart w:id="292" w:name="_Toc222954511"/>
      <w:r w:rsidRPr="19F71E1F">
        <w:rPr>
          <w:rFonts w:asciiTheme="minorHAnsi" w:eastAsia="Aptos" w:hAnsiTheme="minorHAnsi" w:cstheme="minorBidi"/>
          <w:sz w:val="28"/>
          <w:szCs w:val="28"/>
        </w:rPr>
        <w:t xml:space="preserve"> </w:t>
      </w:r>
      <w:bookmarkStart w:id="293" w:name="_Toc234310821"/>
      <w:r w:rsidR="5C711659" w:rsidRPr="19F71E1F">
        <w:rPr>
          <w:rFonts w:asciiTheme="minorHAnsi" w:eastAsia="Aptos" w:hAnsiTheme="minorHAnsi" w:cstheme="minorBidi"/>
          <w:sz w:val="28"/>
          <w:szCs w:val="28"/>
        </w:rPr>
        <w:t>System Scalability Heatmap</w:t>
      </w:r>
      <w:bookmarkEnd w:id="292"/>
      <w:bookmarkEnd w:id="293"/>
      <w:r w:rsidR="5C711659" w:rsidRPr="19F71E1F">
        <w:rPr>
          <w:rFonts w:asciiTheme="minorHAnsi" w:eastAsia="Aptos" w:hAnsiTheme="minorHAnsi" w:cstheme="minorBidi"/>
          <w:sz w:val="28"/>
          <w:szCs w:val="28"/>
        </w:rPr>
        <w:t xml:space="preserve"> </w:t>
      </w:r>
    </w:p>
    <w:p w14:paraId="137860CD" w14:textId="7AF80389" w:rsidR="6A328E42" w:rsidRPr="004F1CA5" w:rsidRDefault="5C711659" w:rsidP="09E359FC">
      <w:pPr>
        <w:spacing w:after="160" w:line="257" w:lineRule="auto"/>
        <w:jc w:val="both"/>
        <w:rPr>
          <w:rFonts w:asciiTheme="minorHAnsi" w:hAnsiTheme="minorHAnsi" w:cstheme="minorBidi"/>
          <w:sz w:val="24"/>
          <w:szCs w:val="24"/>
        </w:rPr>
      </w:pPr>
      <w:r w:rsidRPr="151BD303">
        <w:rPr>
          <w:rFonts w:asciiTheme="minorHAnsi" w:eastAsia="Aptos" w:hAnsiTheme="minorHAnsi" w:cstheme="minorBidi"/>
          <w:sz w:val="24"/>
          <w:szCs w:val="24"/>
        </w:rPr>
        <w:t xml:space="preserve">The EVSE fleet scalability test assesses concurrent EV charging sessions on the EVSE fleet and system response to handle them. Refer to </w:t>
      </w:r>
      <w:r w:rsidR="00D57441">
        <w:rPr>
          <w:rFonts w:asciiTheme="minorHAnsi" w:eastAsia="Aptos" w:hAnsiTheme="minorHAnsi" w:cstheme="minorBidi"/>
          <w:sz w:val="24"/>
          <w:szCs w:val="24"/>
        </w:rPr>
        <w:t>f</w:t>
      </w:r>
      <w:r w:rsidRPr="151BD303">
        <w:rPr>
          <w:rFonts w:asciiTheme="minorHAnsi" w:eastAsia="Aptos" w:hAnsiTheme="minorHAnsi" w:cstheme="minorBidi"/>
          <w:sz w:val="24"/>
          <w:szCs w:val="24"/>
        </w:rPr>
        <w:t xml:space="preserve">igure </w:t>
      </w:r>
      <w:r w:rsidR="35806435" w:rsidRPr="151BD303">
        <w:rPr>
          <w:rFonts w:asciiTheme="minorHAnsi" w:eastAsia="Aptos" w:hAnsiTheme="minorHAnsi" w:cstheme="minorBidi"/>
          <w:sz w:val="24"/>
          <w:szCs w:val="24"/>
        </w:rPr>
        <w:t>3</w:t>
      </w:r>
      <w:r w:rsidRPr="151BD303">
        <w:rPr>
          <w:rFonts w:asciiTheme="minorHAnsi" w:eastAsia="Aptos" w:hAnsiTheme="minorHAnsi" w:cstheme="minorBidi"/>
          <w:sz w:val="24"/>
          <w:szCs w:val="24"/>
        </w:rPr>
        <w:t xml:space="preserve">1, there are two heatmaps to generate charging power and SoC for concurrent charging of thirty EVs. For the charging power heatmap, the EV charging demands dynamically distribute across the EVSE fleets during peak load intervals. The horizontal line with the highest density reveals coordinated EV charging sessions and energy transfer, and the low power zone indicates completion of charging cycles for the top thirty EVs.        The transition between the lowest and highest charging intensities indicates the optimal scheduling and EVSE control robustness to handle EV clusters without compromising on communication and control interactions. Furthermore, the shift from red to orange and then green suggests fast coordinated charging activities, fair load distribution, and scalable EVSE fleet management. </w:t>
      </w:r>
    </w:p>
    <w:p w14:paraId="61C1B6C4" w14:textId="2868F303" w:rsidR="6A328E42" w:rsidRPr="004F1CA5" w:rsidRDefault="5C711659" w:rsidP="09E359FC">
      <w:pPr>
        <w:spacing w:after="160" w:line="257" w:lineRule="auto"/>
        <w:jc w:val="both"/>
        <w:rPr>
          <w:rFonts w:asciiTheme="minorHAnsi" w:hAnsiTheme="minorHAnsi" w:cstheme="minorHAnsi"/>
        </w:rPr>
      </w:pPr>
      <w:r w:rsidRPr="004F1CA5">
        <w:rPr>
          <w:rFonts w:asciiTheme="minorHAnsi" w:eastAsia="Aptos" w:hAnsiTheme="minorHAnsi" w:cstheme="minorHAnsi"/>
        </w:rPr>
        <w:t xml:space="preserve"> </w:t>
      </w:r>
    </w:p>
    <w:p w14:paraId="1189207F" w14:textId="17AC8C05" w:rsidR="6A328E42" w:rsidRDefault="6A328E42" w:rsidP="09E359FC">
      <w:pPr>
        <w:spacing w:after="160" w:line="257" w:lineRule="auto"/>
        <w:rPr>
          <w:rFonts w:asciiTheme="minorHAnsi" w:hAnsiTheme="minorHAnsi" w:cstheme="minorHAnsi"/>
        </w:rPr>
      </w:pPr>
    </w:p>
    <w:p w14:paraId="051B13DF" w14:textId="6D79B09E" w:rsidR="00374B73" w:rsidRPr="004F1CA5" w:rsidRDefault="00374B73" w:rsidP="00C9731C">
      <w:pPr>
        <w:spacing w:after="160" w:line="257" w:lineRule="auto"/>
        <w:jc w:val="center"/>
        <w:rPr>
          <w:rFonts w:asciiTheme="minorHAnsi" w:hAnsiTheme="minorHAnsi" w:cstheme="minorHAnsi"/>
        </w:rPr>
      </w:pPr>
      <w:r>
        <w:rPr>
          <w:noProof/>
        </w:rPr>
        <w:drawing>
          <wp:inline distT="0" distB="0" distL="0" distR="0" wp14:anchorId="2F31DA56" wp14:editId="27F7495B">
            <wp:extent cx="6120130" cy="1976120"/>
            <wp:effectExtent l="0" t="0" r="0" b="5080"/>
            <wp:docPr id="1721390658" name="Picture 30"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90658" name="Picture 30" descr="A close-up of a graph&#10;&#10;AI-generated content may be incorrec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20130" cy="1976120"/>
                    </a:xfrm>
                    <a:prstGeom prst="rect">
                      <a:avLst/>
                    </a:prstGeom>
                    <a:noFill/>
                    <a:ln>
                      <a:noFill/>
                    </a:ln>
                  </pic:spPr>
                </pic:pic>
              </a:graphicData>
            </a:graphic>
          </wp:inline>
        </w:drawing>
      </w:r>
    </w:p>
    <w:p w14:paraId="6E6536FB" w14:textId="40524E78" w:rsidR="6A328E42" w:rsidRPr="004F1CA5" w:rsidRDefault="00450B01" w:rsidP="00450B01">
      <w:pPr>
        <w:pStyle w:val="Caption"/>
        <w:rPr>
          <w:rFonts w:asciiTheme="minorHAnsi" w:hAnsiTheme="minorHAnsi" w:cstheme="minorBidi"/>
          <w:szCs w:val="20"/>
        </w:rPr>
      </w:pPr>
      <w:bookmarkStart w:id="294" w:name="_Toc233112237"/>
      <w:r>
        <w:t xml:space="preserve">Figure </w:t>
      </w:r>
      <w:r w:rsidR="00113348">
        <w:fldChar w:fldCharType="begin"/>
      </w:r>
      <w:r w:rsidR="00113348">
        <w:instrText xml:space="preserve"> SEQ Figure \* ARABIC </w:instrText>
      </w:r>
      <w:r w:rsidR="00113348">
        <w:fldChar w:fldCharType="separate"/>
      </w:r>
      <w:r w:rsidR="00F8092D">
        <w:rPr>
          <w:noProof/>
        </w:rPr>
        <w:t>31</w:t>
      </w:r>
      <w:r w:rsidR="00113348">
        <w:rPr>
          <w:noProof/>
        </w:rPr>
        <w:fldChar w:fldCharType="end"/>
      </w:r>
      <w:r w:rsidR="5C711659" w:rsidRPr="151BD303">
        <w:rPr>
          <w:rFonts w:asciiTheme="minorHAnsi" w:eastAsia="Aptos" w:hAnsiTheme="minorHAnsi" w:cstheme="minorBidi"/>
          <w:i/>
          <w:color w:val="0E2841"/>
          <w:szCs w:val="20"/>
          <w:lang w:val="en-GB"/>
        </w:rPr>
        <w:t>: System scalability heatmap for power and SoC of EV charging in the EVSE fleet charging scenario.</w:t>
      </w:r>
      <w:bookmarkEnd w:id="294"/>
    </w:p>
    <w:p w14:paraId="1E746B67" w14:textId="7253ADB0" w:rsidR="6A328E42" w:rsidRPr="004F1CA5" w:rsidRDefault="5C711659" w:rsidP="09E359FC">
      <w:pPr>
        <w:spacing w:after="160" w:line="257" w:lineRule="auto"/>
        <w:rPr>
          <w:rFonts w:asciiTheme="minorHAnsi" w:hAnsiTheme="minorHAnsi" w:cstheme="minorBidi"/>
          <w:sz w:val="20"/>
          <w:szCs w:val="20"/>
        </w:rPr>
      </w:pPr>
      <w:r w:rsidRPr="151BD303">
        <w:rPr>
          <w:rFonts w:asciiTheme="minorHAnsi" w:eastAsia="Aptos" w:hAnsiTheme="minorHAnsi" w:cstheme="minorBidi"/>
          <w:sz w:val="20"/>
          <w:szCs w:val="20"/>
        </w:rPr>
        <w:t xml:space="preserve"> </w:t>
      </w:r>
    </w:p>
    <w:p w14:paraId="67131184" w14:textId="14DA5C00" w:rsidR="6A328E42" w:rsidRPr="004F1CA5" w:rsidRDefault="5C711659" w:rsidP="09E359FC">
      <w:pPr>
        <w:spacing w:after="160" w:line="257" w:lineRule="auto"/>
        <w:jc w:val="both"/>
        <w:rPr>
          <w:rFonts w:asciiTheme="minorHAnsi" w:hAnsiTheme="minorHAnsi" w:cstheme="minorBidi"/>
          <w:sz w:val="24"/>
          <w:szCs w:val="24"/>
        </w:rPr>
      </w:pPr>
      <w:r w:rsidRPr="4BE35A4D">
        <w:rPr>
          <w:rFonts w:asciiTheme="minorHAnsi" w:eastAsia="Aptos" w:hAnsiTheme="minorHAnsi" w:cstheme="minorBidi"/>
          <w:sz w:val="24"/>
          <w:szCs w:val="24"/>
        </w:rPr>
        <w:t xml:space="preserve">In the SoC heatmap, the monotonic increase of smooth EV charging complements energy management efficiency, enabling consistent charging schedules and coordinated control operations. During the time progression, the EV charging shifts from low SoC to moderate SoC and then high SoC as the simulation advances. It achieves full charging of EVs within the simulation time frame through adaptive charging behaviour and optimal schedule management. Some variations are observed in these transitions due to the priority charging mechanism of EV federates in real-time grid conditions. The deterministic control of EVSE scalability is maintained in a progressive pattern for charging the initial thirty EVs, enabling predictable energy delivery and optimal scheduling on large-scale EVSE fleet deployments. In both heatmaps, the scalability of the EVSE fleet demonstrates how co-simulation architecture handles concurrent EV charging operations, considering communication delays, adaptive scheduling, and coordinated control on large-scale EVSE fleet deployment with power distribution systems. </w:t>
      </w:r>
    </w:p>
    <w:p w14:paraId="79043E08" w14:textId="5BD2DD52" w:rsidR="6A328E42" w:rsidRPr="004F1CA5" w:rsidRDefault="5C711659" w:rsidP="09E359FC">
      <w:pPr>
        <w:spacing w:after="160" w:line="257" w:lineRule="auto"/>
        <w:rPr>
          <w:rFonts w:asciiTheme="minorHAnsi" w:hAnsiTheme="minorHAnsi" w:cstheme="minorHAnsi"/>
        </w:rPr>
      </w:pPr>
      <w:r w:rsidRPr="004F1CA5">
        <w:rPr>
          <w:rFonts w:asciiTheme="minorHAnsi" w:eastAsia="Aptos" w:hAnsiTheme="minorHAnsi" w:cstheme="minorHAnsi"/>
        </w:rPr>
        <w:t xml:space="preserve"> </w:t>
      </w:r>
    </w:p>
    <w:p w14:paraId="033934A6" w14:textId="5EF05E51" w:rsidR="6A328E42" w:rsidRPr="004F1CA5" w:rsidRDefault="697A7CAF" w:rsidP="09E359FC">
      <w:pPr>
        <w:pStyle w:val="Heading3"/>
        <w:spacing w:before="160" w:after="80" w:line="257" w:lineRule="auto"/>
        <w:rPr>
          <w:rFonts w:asciiTheme="minorHAnsi" w:eastAsia="Aptos" w:hAnsiTheme="minorHAnsi" w:cstheme="minorBidi"/>
          <w:sz w:val="28"/>
          <w:szCs w:val="28"/>
        </w:rPr>
      </w:pPr>
      <w:bookmarkStart w:id="295" w:name="_Toc222954512"/>
      <w:r w:rsidRPr="53C124FE">
        <w:rPr>
          <w:rFonts w:asciiTheme="minorHAnsi" w:eastAsia="Aptos" w:hAnsiTheme="minorHAnsi" w:cstheme="minorBidi"/>
          <w:sz w:val="28"/>
          <w:szCs w:val="28"/>
        </w:rPr>
        <w:t xml:space="preserve"> </w:t>
      </w:r>
      <w:bookmarkStart w:id="296" w:name="_Toc234310822"/>
      <w:r w:rsidR="5C711659" w:rsidRPr="19F71E1F">
        <w:rPr>
          <w:rFonts w:asciiTheme="minorHAnsi" w:eastAsia="Aptos" w:hAnsiTheme="minorHAnsi" w:cstheme="minorBidi"/>
          <w:sz w:val="28"/>
          <w:szCs w:val="28"/>
        </w:rPr>
        <w:t>Performance Metrics and Observations</w:t>
      </w:r>
      <w:bookmarkEnd w:id="295"/>
      <w:bookmarkEnd w:id="296"/>
      <w:r w:rsidR="5C711659" w:rsidRPr="19F71E1F">
        <w:rPr>
          <w:rFonts w:asciiTheme="minorHAnsi" w:eastAsia="Aptos" w:hAnsiTheme="minorHAnsi" w:cstheme="minorBidi"/>
          <w:sz w:val="28"/>
          <w:szCs w:val="28"/>
        </w:rPr>
        <w:t xml:space="preserve"> </w:t>
      </w:r>
    </w:p>
    <w:p w14:paraId="3A475FBD" w14:textId="040FD943" w:rsidR="6A328E42" w:rsidRPr="004F1CA5" w:rsidRDefault="5C711659" w:rsidP="09E359FC">
      <w:pPr>
        <w:spacing w:after="160" w:line="257" w:lineRule="auto"/>
        <w:jc w:val="both"/>
        <w:rPr>
          <w:rFonts w:asciiTheme="minorHAnsi" w:hAnsiTheme="minorHAnsi" w:cstheme="minorBidi"/>
          <w:sz w:val="24"/>
          <w:szCs w:val="24"/>
        </w:rPr>
      </w:pPr>
      <w:r w:rsidRPr="4BE35A4D">
        <w:rPr>
          <w:rFonts w:asciiTheme="minorHAnsi" w:eastAsia="Aptos" w:hAnsiTheme="minorHAnsi" w:cstheme="minorBidi"/>
          <w:sz w:val="24"/>
          <w:szCs w:val="24"/>
        </w:rPr>
        <w:t xml:space="preserve">In both scenarios of EVSE and grid integration, the performance metrics and potential observations are as follows: </w:t>
      </w:r>
    </w:p>
    <w:p w14:paraId="2EB0FE25" w14:textId="76D90796" w:rsidR="6A328E42" w:rsidRPr="004F1CA5" w:rsidRDefault="5C711659" w:rsidP="00846D08">
      <w:pPr>
        <w:pStyle w:val="ListParagraph"/>
        <w:numPr>
          <w:ilvl w:val="0"/>
          <w:numId w:val="32"/>
        </w:numPr>
        <w:spacing w:before="0" w:after="0" w:line="257" w:lineRule="auto"/>
        <w:jc w:val="both"/>
        <w:rPr>
          <w:rFonts w:asciiTheme="minorHAnsi" w:eastAsia="Aptos" w:hAnsiTheme="minorHAnsi" w:cstheme="minorBidi"/>
          <w:lang w:val="en-US"/>
        </w:rPr>
      </w:pPr>
      <w:r w:rsidRPr="4BE35A4D">
        <w:rPr>
          <w:rFonts w:asciiTheme="minorHAnsi" w:eastAsia="Aptos" w:hAnsiTheme="minorHAnsi" w:cstheme="minorBidi"/>
        </w:rPr>
        <w:t>Real-time control of power grid stability and safe EV charging systems.</w:t>
      </w:r>
      <w:r w:rsidRPr="4BE35A4D">
        <w:rPr>
          <w:rFonts w:asciiTheme="minorHAnsi" w:eastAsia="Aptos" w:hAnsiTheme="minorHAnsi" w:cstheme="minorBidi"/>
          <w:lang w:val="en-US"/>
        </w:rPr>
        <w:t xml:space="preserve"> </w:t>
      </w:r>
    </w:p>
    <w:p w14:paraId="108E5DB1" w14:textId="5E7C4B8C" w:rsidR="6A328E42" w:rsidRPr="004F1CA5" w:rsidRDefault="5C711659" w:rsidP="00846D08">
      <w:pPr>
        <w:pStyle w:val="ListParagraph"/>
        <w:numPr>
          <w:ilvl w:val="0"/>
          <w:numId w:val="31"/>
        </w:numPr>
        <w:spacing w:before="0" w:after="0" w:line="257" w:lineRule="auto"/>
        <w:jc w:val="both"/>
        <w:rPr>
          <w:rFonts w:asciiTheme="minorHAnsi" w:eastAsia="Aptos" w:hAnsiTheme="minorHAnsi" w:cstheme="minorBidi"/>
          <w:lang w:val="en-US"/>
        </w:rPr>
      </w:pPr>
      <w:r w:rsidRPr="4BE35A4D">
        <w:rPr>
          <w:rFonts w:asciiTheme="minorHAnsi" w:eastAsia="Aptos" w:hAnsiTheme="minorHAnsi" w:cstheme="minorBidi"/>
        </w:rPr>
        <w:t>The delivery of actual charging power and its accurate estimation in real-time sessions.</w:t>
      </w:r>
      <w:r w:rsidRPr="4BE35A4D">
        <w:rPr>
          <w:rFonts w:asciiTheme="minorHAnsi" w:eastAsia="Aptos" w:hAnsiTheme="minorHAnsi" w:cstheme="minorBidi"/>
          <w:lang w:val="en-US"/>
        </w:rPr>
        <w:t xml:space="preserve"> </w:t>
      </w:r>
    </w:p>
    <w:p w14:paraId="0CF12DE5" w14:textId="70F4B3E8" w:rsidR="6A328E42" w:rsidRPr="004F1CA5" w:rsidRDefault="5C711659" w:rsidP="00846D08">
      <w:pPr>
        <w:pStyle w:val="ListParagraph"/>
        <w:numPr>
          <w:ilvl w:val="0"/>
          <w:numId w:val="30"/>
        </w:numPr>
        <w:spacing w:before="0" w:after="0" w:line="257" w:lineRule="auto"/>
        <w:jc w:val="both"/>
        <w:rPr>
          <w:rFonts w:asciiTheme="minorHAnsi" w:eastAsia="Aptos" w:hAnsiTheme="minorHAnsi" w:cstheme="minorBidi"/>
          <w:lang w:val="en-US"/>
        </w:rPr>
      </w:pPr>
      <w:r w:rsidRPr="4BE35A4D">
        <w:rPr>
          <w:rFonts w:asciiTheme="minorHAnsi" w:eastAsia="Aptos" w:hAnsiTheme="minorHAnsi" w:cstheme="minorBidi"/>
        </w:rPr>
        <w:t>Communication network resiliency by managing time synchronization, messaging rates, network latencies, and interaction throughputs efficiently.</w:t>
      </w:r>
      <w:r w:rsidRPr="4BE35A4D">
        <w:rPr>
          <w:rFonts w:asciiTheme="minorHAnsi" w:eastAsia="Aptos" w:hAnsiTheme="minorHAnsi" w:cstheme="minorBidi"/>
          <w:lang w:val="en-US"/>
        </w:rPr>
        <w:t xml:space="preserve"> </w:t>
      </w:r>
    </w:p>
    <w:p w14:paraId="56D6A476" w14:textId="10622307" w:rsidR="6A328E42" w:rsidRPr="004F1CA5" w:rsidRDefault="5C711659" w:rsidP="00846D08">
      <w:pPr>
        <w:pStyle w:val="ListParagraph"/>
        <w:numPr>
          <w:ilvl w:val="0"/>
          <w:numId w:val="29"/>
        </w:numPr>
        <w:spacing w:before="0" w:after="0" w:line="257" w:lineRule="auto"/>
        <w:jc w:val="both"/>
        <w:rPr>
          <w:rFonts w:asciiTheme="minorHAnsi" w:eastAsia="Aptos" w:hAnsiTheme="minorHAnsi" w:cstheme="minorBidi"/>
          <w:lang w:val="en-US"/>
        </w:rPr>
      </w:pPr>
      <w:r w:rsidRPr="4BE35A4D">
        <w:rPr>
          <w:rFonts w:asciiTheme="minorHAnsi" w:eastAsia="Aptos" w:hAnsiTheme="minorHAnsi" w:cstheme="minorBidi"/>
        </w:rPr>
        <w:t>Battery thermal management for estimating charging rates and derating limits for improving battery health and performance.</w:t>
      </w:r>
      <w:r w:rsidRPr="4BE35A4D">
        <w:rPr>
          <w:rFonts w:asciiTheme="minorHAnsi" w:eastAsia="Aptos" w:hAnsiTheme="minorHAnsi" w:cstheme="minorBidi"/>
          <w:lang w:val="en-US"/>
        </w:rPr>
        <w:t xml:space="preserve"> </w:t>
      </w:r>
    </w:p>
    <w:p w14:paraId="3C82F97F" w14:textId="208D107E" w:rsidR="6A328E42" w:rsidRPr="004F1CA5" w:rsidRDefault="5C711659" w:rsidP="00846D08">
      <w:pPr>
        <w:pStyle w:val="ListParagraph"/>
        <w:numPr>
          <w:ilvl w:val="0"/>
          <w:numId w:val="28"/>
        </w:numPr>
        <w:spacing w:before="0" w:after="0" w:line="257" w:lineRule="auto"/>
        <w:jc w:val="both"/>
        <w:rPr>
          <w:rFonts w:asciiTheme="minorHAnsi" w:eastAsia="Aptos" w:hAnsiTheme="minorHAnsi" w:cstheme="minorBidi"/>
          <w:lang w:val="en-US"/>
        </w:rPr>
      </w:pPr>
      <w:r w:rsidRPr="4BE35A4D">
        <w:rPr>
          <w:rFonts w:asciiTheme="minorHAnsi" w:eastAsia="Aptos" w:hAnsiTheme="minorHAnsi" w:cstheme="minorBidi"/>
        </w:rPr>
        <w:t>Computational resource utilization for the cyber-physical co-simulation to scale up EVSE across numerous federates.</w:t>
      </w:r>
      <w:r w:rsidRPr="4BE35A4D">
        <w:rPr>
          <w:rFonts w:asciiTheme="minorHAnsi" w:eastAsia="Aptos" w:hAnsiTheme="minorHAnsi" w:cstheme="minorBidi"/>
          <w:lang w:val="en-US"/>
        </w:rPr>
        <w:t xml:space="preserve"> </w:t>
      </w:r>
    </w:p>
    <w:p w14:paraId="541D99FE" w14:textId="64A374F6" w:rsidR="6A328E42" w:rsidRPr="004F1CA5" w:rsidRDefault="5C711659" w:rsidP="09E359FC">
      <w:pPr>
        <w:spacing w:after="160" w:line="257" w:lineRule="auto"/>
        <w:rPr>
          <w:rFonts w:asciiTheme="minorHAnsi" w:hAnsiTheme="minorHAnsi" w:cstheme="minorHAnsi"/>
        </w:rPr>
      </w:pPr>
      <w:r w:rsidRPr="004F1CA5">
        <w:rPr>
          <w:rFonts w:asciiTheme="minorHAnsi" w:eastAsia="Aptos" w:hAnsiTheme="minorHAnsi" w:cstheme="minorHAnsi"/>
        </w:rPr>
        <w:t xml:space="preserve"> </w:t>
      </w:r>
    </w:p>
    <w:p w14:paraId="65E108DC" w14:textId="770C8A7B" w:rsidR="6A328E42" w:rsidRPr="004F1CA5" w:rsidRDefault="72AC4589" w:rsidP="09E359FC">
      <w:pPr>
        <w:pStyle w:val="Heading3"/>
        <w:spacing w:before="160" w:after="80" w:line="257" w:lineRule="auto"/>
        <w:rPr>
          <w:rFonts w:asciiTheme="minorHAnsi" w:eastAsia="Aptos" w:hAnsiTheme="minorHAnsi" w:cstheme="minorBidi"/>
          <w:sz w:val="28"/>
          <w:szCs w:val="28"/>
        </w:rPr>
      </w:pPr>
      <w:bookmarkStart w:id="297" w:name="_Toc222954513"/>
      <w:r w:rsidRPr="632A5AF0">
        <w:rPr>
          <w:rFonts w:asciiTheme="minorHAnsi" w:eastAsia="Aptos" w:hAnsiTheme="minorHAnsi" w:cstheme="minorBidi"/>
          <w:sz w:val="28"/>
          <w:szCs w:val="28"/>
        </w:rPr>
        <w:t xml:space="preserve"> </w:t>
      </w:r>
      <w:bookmarkStart w:id="298" w:name="_Toc234310823"/>
      <w:r w:rsidR="5C711659" w:rsidRPr="19F71E1F">
        <w:rPr>
          <w:rFonts w:asciiTheme="minorHAnsi" w:eastAsia="Aptos" w:hAnsiTheme="minorHAnsi" w:cstheme="minorBidi"/>
          <w:sz w:val="28"/>
          <w:szCs w:val="28"/>
        </w:rPr>
        <w:t>Summary</w:t>
      </w:r>
      <w:bookmarkEnd w:id="297"/>
      <w:bookmarkEnd w:id="298"/>
      <w:r w:rsidR="5C711659" w:rsidRPr="19F71E1F">
        <w:rPr>
          <w:rFonts w:asciiTheme="minorHAnsi" w:eastAsia="Aptos" w:hAnsiTheme="minorHAnsi" w:cstheme="minorBidi"/>
          <w:sz w:val="28"/>
          <w:szCs w:val="28"/>
        </w:rPr>
        <w:t xml:space="preserve"> </w:t>
      </w:r>
    </w:p>
    <w:p w14:paraId="31ED0FE1" w14:textId="1EC276B4" w:rsidR="6A328E42" w:rsidRPr="004F1CA5" w:rsidRDefault="5C711659" w:rsidP="09E359FC">
      <w:pPr>
        <w:spacing w:after="160" w:line="257" w:lineRule="auto"/>
        <w:jc w:val="both"/>
        <w:rPr>
          <w:rFonts w:asciiTheme="minorHAnsi" w:hAnsiTheme="minorHAnsi" w:cstheme="minorBidi"/>
          <w:sz w:val="24"/>
          <w:szCs w:val="24"/>
        </w:rPr>
      </w:pPr>
      <w:r w:rsidRPr="4BE35A4D">
        <w:rPr>
          <w:rFonts w:asciiTheme="minorHAnsi" w:eastAsia="Aptos" w:hAnsiTheme="minorHAnsi" w:cstheme="minorBidi"/>
          <w:sz w:val="24"/>
          <w:szCs w:val="24"/>
        </w:rPr>
        <w:t>Overall, the results in single EVSE and EVSE fleets with grid integration exhibit robust resiliency across communication protocols, battery thermal management, and physical characteristics of EV infrastructure. Furthermore, the modularity of the distributed control federation environment significantly improves for handling communication disturbances, grid overload conditions, real-time grid stabilization, and adaptive EV charging management. Numerous tests in both scenarios confirm operational stability regardless of communication impairments, battery thermal variations, concurrency peaks in charging stations, and efficient management of grid overload conditions. The results confirm the robust design of the EV ecosystem baseline behaviour model in terms of scalability, operational stability, communication resiliency, and fault tolerance, enabling its suitability for the extension into the TSM functional model integration in the later stages.</w:t>
      </w:r>
    </w:p>
    <w:p w14:paraId="26A6FD4E" w14:textId="37557EFF" w:rsidR="6A328E42" w:rsidRDefault="6A328E42" w:rsidP="6A328E42">
      <w:pPr>
        <w:pStyle w:val="BodyText"/>
        <w:rPr>
          <w:rFonts w:asciiTheme="minorHAnsi" w:eastAsiaTheme="minorEastAsia" w:hAnsiTheme="minorHAnsi" w:cstheme="minorBidi"/>
        </w:rPr>
      </w:pPr>
    </w:p>
    <w:p w14:paraId="4279BFD8" w14:textId="1FE5CB7E" w:rsidR="006E3137" w:rsidRPr="003B0266" w:rsidRDefault="473F4621" w:rsidP="003B0266">
      <w:pPr>
        <w:pStyle w:val="Heading2"/>
        <w:rPr>
          <w:rFonts w:asciiTheme="minorHAnsi" w:eastAsiaTheme="minorEastAsia" w:hAnsiTheme="minorHAnsi" w:cstheme="minorBidi"/>
          <w:b/>
        </w:rPr>
      </w:pPr>
      <w:r w:rsidRPr="6A328E42">
        <w:rPr>
          <w:b/>
        </w:rPr>
        <w:t xml:space="preserve"> </w:t>
      </w:r>
      <w:bookmarkStart w:id="299" w:name="_Toc222954514"/>
      <w:bookmarkStart w:id="300" w:name="_Toc223022381"/>
      <w:bookmarkStart w:id="301" w:name="_Toc234310824"/>
      <w:r w:rsidR="003B0266" w:rsidRPr="003B0266">
        <w:rPr>
          <w:b/>
          <w:bCs w:val="0"/>
        </w:rPr>
        <w:t xml:space="preserve">TSM Implementation and </w:t>
      </w:r>
      <w:r w:rsidR="00B70C00">
        <w:rPr>
          <w:b/>
          <w:bCs w:val="0"/>
        </w:rPr>
        <w:t>Experimentation</w:t>
      </w:r>
      <w:r w:rsidR="003B0266" w:rsidRPr="003B0266">
        <w:rPr>
          <w:b/>
          <w:bCs w:val="0"/>
        </w:rPr>
        <w:t xml:space="preserve"> Results</w:t>
      </w:r>
      <w:bookmarkEnd w:id="299"/>
      <w:bookmarkEnd w:id="300"/>
      <w:bookmarkEnd w:id="301"/>
      <w:r w:rsidR="003B0266" w:rsidRPr="003B0266">
        <w:rPr>
          <w:b/>
          <w:bCs w:val="0"/>
        </w:rPr>
        <w:t xml:space="preserve"> </w:t>
      </w:r>
    </w:p>
    <w:p w14:paraId="4E804AFD" w14:textId="10357481" w:rsidR="0063487B" w:rsidRPr="0028084F" w:rsidRDefault="0060594D" w:rsidP="7F9D13F7">
      <w:pPr>
        <w:pStyle w:val="BodyText"/>
        <w:jc w:val="both"/>
        <w:rPr>
          <w:rFonts w:asciiTheme="minorHAnsi" w:eastAsiaTheme="minorEastAsia" w:hAnsiTheme="minorHAnsi" w:cstheme="minorBidi"/>
        </w:rPr>
      </w:pPr>
      <w:r w:rsidRPr="4BE35A4D">
        <w:rPr>
          <w:szCs w:val="24"/>
        </w:rPr>
        <w:t xml:space="preserve">This section provides implementation-specific details of TSM. It first describes deployment architecture, followed by integration with the co-simulation platform, experimental results, and TSM validation. </w:t>
      </w:r>
    </w:p>
    <w:p w14:paraId="38FDFDA2" w14:textId="77777777" w:rsidR="003B0266" w:rsidRDefault="003B0266" w:rsidP="006E3137">
      <w:pPr>
        <w:pStyle w:val="BodyText"/>
        <w:rPr>
          <w:rFonts w:asciiTheme="minorHAnsi" w:eastAsiaTheme="minorEastAsia" w:hAnsiTheme="minorHAnsi" w:cstheme="minorBidi"/>
        </w:rPr>
      </w:pPr>
    </w:p>
    <w:p w14:paraId="2792522D" w14:textId="302DF8DC" w:rsidR="3F3DF4E1" w:rsidRDefault="3F3DF4E1" w:rsidP="625B0D3D">
      <w:pPr>
        <w:pStyle w:val="Heading3"/>
        <w:spacing w:before="160" w:after="80" w:line="257" w:lineRule="auto"/>
        <w:rPr>
          <w:rFonts w:asciiTheme="minorHAnsi" w:eastAsiaTheme="minorEastAsia" w:hAnsiTheme="minorHAnsi" w:cstheme="minorBidi"/>
          <w:sz w:val="28"/>
          <w:szCs w:val="28"/>
          <w:lang w:val="en-GB"/>
        </w:rPr>
      </w:pPr>
      <w:bookmarkStart w:id="302" w:name="_Toc234310825"/>
      <w:r w:rsidRPr="4BE35A4D">
        <w:rPr>
          <w:rFonts w:asciiTheme="minorHAnsi" w:eastAsiaTheme="minorEastAsia" w:hAnsiTheme="minorHAnsi" w:cstheme="minorBidi"/>
          <w:sz w:val="28"/>
          <w:szCs w:val="28"/>
          <w:lang w:val="en-GB"/>
        </w:rPr>
        <w:t>Deployment Architecture</w:t>
      </w:r>
      <w:bookmarkEnd w:id="302"/>
    </w:p>
    <w:p w14:paraId="24487144" w14:textId="0361E41F" w:rsidR="3F3DF4E1" w:rsidRDefault="3F3DF4E1" w:rsidP="625B0D3D">
      <w:pPr>
        <w:spacing w:after="160" w:line="257" w:lineRule="auto"/>
        <w:jc w:val="both"/>
        <w:rPr>
          <w:rFonts w:asciiTheme="minorHAnsi" w:eastAsiaTheme="minorEastAsia" w:hAnsiTheme="minorHAnsi" w:cstheme="minorBidi"/>
          <w:sz w:val="24"/>
          <w:szCs w:val="24"/>
          <w:lang w:val="en-GB"/>
        </w:rPr>
      </w:pPr>
      <w:r w:rsidRPr="15F0334A">
        <w:rPr>
          <w:rFonts w:asciiTheme="minorHAnsi" w:eastAsiaTheme="minorEastAsia" w:hAnsiTheme="minorHAnsi" w:cstheme="minorBidi"/>
          <w:sz w:val="24"/>
          <w:szCs w:val="24"/>
          <w:lang w:val="en-GB"/>
        </w:rPr>
        <w:t>It provides the deployment of TSM design in the EVSE co-simulation environment, enabling TSM to have a concrete, executable, and multi-dimensional architecture that mediates all EVSE components during critical operations. The co-simulation deployment architecture should follow these characteristics:</w:t>
      </w:r>
    </w:p>
    <w:p w14:paraId="1734103F" w14:textId="3237EADD" w:rsidR="3F3DF4E1" w:rsidRDefault="3F3DF4E1" w:rsidP="00846D08">
      <w:pPr>
        <w:pStyle w:val="ListParagraph"/>
        <w:numPr>
          <w:ilvl w:val="0"/>
          <w:numId w:val="69"/>
        </w:numPr>
        <w:spacing w:before="0" w:after="0" w:line="257" w:lineRule="auto"/>
        <w:jc w:val="both"/>
        <w:rPr>
          <w:rFonts w:asciiTheme="minorHAnsi" w:eastAsiaTheme="minorEastAsia" w:hAnsiTheme="minorHAnsi" w:cstheme="minorBidi"/>
          <w:lang w:val="en-GB"/>
        </w:rPr>
      </w:pPr>
      <w:r w:rsidRPr="15F0334A">
        <w:rPr>
          <w:rFonts w:asciiTheme="minorHAnsi" w:eastAsiaTheme="minorEastAsia" w:hAnsiTheme="minorHAnsi" w:cstheme="minorBidi"/>
          <w:lang w:val="en-GB"/>
        </w:rPr>
        <w:t>The TSM security pipeline works as a mediator for controlling all components and security-critical operations. TSM should not bypass within the EVSE control architecture and should be explicitly integrated with the baseline co-simulation model.</w:t>
      </w:r>
    </w:p>
    <w:p w14:paraId="264FFEBB" w14:textId="5A28842F" w:rsidR="3F3DF4E1" w:rsidRDefault="3F3DF4E1" w:rsidP="00846D08">
      <w:pPr>
        <w:pStyle w:val="ListParagraph"/>
        <w:numPr>
          <w:ilvl w:val="0"/>
          <w:numId w:val="69"/>
        </w:numPr>
        <w:spacing w:before="0" w:after="0" w:line="257" w:lineRule="auto"/>
        <w:jc w:val="both"/>
        <w:rPr>
          <w:rFonts w:asciiTheme="minorHAnsi" w:eastAsiaTheme="minorEastAsia" w:hAnsiTheme="minorHAnsi" w:cstheme="minorBidi"/>
          <w:lang w:val="en-GB"/>
        </w:rPr>
      </w:pPr>
      <w:r w:rsidRPr="15F0334A">
        <w:rPr>
          <w:rFonts w:asciiTheme="minorHAnsi" w:eastAsiaTheme="minorEastAsia" w:hAnsiTheme="minorHAnsi" w:cstheme="minorBidi"/>
          <w:lang w:val="en-GB"/>
        </w:rPr>
        <w:t>The EVSE co-simulation system must produce multi-layer telemetry and control information required to evaluate the co-simulation framework operation.</w:t>
      </w:r>
    </w:p>
    <w:p w14:paraId="72A4F74E" w14:textId="14C09C6D" w:rsidR="3F3DF4E1" w:rsidRDefault="3F3DF4E1" w:rsidP="00846D08">
      <w:pPr>
        <w:pStyle w:val="ListParagraph"/>
        <w:numPr>
          <w:ilvl w:val="0"/>
          <w:numId w:val="69"/>
        </w:numPr>
        <w:spacing w:before="0" w:after="0" w:line="257" w:lineRule="auto"/>
        <w:jc w:val="both"/>
        <w:rPr>
          <w:rFonts w:asciiTheme="minorHAnsi" w:eastAsiaTheme="minorEastAsia" w:hAnsiTheme="minorHAnsi" w:cstheme="minorBidi"/>
          <w:lang w:val="en-GB"/>
        </w:rPr>
      </w:pPr>
      <w:r w:rsidRPr="15F0334A">
        <w:rPr>
          <w:rFonts w:asciiTheme="minorHAnsi" w:eastAsiaTheme="minorEastAsia" w:hAnsiTheme="minorHAnsi" w:cstheme="minorBidi"/>
          <w:lang w:val="en-GB"/>
        </w:rPr>
        <w:t>The EVSE co-simulation platform must be reproducible to enable results verification independently.</w:t>
      </w:r>
    </w:p>
    <w:p w14:paraId="00C1FD8B" w14:textId="4ECC64F2" w:rsidR="3F3DF4E1" w:rsidRDefault="3F3DF4E1" w:rsidP="625B0D3D">
      <w:pPr>
        <w:spacing w:after="160" w:line="257" w:lineRule="auto"/>
        <w:jc w:val="both"/>
        <w:rPr>
          <w:rFonts w:asciiTheme="minorHAnsi" w:eastAsiaTheme="minorEastAsia" w:hAnsiTheme="minorHAnsi" w:cstheme="minorBidi"/>
          <w:sz w:val="24"/>
          <w:szCs w:val="24"/>
          <w:lang w:val="en-GB"/>
        </w:rPr>
      </w:pPr>
      <w:r w:rsidRPr="15F0334A">
        <w:rPr>
          <w:rFonts w:asciiTheme="minorHAnsi" w:eastAsiaTheme="minorEastAsia" w:hAnsiTheme="minorHAnsi" w:cstheme="minorBidi"/>
          <w:sz w:val="24"/>
          <w:szCs w:val="24"/>
          <w:lang w:val="en-GB"/>
        </w:rPr>
        <w:t>The deployment goals are categorized into five streams:</w:t>
      </w:r>
    </w:p>
    <w:p w14:paraId="0208ECBC" w14:textId="36DA0AAB" w:rsidR="3F3DF4E1" w:rsidRDefault="3F3DF4E1" w:rsidP="00846D08">
      <w:pPr>
        <w:pStyle w:val="ListParagraph"/>
        <w:numPr>
          <w:ilvl w:val="0"/>
          <w:numId w:val="68"/>
        </w:numPr>
        <w:spacing w:before="0" w:after="0" w:line="257" w:lineRule="auto"/>
        <w:jc w:val="both"/>
        <w:rPr>
          <w:rFonts w:asciiTheme="minorHAnsi" w:eastAsiaTheme="minorEastAsia" w:hAnsiTheme="minorHAnsi" w:cstheme="minorBidi"/>
          <w:lang w:val="en-GB"/>
        </w:rPr>
      </w:pPr>
      <w:r w:rsidRPr="15F0334A">
        <w:rPr>
          <w:rFonts w:asciiTheme="minorHAnsi" w:eastAsiaTheme="minorEastAsia" w:hAnsiTheme="minorHAnsi" w:cstheme="minorBidi"/>
          <w:b/>
          <w:lang w:val="en-GB"/>
        </w:rPr>
        <w:t>Complete runtime mediation:</w:t>
      </w:r>
      <w:r w:rsidRPr="15F0334A">
        <w:rPr>
          <w:rFonts w:asciiTheme="minorHAnsi" w:eastAsiaTheme="minorEastAsia" w:hAnsiTheme="minorHAnsi" w:cstheme="minorBidi"/>
          <w:lang w:val="en-GB"/>
        </w:rPr>
        <w:t xml:space="preserve"> The PEE intercepts each required from LID to HID during design and execution time. For example, safety-critical configurations for hardware actuators, changing contactor states, and updating firmware must pass through PEE policies.</w:t>
      </w:r>
    </w:p>
    <w:p w14:paraId="3750FE5F" w14:textId="6FEA4577" w:rsidR="3F3DF4E1" w:rsidRDefault="3F3DF4E1" w:rsidP="00846D08">
      <w:pPr>
        <w:pStyle w:val="ListParagraph"/>
        <w:numPr>
          <w:ilvl w:val="0"/>
          <w:numId w:val="68"/>
        </w:numPr>
        <w:spacing w:before="0" w:after="0" w:line="257" w:lineRule="auto"/>
        <w:jc w:val="both"/>
        <w:rPr>
          <w:rFonts w:asciiTheme="minorHAnsi" w:eastAsiaTheme="minorEastAsia" w:hAnsiTheme="minorHAnsi" w:cstheme="minorBidi"/>
          <w:lang w:val="en-GB"/>
        </w:rPr>
      </w:pPr>
      <w:r w:rsidRPr="15F0334A">
        <w:rPr>
          <w:rFonts w:asciiTheme="minorHAnsi" w:eastAsiaTheme="minorEastAsia" w:hAnsiTheme="minorHAnsi" w:cstheme="minorBidi"/>
          <w:b/>
          <w:lang w:val="en-GB"/>
        </w:rPr>
        <w:t>Deterministic and reproducible traces:</w:t>
      </w:r>
      <w:r w:rsidRPr="15F0334A">
        <w:rPr>
          <w:rFonts w:asciiTheme="minorHAnsi" w:eastAsiaTheme="minorEastAsia" w:hAnsiTheme="minorHAnsi" w:cstheme="minorBidi"/>
          <w:lang w:val="en-GB"/>
        </w:rPr>
        <w:t xml:space="preserve"> For the identical scenario inputs and configurations, the co-simulation framework produces similar traces for evaluation among three layers: Cybersecurity control layer, EVSE behaviour layer, and power grid impact layer.</w:t>
      </w:r>
    </w:p>
    <w:p w14:paraId="287DCECB" w14:textId="2F1EC61A" w:rsidR="3F3DF4E1" w:rsidRDefault="3F3DF4E1" w:rsidP="00846D08">
      <w:pPr>
        <w:pStyle w:val="ListParagraph"/>
        <w:numPr>
          <w:ilvl w:val="0"/>
          <w:numId w:val="68"/>
        </w:numPr>
        <w:spacing w:before="0" w:after="0" w:line="257" w:lineRule="auto"/>
        <w:jc w:val="both"/>
        <w:rPr>
          <w:rFonts w:asciiTheme="minorHAnsi" w:eastAsiaTheme="minorEastAsia" w:hAnsiTheme="minorHAnsi" w:cstheme="minorBidi"/>
          <w:lang w:val="en-GB"/>
        </w:rPr>
      </w:pPr>
      <w:r w:rsidRPr="15F0334A">
        <w:rPr>
          <w:rFonts w:asciiTheme="minorHAnsi" w:eastAsiaTheme="minorEastAsia" w:hAnsiTheme="minorHAnsi" w:cstheme="minorBidi"/>
          <w:b/>
          <w:lang w:val="en-GB"/>
        </w:rPr>
        <w:t>Structured threat injection:</w:t>
      </w:r>
      <w:r w:rsidRPr="15F0334A">
        <w:rPr>
          <w:rFonts w:asciiTheme="minorHAnsi" w:eastAsiaTheme="minorEastAsia" w:hAnsiTheme="minorHAnsi" w:cstheme="minorBidi"/>
          <w:lang w:val="en-GB"/>
        </w:rPr>
        <w:t xml:space="preserve"> For the implementation of use cases, the use case engine injects protocol anomaly attacks, power disturbances, tamper events, and firmware attacks without modification of the core simulation platform to preserve the threat injector and core simulation framework separation.</w:t>
      </w:r>
    </w:p>
    <w:p w14:paraId="2C557D88" w14:textId="01E3E263" w:rsidR="3F3DF4E1" w:rsidRDefault="3F3DF4E1" w:rsidP="00846D08">
      <w:pPr>
        <w:pStyle w:val="ListParagraph"/>
        <w:numPr>
          <w:ilvl w:val="0"/>
          <w:numId w:val="68"/>
        </w:numPr>
        <w:spacing w:before="0" w:after="0" w:line="257" w:lineRule="auto"/>
        <w:jc w:val="both"/>
        <w:rPr>
          <w:rFonts w:asciiTheme="minorHAnsi" w:eastAsiaTheme="minorEastAsia" w:hAnsiTheme="minorHAnsi" w:cstheme="minorBidi"/>
          <w:lang w:val="en-GB"/>
        </w:rPr>
      </w:pPr>
      <w:r w:rsidRPr="15F0334A">
        <w:rPr>
          <w:rFonts w:asciiTheme="minorHAnsi" w:eastAsiaTheme="minorEastAsia" w:hAnsiTheme="minorHAnsi" w:cstheme="minorBidi"/>
          <w:b/>
          <w:lang w:val="en-GB"/>
        </w:rPr>
        <w:t>Real-time observability:</w:t>
      </w:r>
      <w:r w:rsidRPr="15F0334A">
        <w:rPr>
          <w:rFonts w:asciiTheme="minorHAnsi" w:eastAsiaTheme="minorEastAsia" w:hAnsiTheme="minorHAnsi" w:cstheme="minorBidi"/>
          <w:lang w:val="en-GB"/>
        </w:rPr>
        <w:t xml:space="preserve"> For real-time observability, all co-simulation states, including power flow, battery dynamics, protocol interactions, and TSM decisions, are observed through the dashboard to demonstrate real-time interaction and evaluation.</w:t>
      </w:r>
    </w:p>
    <w:p w14:paraId="353F1E5B" w14:textId="67F7B3A6" w:rsidR="3F3DF4E1" w:rsidRDefault="3F3DF4E1" w:rsidP="00846D08">
      <w:pPr>
        <w:pStyle w:val="ListParagraph"/>
        <w:numPr>
          <w:ilvl w:val="0"/>
          <w:numId w:val="68"/>
        </w:numPr>
        <w:spacing w:before="0" w:after="0" w:line="257" w:lineRule="auto"/>
        <w:jc w:val="both"/>
        <w:rPr>
          <w:rFonts w:asciiTheme="minorHAnsi" w:eastAsiaTheme="minorEastAsia" w:hAnsiTheme="minorHAnsi" w:cstheme="minorBidi"/>
          <w:lang w:val="en-GB"/>
        </w:rPr>
      </w:pPr>
      <w:r w:rsidRPr="15F0334A">
        <w:rPr>
          <w:rFonts w:asciiTheme="minorHAnsi" w:eastAsiaTheme="minorEastAsia" w:hAnsiTheme="minorHAnsi" w:cstheme="minorBidi"/>
          <w:b/>
          <w:lang w:val="en-GB"/>
        </w:rPr>
        <w:t>Comparative evaluation:</w:t>
      </w:r>
      <w:r w:rsidRPr="15F0334A">
        <w:rPr>
          <w:rFonts w:asciiTheme="minorHAnsi" w:eastAsiaTheme="minorEastAsia" w:hAnsiTheme="minorHAnsi" w:cstheme="minorBidi"/>
          <w:lang w:val="en-GB"/>
        </w:rPr>
        <w:t xml:space="preserve"> The comparative evaluation is made with TSM-enabled and without TSM modes to enable the comparison of the control operation for hypotheses H1-H4.</w:t>
      </w:r>
    </w:p>
    <w:p w14:paraId="653A5EED" w14:textId="7F324EFC" w:rsidR="3F3DF4E1" w:rsidRDefault="3F3DF4E1" w:rsidP="625B0D3D">
      <w:pPr>
        <w:spacing w:after="160" w:line="257" w:lineRule="auto"/>
        <w:jc w:val="both"/>
        <w:rPr>
          <w:rFonts w:asciiTheme="minorHAnsi" w:eastAsiaTheme="minorEastAsia" w:hAnsiTheme="minorHAnsi" w:cstheme="minorBidi"/>
          <w:sz w:val="24"/>
          <w:szCs w:val="24"/>
          <w:lang w:val="en-GB"/>
        </w:rPr>
      </w:pPr>
      <w:r w:rsidRPr="15F0334A">
        <w:rPr>
          <w:rFonts w:asciiTheme="minorHAnsi" w:eastAsiaTheme="minorEastAsia" w:hAnsiTheme="minorHAnsi" w:cstheme="minorBidi"/>
          <w:sz w:val="24"/>
          <w:szCs w:val="24"/>
          <w:lang w:val="en-GB"/>
        </w:rPr>
        <w:t>There are four design principles of the deployment architecture:</w:t>
      </w:r>
    </w:p>
    <w:p w14:paraId="4293A16C" w14:textId="4D970DA4" w:rsidR="3F3DF4E1" w:rsidRDefault="3F3DF4E1" w:rsidP="00846D08">
      <w:pPr>
        <w:pStyle w:val="ListParagraph"/>
        <w:numPr>
          <w:ilvl w:val="0"/>
          <w:numId w:val="67"/>
        </w:numPr>
        <w:spacing w:before="0" w:after="0" w:line="257" w:lineRule="auto"/>
        <w:jc w:val="both"/>
        <w:rPr>
          <w:rFonts w:asciiTheme="minorHAnsi" w:eastAsiaTheme="minorEastAsia" w:hAnsiTheme="minorHAnsi" w:cstheme="minorBidi"/>
          <w:lang w:val="en-GB"/>
        </w:rPr>
      </w:pPr>
      <w:r w:rsidRPr="15F0334A">
        <w:rPr>
          <w:rFonts w:asciiTheme="minorHAnsi" w:eastAsiaTheme="minorEastAsia" w:hAnsiTheme="minorHAnsi" w:cstheme="minorBidi"/>
          <w:lang w:val="en-GB"/>
        </w:rPr>
        <w:t>Layered separation: There are explicitly distinct layers with specific interfaces, such as the TSM security layer, protocol stack layer, physical layer, simulation engine, API, and presentation layer. Each layer is communicated upward and downward for the control functions and event propagation.</w:t>
      </w:r>
    </w:p>
    <w:p w14:paraId="34DCB343" w14:textId="4F87ABAD" w:rsidR="3F3DF4E1" w:rsidRDefault="3F3DF4E1" w:rsidP="00846D08">
      <w:pPr>
        <w:pStyle w:val="ListParagraph"/>
        <w:numPr>
          <w:ilvl w:val="0"/>
          <w:numId w:val="67"/>
        </w:numPr>
        <w:spacing w:before="0" w:after="0" w:line="257" w:lineRule="auto"/>
        <w:jc w:val="both"/>
        <w:rPr>
          <w:rFonts w:asciiTheme="minorHAnsi" w:eastAsiaTheme="minorEastAsia" w:hAnsiTheme="minorHAnsi" w:cstheme="minorBidi"/>
          <w:lang w:val="en-GB"/>
        </w:rPr>
      </w:pPr>
      <w:r w:rsidRPr="15F0334A">
        <w:rPr>
          <w:rFonts w:asciiTheme="minorHAnsi" w:eastAsiaTheme="minorEastAsia" w:hAnsiTheme="minorHAnsi" w:cstheme="minorBidi"/>
          <w:lang w:val="en-GB"/>
        </w:rPr>
        <w:t>Event-driven architecture: The architecture is event-driven, in which system state changes are propagated over a central event bus. The system uses subscribers such as metrics collections, logging, and dashboard entries asynchronously and observes the EVSE system behaviour.</w:t>
      </w:r>
    </w:p>
    <w:p w14:paraId="628940C1" w14:textId="2F655988" w:rsidR="3F3DF4E1" w:rsidRDefault="3F3DF4E1" w:rsidP="00846D08">
      <w:pPr>
        <w:pStyle w:val="ListParagraph"/>
        <w:numPr>
          <w:ilvl w:val="0"/>
          <w:numId w:val="67"/>
        </w:numPr>
        <w:spacing w:before="0" w:after="0" w:line="257" w:lineRule="auto"/>
        <w:jc w:val="both"/>
        <w:rPr>
          <w:rFonts w:asciiTheme="minorHAnsi" w:eastAsiaTheme="minorEastAsia" w:hAnsiTheme="minorHAnsi" w:cstheme="minorBidi"/>
          <w:lang w:val="en-GB"/>
        </w:rPr>
      </w:pPr>
      <w:r w:rsidRPr="15F0334A">
        <w:rPr>
          <w:rFonts w:asciiTheme="minorHAnsi" w:eastAsiaTheme="minorEastAsia" w:hAnsiTheme="minorHAnsi" w:cstheme="minorBidi"/>
          <w:lang w:val="en-GB"/>
        </w:rPr>
        <w:t>Fail-secure by default: In case of failure due to TSM policies, the system shifts to a safe state. The PEE policies by default DENY any error according to TSM-FUN-301 policies.</w:t>
      </w:r>
    </w:p>
    <w:p w14:paraId="0AFF07AF" w14:textId="038061FC" w:rsidR="3F3DF4E1" w:rsidRDefault="3F3DF4E1" w:rsidP="00846D08">
      <w:pPr>
        <w:pStyle w:val="ListParagraph"/>
        <w:numPr>
          <w:ilvl w:val="0"/>
          <w:numId w:val="67"/>
        </w:numPr>
        <w:spacing w:before="0" w:after="0" w:line="257" w:lineRule="auto"/>
        <w:jc w:val="both"/>
        <w:rPr>
          <w:rFonts w:asciiTheme="minorHAnsi" w:eastAsiaTheme="minorEastAsia" w:hAnsiTheme="minorHAnsi" w:cstheme="minorBidi"/>
          <w:lang w:val="en-GB"/>
        </w:rPr>
      </w:pPr>
      <w:r w:rsidRPr="15F0334A">
        <w:rPr>
          <w:rFonts w:asciiTheme="minorHAnsi" w:eastAsiaTheme="minorEastAsia" w:hAnsiTheme="minorHAnsi" w:cstheme="minorBidi"/>
          <w:lang w:val="en-GB"/>
        </w:rPr>
        <w:t>Single source of truth: The co-simulation system is state-owned with a simulation engine, while the REST API and dashboard provide states projections by triggering scenarios and do not mutate system states.</w:t>
      </w:r>
    </w:p>
    <w:p w14:paraId="3FF929A9" w14:textId="124DF299" w:rsidR="3F3DF4E1" w:rsidRDefault="3F3DF4E1" w:rsidP="625B0D3D">
      <w:pPr>
        <w:spacing w:after="160" w:line="257" w:lineRule="auto"/>
        <w:jc w:val="both"/>
        <w:rPr>
          <w:rFonts w:asciiTheme="minorHAnsi" w:eastAsiaTheme="minorEastAsia" w:hAnsiTheme="minorHAnsi" w:cstheme="minorBidi"/>
          <w:sz w:val="24"/>
          <w:szCs w:val="24"/>
          <w:lang w:val="en-GB"/>
        </w:rPr>
      </w:pPr>
      <w:r w:rsidRPr="15F0334A">
        <w:rPr>
          <w:rFonts w:asciiTheme="minorHAnsi" w:eastAsiaTheme="minorEastAsia" w:hAnsiTheme="minorHAnsi" w:cstheme="minorBidi"/>
          <w:sz w:val="24"/>
          <w:szCs w:val="24"/>
          <w:lang w:val="en-GB"/>
        </w:rPr>
        <w:t xml:space="preserve"> </w:t>
      </w:r>
    </w:p>
    <w:p w14:paraId="4D61D886" w14:textId="10F0CB8A" w:rsidR="3F3DF4E1" w:rsidRDefault="3F3DF4E1" w:rsidP="625B0D3D">
      <w:pPr>
        <w:spacing w:after="160" w:line="257" w:lineRule="auto"/>
        <w:jc w:val="both"/>
        <w:rPr>
          <w:rFonts w:asciiTheme="minorHAnsi" w:eastAsiaTheme="minorEastAsia" w:hAnsiTheme="minorHAnsi" w:cstheme="minorBidi"/>
          <w:sz w:val="24"/>
          <w:szCs w:val="24"/>
          <w:lang w:val="en-GB"/>
        </w:rPr>
      </w:pPr>
      <w:r w:rsidRPr="15F0334A">
        <w:rPr>
          <w:rFonts w:asciiTheme="minorHAnsi" w:eastAsiaTheme="minorEastAsia" w:hAnsiTheme="minorHAnsi" w:cstheme="minorBidi"/>
          <w:sz w:val="24"/>
          <w:szCs w:val="24"/>
          <w:lang w:val="en-GB"/>
        </w:rPr>
        <w:t>The platform deployment must require the following prerequisites:</w:t>
      </w:r>
    </w:p>
    <w:p w14:paraId="5DA921A9" w14:textId="011297CE" w:rsidR="3F3DF4E1" w:rsidRDefault="3F3DF4E1" w:rsidP="00846D08">
      <w:pPr>
        <w:pStyle w:val="ListParagraph"/>
        <w:numPr>
          <w:ilvl w:val="0"/>
          <w:numId w:val="66"/>
        </w:numPr>
        <w:spacing w:before="0" w:after="0" w:line="257" w:lineRule="auto"/>
        <w:jc w:val="both"/>
        <w:rPr>
          <w:rFonts w:asciiTheme="minorHAnsi" w:eastAsiaTheme="minorEastAsia" w:hAnsiTheme="minorHAnsi" w:cstheme="minorBidi"/>
          <w:lang w:val="en-GB"/>
        </w:rPr>
      </w:pPr>
      <w:r w:rsidRPr="15F0334A">
        <w:rPr>
          <w:rFonts w:asciiTheme="minorHAnsi" w:eastAsiaTheme="minorEastAsia" w:hAnsiTheme="minorHAnsi" w:cstheme="minorBidi"/>
          <w:lang w:val="en-GB"/>
        </w:rPr>
        <w:t>Python 3.11 recommended or higher than 3.8 required for the EVSE co-simulation environment.</w:t>
      </w:r>
    </w:p>
    <w:p w14:paraId="00A2DCAE" w14:textId="78CB5F8D" w:rsidR="3F3DF4E1" w:rsidRDefault="3F3DF4E1" w:rsidP="00846D08">
      <w:pPr>
        <w:pStyle w:val="ListParagraph"/>
        <w:numPr>
          <w:ilvl w:val="0"/>
          <w:numId w:val="66"/>
        </w:numPr>
        <w:spacing w:before="0" w:after="0" w:line="257" w:lineRule="auto"/>
        <w:jc w:val="both"/>
        <w:rPr>
          <w:rFonts w:asciiTheme="minorHAnsi" w:eastAsiaTheme="minorEastAsia" w:hAnsiTheme="minorHAnsi" w:cstheme="minorBidi"/>
          <w:lang w:val="en-GB"/>
        </w:rPr>
      </w:pPr>
      <w:r w:rsidRPr="15F0334A">
        <w:rPr>
          <w:rFonts w:asciiTheme="minorHAnsi" w:eastAsiaTheme="minorEastAsia" w:hAnsiTheme="minorHAnsi" w:cstheme="minorBidi"/>
          <w:lang w:val="en-GB"/>
        </w:rPr>
        <w:t>Python packages: fastapi, uvicorn, numpy, pandas, scipy, networkx, cryptography, ocpp, pyyaml for developing core simulation.</w:t>
      </w:r>
    </w:p>
    <w:p w14:paraId="6358E1A8" w14:textId="6190A06D" w:rsidR="3F3DF4E1" w:rsidRDefault="3F3DF4E1" w:rsidP="00846D08">
      <w:pPr>
        <w:pStyle w:val="ListParagraph"/>
        <w:numPr>
          <w:ilvl w:val="0"/>
          <w:numId w:val="66"/>
        </w:numPr>
        <w:spacing w:before="0" w:after="0" w:line="257" w:lineRule="auto"/>
        <w:jc w:val="both"/>
        <w:rPr>
          <w:rFonts w:asciiTheme="minorHAnsi" w:eastAsiaTheme="minorEastAsia" w:hAnsiTheme="minorHAnsi" w:cstheme="minorBidi"/>
          <w:lang w:val="en-GB"/>
        </w:rPr>
      </w:pPr>
      <w:r w:rsidRPr="15F0334A">
        <w:rPr>
          <w:rFonts w:asciiTheme="minorHAnsi" w:eastAsiaTheme="minorEastAsia" w:hAnsiTheme="minorHAnsi" w:cstheme="minorBidi"/>
          <w:lang w:val="en-GB"/>
        </w:rPr>
        <w:t>Frontend packages: react 18, react-router-dom, chart.js, tailwindcss, vite 5 for designing interactive dashboard.</w:t>
      </w:r>
    </w:p>
    <w:p w14:paraId="7E218E7D" w14:textId="23F78D0E" w:rsidR="3F3DF4E1" w:rsidRDefault="3F3DF4E1" w:rsidP="00846D08">
      <w:pPr>
        <w:pStyle w:val="ListParagraph"/>
        <w:numPr>
          <w:ilvl w:val="0"/>
          <w:numId w:val="66"/>
        </w:numPr>
        <w:spacing w:before="0" w:after="0" w:line="257" w:lineRule="auto"/>
        <w:jc w:val="both"/>
        <w:rPr>
          <w:rFonts w:asciiTheme="minorHAnsi" w:eastAsiaTheme="minorEastAsia" w:hAnsiTheme="minorHAnsi" w:cstheme="minorBidi"/>
          <w:lang w:val="en-GB"/>
        </w:rPr>
      </w:pPr>
      <w:r w:rsidRPr="15F0334A">
        <w:rPr>
          <w:rFonts w:asciiTheme="minorHAnsi" w:eastAsiaTheme="minorEastAsia" w:hAnsiTheme="minorHAnsi" w:cstheme="minorBidi"/>
          <w:lang w:val="en-GB"/>
        </w:rPr>
        <w:t>Power Systems: GridLab-D and OpenDSS for charging session dynamics and power system distribution studies, running IEEE test cases for power flow analysis using the HELICS coordinator to operate within a federated co-simulation environment and coordinate with external tools.</w:t>
      </w:r>
    </w:p>
    <w:p w14:paraId="16BB175E" w14:textId="2C56DD0B" w:rsidR="3F3DF4E1" w:rsidRDefault="3F3DF4E1" w:rsidP="625B0D3D">
      <w:pPr>
        <w:spacing w:after="160" w:line="257" w:lineRule="auto"/>
        <w:jc w:val="both"/>
        <w:rPr>
          <w:rFonts w:asciiTheme="minorHAnsi" w:eastAsiaTheme="minorEastAsia" w:hAnsiTheme="minorHAnsi" w:cstheme="minorBidi"/>
          <w:sz w:val="24"/>
          <w:szCs w:val="24"/>
          <w:lang w:val="en-GB"/>
        </w:rPr>
      </w:pPr>
      <w:r w:rsidRPr="15F0334A">
        <w:rPr>
          <w:rFonts w:asciiTheme="minorHAnsi" w:eastAsiaTheme="minorEastAsia" w:hAnsiTheme="minorHAnsi" w:cstheme="minorBidi"/>
          <w:sz w:val="24"/>
          <w:szCs w:val="24"/>
          <w:lang w:val="en-GB"/>
        </w:rPr>
        <w:t xml:space="preserve"> </w:t>
      </w:r>
    </w:p>
    <w:p w14:paraId="5BEE12A2" w14:textId="30546AB1" w:rsidR="42CEAA7F" w:rsidRDefault="3F3DF4E1" w:rsidP="42CEAA7F">
      <w:pPr>
        <w:spacing w:after="160" w:line="257" w:lineRule="auto"/>
        <w:jc w:val="both"/>
        <w:rPr>
          <w:rFonts w:asciiTheme="minorHAnsi" w:eastAsiaTheme="minorEastAsia" w:hAnsiTheme="minorHAnsi" w:cstheme="minorBidi"/>
          <w:sz w:val="24"/>
          <w:szCs w:val="24"/>
          <w:lang w:val="en-GB"/>
        </w:rPr>
      </w:pPr>
      <w:r w:rsidRPr="15F0334A">
        <w:rPr>
          <w:rFonts w:asciiTheme="minorHAnsi" w:eastAsiaTheme="minorEastAsia" w:hAnsiTheme="minorHAnsi" w:cstheme="minorBidi"/>
          <w:sz w:val="24"/>
          <w:szCs w:val="24"/>
          <w:lang w:val="en-GB"/>
        </w:rPr>
        <w:t>The FastAPI application, along with Uvicorn, is used to implement the backend server running on port 8000. The entry point for the backend server is ev_charging_system.dashboard.dev_server. The API endpoints are summarized in Table 1</w:t>
      </w:r>
      <w:r w:rsidR="0D4006D6" w:rsidRPr="15F0334A">
        <w:rPr>
          <w:rFonts w:asciiTheme="minorHAnsi" w:eastAsiaTheme="minorEastAsia" w:hAnsiTheme="minorHAnsi" w:cstheme="minorBidi"/>
          <w:sz w:val="24"/>
          <w:szCs w:val="24"/>
          <w:lang w:val="en-GB"/>
        </w:rPr>
        <w:t>3</w:t>
      </w:r>
      <w:r w:rsidRPr="15F0334A">
        <w:rPr>
          <w:rFonts w:asciiTheme="minorHAnsi" w:eastAsiaTheme="minorEastAsia" w:hAnsiTheme="minorHAnsi" w:cstheme="minorBidi"/>
          <w:sz w:val="24"/>
          <w:szCs w:val="24"/>
          <w:lang w:val="en-GB"/>
        </w:rPr>
        <w:t>.</w:t>
      </w:r>
    </w:p>
    <w:p w14:paraId="4BA5565C" w14:textId="6D667906" w:rsidR="42CEAA7F" w:rsidRDefault="42CEAA7F" w:rsidP="42CEAA7F">
      <w:pPr>
        <w:spacing w:after="160" w:line="257" w:lineRule="auto"/>
        <w:jc w:val="both"/>
        <w:rPr>
          <w:rFonts w:asciiTheme="minorHAnsi" w:eastAsiaTheme="minorEastAsia" w:hAnsiTheme="minorHAnsi" w:cstheme="minorBidi"/>
          <w:lang w:val="en-GB"/>
        </w:rPr>
      </w:pPr>
    </w:p>
    <w:p w14:paraId="2296C907" w14:textId="35787DE5" w:rsidR="2B363AE7" w:rsidRDefault="00C335B5" w:rsidP="00C335B5">
      <w:pPr>
        <w:pStyle w:val="Caption"/>
        <w:rPr>
          <w:rFonts w:asciiTheme="minorHAnsi" w:eastAsiaTheme="minorEastAsia" w:hAnsiTheme="minorHAnsi" w:cstheme="minorBidi"/>
          <w:i/>
          <w:color w:val="0E2841"/>
          <w:lang w:val="en-GB"/>
        </w:rPr>
      </w:pPr>
      <w:bookmarkStart w:id="303" w:name="_Toc233112267"/>
      <w:r>
        <w:t xml:space="preserve">Table </w:t>
      </w:r>
      <w:r w:rsidR="00113348">
        <w:fldChar w:fldCharType="begin"/>
      </w:r>
      <w:r w:rsidR="00113348">
        <w:instrText xml:space="preserve"> SEQ Table \* ARABIC </w:instrText>
      </w:r>
      <w:r w:rsidR="00113348">
        <w:fldChar w:fldCharType="separate"/>
      </w:r>
      <w:r w:rsidR="00F8092D">
        <w:rPr>
          <w:noProof/>
        </w:rPr>
        <w:t>13</w:t>
      </w:r>
      <w:r w:rsidR="00113348">
        <w:rPr>
          <w:noProof/>
        </w:rPr>
        <w:fldChar w:fldCharType="end"/>
      </w:r>
      <w:r w:rsidR="2B363AE7" w:rsidRPr="15F0334A">
        <w:rPr>
          <w:rFonts w:ascii="Aptos" w:eastAsia="Aptos" w:hAnsi="Aptos" w:cs="Aptos"/>
          <w:i/>
          <w:color w:val="0E2841"/>
          <w:szCs w:val="20"/>
          <w:lang w:val="en-GB"/>
        </w:rPr>
        <w:t>: The group categorization and summarization of REST API endpoints.</w:t>
      </w:r>
      <w:bookmarkEnd w:id="303"/>
    </w:p>
    <w:tbl>
      <w:tblPr>
        <w:tblW w:w="958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90"/>
        <w:gridCol w:w="3495"/>
        <w:gridCol w:w="4200"/>
      </w:tblGrid>
      <w:tr w:rsidR="42CEAA7F" w14:paraId="521F9D67" w14:textId="77777777" w:rsidTr="3A8115EB">
        <w:trPr>
          <w:trHeight w:val="315"/>
        </w:trPr>
        <w:tc>
          <w:tcPr>
            <w:tcW w:w="1890" w:type="dxa"/>
            <w:tcBorders>
              <w:top w:val="nil"/>
              <w:left w:val="nil"/>
              <w:bottom w:val="nil"/>
              <w:right w:val="nil"/>
            </w:tcBorders>
            <w:shd w:val="clear" w:color="auto" w:fill="000000" w:themeFill="text2"/>
          </w:tcPr>
          <w:p w14:paraId="7D623EE3" w14:textId="2AB496AE" w:rsidR="42CEAA7F" w:rsidRDefault="42CEAA7F" w:rsidP="42CEAA7F">
            <w:pPr>
              <w:spacing w:after="160" w:line="257" w:lineRule="auto"/>
              <w:rPr>
                <w:rFonts w:asciiTheme="minorHAnsi" w:eastAsiaTheme="minorEastAsia" w:hAnsiTheme="minorHAnsi" w:cstheme="minorBidi"/>
                <w:b/>
                <w:color w:val="FFFFFF" w:themeColor="background2"/>
                <w:sz w:val="20"/>
                <w:szCs w:val="20"/>
              </w:rPr>
            </w:pPr>
            <w:r w:rsidRPr="15F0334A">
              <w:rPr>
                <w:rFonts w:asciiTheme="minorHAnsi" w:eastAsiaTheme="minorEastAsia" w:hAnsiTheme="minorHAnsi" w:cstheme="minorBidi"/>
                <w:b/>
                <w:color w:val="FFFFFF" w:themeColor="background2"/>
                <w:sz w:val="20"/>
                <w:szCs w:val="20"/>
                <w:lang w:val="en"/>
              </w:rPr>
              <w:t>Prefixes</w:t>
            </w:r>
            <w:r w:rsidRPr="15F0334A">
              <w:rPr>
                <w:rFonts w:asciiTheme="minorHAnsi" w:eastAsiaTheme="minorEastAsia" w:hAnsiTheme="minorHAnsi" w:cstheme="minorBidi"/>
                <w:b/>
                <w:color w:val="FFFFFF" w:themeColor="background2"/>
                <w:sz w:val="20"/>
                <w:szCs w:val="20"/>
              </w:rPr>
              <w:t xml:space="preserve"> </w:t>
            </w:r>
          </w:p>
        </w:tc>
        <w:tc>
          <w:tcPr>
            <w:tcW w:w="3495" w:type="dxa"/>
            <w:tcBorders>
              <w:top w:val="nil"/>
              <w:left w:val="nil"/>
              <w:bottom w:val="nil"/>
              <w:right w:val="nil"/>
            </w:tcBorders>
            <w:shd w:val="clear" w:color="auto" w:fill="000000" w:themeFill="text2"/>
          </w:tcPr>
          <w:p w14:paraId="7F65DD88" w14:textId="7FA33DC4" w:rsidR="42CEAA7F" w:rsidRDefault="42CEAA7F" w:rsidP="42CEAA7F">
            <w:pPr>
              <w:spacing w:after="160" w:line="257" w:lineRule="auto"/>
              <w:rPr>
                <w:rFonts w:asciiTheme="minorHAnsi" w:eastAsiaTheme="minorEastAsia" w:hAnsiTheme="minorHAnsi" w:cstheme="minorBidi"/>
                <w:b/>
                <w:color w:val="FFFFFF" w:themeColor="background2"/>
                <w:sz w:val="20"/>
                <w:szCs w:val="20"/>
              </w:rPr>
            </w:pPr>
            <w:r w:rsidRPr="15F0334A">
              <w:rPr>
                <w:rFonts w:asciiTheme="minorHAnsi" w:eastAsiaTheme="minorEastAsia" w:hAnsiTheme="minorHAnsi" w:cstheme="minorBidi"/>
                <w:b/>
                <w:color w:val="FFFFFF" w:themeColor="background2"/>
                <w:sz w:val="20"/>
                <w:szCs w:val="20"/>
                <w:lang w:val="en"/>
              </w:rPr>
              <w:t>Purpose</w:t>
            </w:r>
            <w:r w:rsidRPr="15F0334A">
              <w:rPr>
                <w:rFonts w:asciiTheme="minorHAnsi" w:eastAsiaTheme="minorEastAsia" w:hAnsiTheme="minorHAnsi" w:cstheme="minorBidi"/>
                <w:b/>
                <w:color w:val="FFFFFF" w:themeColor="background2"/>
                <w:sz w:val="20"/>
                <w:szCs w:val="20"/>
              </w:rPr>
              <w:t xml:space="preserve"> </w:t>
            </w:r>
          </w:p>
        </w:tc>
        <w:tc>
          <w:tcPr>
            <w:tcW w:w="4200" w:type="dxa"/>
            <w:tcBorders>
              <w:top w:val="nil"/>
              <w:left w:val="nil"/>
              <w:bottom w:val="nil"/>
              <w:right w:val="nil"/>
            </w:tcBorders>
            <w:shd w:val="clear" w:color="auto" w:fill="000000" w:themeFill="text2"/>
          </w:tcPr>
          <w:p w14:paraId="3D5D6112" w14:textId="5DB6E218" w:rsidR="42CEAA7F" w:rsidRDefault="42CEAA7F" w:rsidP="42CEAA7F">
            <w:pPr>
              <w:spacing w:after="160" w:line="257" w:lineRule="auto"/>
              <w:rPr>
                <w:rFonts w:asciiTheme="minorHAnsi" w:eastAsiaTheme="minorEastAsia" w:hAnsiTheme="minorHAnsi" w:cstheme="minorBidi"/>
                <w:b/>
                <w:color w:val="FFFFFF" w:themeColor="background2"/>
                <w:sz w:val="20"/>
                <w:szCs w:val="20"/>
              </w:rPr>
            </w:pPr>
            <w:r w:rsidRPr="15F0334A">
              <w:rPr>
                <w:rFonts w:asciiTheme="minorHAnsi" w:eastAsiaTheme="minorEastAsia" w:hAnsiTheme="minorHAnsi" w:cstheme="minorBidi"/>
                <w:b/>
                <w:color w:val="FFFFFF" w:themeColor="background2"/>
                <w:sz w:val="20"/>
                <w:szCs w:val="20"/>
                <w:lang w:val="en"/>
              </w:rPr>
              <w:t>Endpoints</w:t>
            </w:r>
            <w:r w:rsidRPr="15F0334A">
              <w:rPr>
                <w:rFonts w:asciiTheme="minorHAnsi" w:eastAsiaTheme="minorEastAsia" w:hAnsiTheme="minorHAnsi" w:cstheme="minorBidi"/>
                <w:b/>
                <w:color w:val="FFFFFF" w:themeColor="background2"/>
                <w:sz w:val="20"/>
                <w:szCs w:val="20"/>
              </w:rPr>
              <w:t xml:space="preserve"> </w:t>
            </w:r>
          </w:p>
        </w:tc>
      </w:tr>
      <w:tr w:rsidR="42CEAA7F" w14:paraId="0E10A26F" w14:textId="77777777" w:rsidTr="3A8115EB">
        <w:trPr>
          <w:trHeight w:val="420"/>
        </w:trPr>
        <w:tc>
          <w:tcPr>
            <w:tcW w:w="1890" w:type="dxa"/>
            <w:tcBorders>
              <w:top w:val="nil"/>
              <w:left w:val="nil"/>
              <w:bottom w:val="nil"/>
              <w:right w:val="nil"/>
            </w:tcBorders>
            <w:shd w:val="clear" w:color="auto" w:fill="EDEDED"/>
          </w:tcPr>
          <w:p w14:paraId="14918901" w14:textId="0A81BB3D" w:rsidR="42CEAA7F" w:rsidRDefault="42CEAA7F" w:rsidP="42CEAA7F">
            <w:pPr>
              <w:spacing w:after="160" w:line="257" w:lineRule="auto"/>
              <w:rPr>
                <w:rFonts w:asciiTheme="minorHAnsi" w:eastAsiaTheme="minorEastAsia" w:hAnsiTheme="minorHAnsi" w:cstheme="minorBidi"/>
                <w:b/>
                <w:color w:val="000000" w:themeColor="text2"/>
                <w:sz w:val="18"/>
                <w:szCs w:val="18"/>
              </w:rPr>
            </w:pPr>
            <w:r w:rsidRPr="32028DFF">
              <w:rPr>
                <w:rFonts w:asciiTheme="minorHAnsi" w:eastAsiaTheme="minorEastAsia" w:hAnsiTheme="minorHAnsi" w:cstheme="minorBidi"/>
                <w:b/>
                <w:color w:val="000000" w:themeColor="text2"/>
                <w:sz w:val="18"/>
                <w:szCs w:val="18"/>
                <w:lang w:val="en-US"/>
              </w:rPr>
              <w:t xml:space="preserve">/api/components/* </w:t>
            </w:r>
            <w:r w:rsidRPr="32028DFF">
              <w:rPr>
                <w:rFonts w:asciiTheme="minorHAnsi" w:eastAsiaTheme="minorEastAsia" w:hAnsiTheme="minorHAnsi" w:cstheme="minorBidi"/>
                <w:b/>
                <w:color w:val="000000" w:themeColor="text2"/>
                <w:sz w:val="18"/>
                <w:szCs w:val="18"/>
              </w:rPr>
              <w:t xml:space="preserve"> </w:t>
            </w:r>
          </w:p>
        </w:tc>
        <w:tc>
          <w:tcPr>
            <w:tcW w:w="3495" w:type="dxa"/>
            <w:tcBorders>
              <w:top w:val="nil"/>
              <w:left w:val="nil"/>
              <w:bottom w:val="nil"/>
              <w:right w:val="nil"/>
            </w:tcBorders>
            <w:shd w:val="clear" w:color="auto" w:fill="EDEDED"/>
          </w:tcPr>
          <w:p w14:paraId="7FA9BCA8" w14:textId="3E016642" w:rsidR="42CEAA7F" w:rsidRDefault="42CEAA7F" w:rsidP="42CEAA7F">
            <w:pPr>
              <w:spacing w:after="160" w:line="257" w:lineRule="auto"/>
              <w:rPr>
                <w:rFonts w:asciiTheme="minorHAnsi" w:eastAsiaTheme="minorEastAsia" w:hAnsiTheme="minorHAnsi" w:cstheme="minorBidi"/>
                <w:color w:val="000000" w:themeColor="text2"/>
                <w:sz w:val="18"/>
                <w:szCs w:val="18"/>
              </w:rPr>
            </w:pPr>
            <w:r w:rsidRPr="32028DFF">
              <w:rPr>
                <w:rFonts w:asciiTheme="minorHAnsi" w:eastAsiaTheme="minorEastAsia" w:hAnsiTheme="minorHAnsi" w:cstheme="minorBidi"/>
                <w:color w:val="000000" w:themeColor="text2"/>
                <w:sz w:val="18"/>
                <w:szCs w:val="18"/>
                <w:lang w:val="en-US"/>
              </w:rPr>
              <w:t>State retrieval and component discovery</w:t>
            </w:r>
            <w:r w:rsidRPr="32028DFF">
              <w:rPr>
                <w:rFonts w:asciiTheme="minorHAnsi" w:eastAsiaTheme="minorEastAsia" w:hAnsiTheme="minorHAnsi" w:cstheme="minorBidi"/>
                <w:color w:val="000000" w:themeColor="text2"/>
                <w:sz w:val="18"/>
                <w:szCs w:val="18"/>
              </w:rPr>
              <w:t xml:space="preserve"> </w:t>
            </w:r>
          </w:p>
        </w:tc>
        <w:tc>
          <w:tcPr>
            <w:tcW w:w="4200" w:type="dxa"/>
            <w:tcBorders>
              <w:top w:val="nil"/>
              <w:left w:val="nil"/>
              <w:bottom w:val="nil"/>
              <w:right w:val="nil"/>
            </w:tcBorders>
            <w:shd w:val="clear" w:color="auto" w:fill="EDEDED"/>
          </w:tcPr>
          <w:p w14:paraId="7E688C97" w14:textId="69624CB5" w:rsidR="42CEAA7F" w:rsidRDefault="42CEAA7F" w:rsidP="42CEAA7F">
            <w:pPr>
              <w:spacing w:after="160" w:line="257" w:lineRule="auto"/>
              <w:rPr>
                <w:rFonts w:asciiTheme="minorHAnsi" w:eastAsiaTheme="minorEastAsia" w:hAnsiTheme="minorHAnsi" w:cstheme="minorBidi"/>
                <w:color w:val="000000" w:themeColor="text2"/>
                <w:sz w:val="18"/>
                <w:szCs w:val="18"/>
              </w:rPr>
            </w:pPr>
            <w:r w:rsidRPr="32028DFF">
              <w:rPr>
                <w:rFonts w:asciiTheme="minorHAnsi" w:eastAsiaTheme="minorEastAsia" w:hAnsiTheme="minorHAnsi" w:cstheme="minorBidi"/>
                <w:color w:val="000000" w:themeColor="text2"/>
                <w:sz w:val="18"/>
                <w:szCs w:val="18"/>
                <w:lang w:val="en-US"/>
              </w:rPr>
              <w:t>GET /evs, GET /stations, GET</w:t>
            </w:r>
            <w:r w:rsidRPr="32028DFF">
              <w:rPr>
                <w:rFonts w:asciiTheme="minorHAnsi" w:eastAsiaTheme="minorEastAsia" w:hAnsiTheme="minorHAnsi" w:cstheme="minorBidi"/>
                <w:color w:val="000000" w:themeColor="text2"/>
                <w:sz w:val="18"/>
                <w:szCs w:val="18"/>
              </w:rPr>
              <w:t xml:space="preserve"> </w:t>
            </w:r>
            <w:r w:rsidRPr="32028DFF">
              <w:rPr>
                <w:rFonts w:asciiTheme="minorHAnsi" w:eastAsiaTheme="minorEastAsia" w:hAnsiTheme="minorHAnsi" w:cstheme="minorBidi"/>
                <w:color w:val="000000" w:themeColor="text2"/>
                <w:sz w:val="18"/>
                <w:szCs w:val="18"/>
                <w:lang w:val="en-US"/>
              </w:rPr>
              <w:t>/grid, GET /tsm</w:t>
            </w:r>
            <w:r w:rsidRPr="32028DFF">
              <w:rPr>
                <w:rFonts w:asciiTheme="minorHAnsi" w:eastAsiaTheme="minorEastAsia" w:hAnsiTheme="minorHAnsi" w:cstheme="minorBidi"/>
                <w:color w:val="000000" w:themeColor="text2"/>
                <w:sz w:val="18"/>
                <w:szCs w:val="18"/>
              </w:rPr>
              <w:t xml:space="preserve"> </w:t>
            </w:r>
          </w:p>
        </w:tc>
      </w:tr>
      <w:tr w:rsidR="42CEAA7F" w14:paraId="054FD2A6" w14:textId="77777777" w:rsidTr="3A8115EB">
        <w:trPr>
          <w:trHeight w:val="480"/>
        </w:trPr>
        <w:tc>
          <w:tcPr>
            <w:tcW w:w="1890" w:type="dxa"/>
            <w:tcBorders>
              <w:top w:val="nil"/>
              <w:left w:val="nil"/>
              <w:bottom w:val="nil"/>
              <w:right w:val="nil"/>
            </w:tcBorders>
          </w:tcPr>
          <w:p w14:paraId="005E5CF6" w14:textId="11CC2E0D" w:rsidR="42CEAA7F" w:rsidRDefault="42CEAA7F" w:rsidP="42CEAA7F">
            <w:pPr>
              <w:spacing w:after="160" w:line="257" w:lineRule="auto"/>
              <w:rPr>
                <w:rFonts w:asciiTheme="minorHAnsi" w:eastAsiaTheme="minorEastAsia" w:hAnsiTheme="minorHAnsi" w:cstheme="minorBidi"/>
                <w:b/>
                <w:sz w:val="18"/>
                <w:szCs w:val="18"/>
              </w:rPr>
            </w:pPr>
            <w:r w:rsidRPr="32028DFF">
              <w:rPr>
                <w:rFonts w:asciiTheme="minorHAnsi" w:eastAsiaTheme="minorEastAsia" w:hAnsiTheme="minorHAnsi" w:cstheme="minorBidi"/>
                <w:b/>
                <w:sz w:val="18"/>
                <w:szCs w:val="18"/>
                <w:lang w:val="en-US"/>
              </w:rPr>
              <w:t xml:space="preserve">/api/simulate/* </w:t>
            </w:r>
            <w:r w:rsidRPr="32028DFF">
              <w:rPr>
                <w:rFonts w:asciiTheme="minorHAnsi" w:eastAsiaTheme="minorEastAsia" w:hAnsiTheme="minorHAnsi" w:cstheme="minorBidi"/>
                <w:b/>
                <w:sz w:val="18"/>
                <w:szCs w:val="18"/>
              </w:rPr>
              <w:t xml:space="preserve"> </w:t>
            </w:r>
          </w:p>
        </w:tc>
        <w:tc>
          <w:tcPr>
            <w:tcW w:w="3495" w:type="dxa"/>
            <w:tcBorders>
              <w:top w:val="nil"/>
              <w:left w:val="nil"/>
              <w:bottom w:val="nil"/>
              <w:right w:val="nil"/>
            </w:tcBorders>
          </w:tcPr>
          <w:p w14:paraId="41D16628" w14:textId="69EB8331" w:rsidR="42CEAA7F" w:rsidRDefault="42CEAA7F" w:rsidP="42CEAA7F">
            <w:pPr>
              <w:spacing w:after="160" w:line="257" w:lineRule="auto"/>
              <w:rPr>
                <w:rFonts w:asciiTheme="minorHAnsi" w:eastAsiaTheme="minorEastAsia" w:hAnsiTheme="minorHAnsi" w:cstheme="minorBidi"/>
                <w:sz w:val="18"/>
                <w:szCs w:val="18"/>
              </w:rPr>
            </w:pPr>
            <w:r w:rsidRPr="32028DFF">
              <w:rPr>
                <w:rFonts w:asciiTheme="minorHAnsi" w:eastAsiaTheme="minorEastAsia" w:hAnsiTheme="minorHAnsi" w:cstheme="minorBidi"/>
                <w:sz w:val="18"/>
                <w:szCs w:val="18"/>
                <w:lang w:val="en"/>
              </w:rPr>
              <w:t xml:space="preserve">Simulation control and operation </w:t>
            </w:r>
            <w:r w:rsidRPr="32028DFF">
              <w:rPr>
                <w:rFonts w:asciiTheme="minorHAnsi" w:eastAsiaTheme="minorEastAsia" w:hAnsiTheme="minorHAnsi" w:cstheme="minorBidi"/>
                <w:sz w:val="18"/>
                <w:szCs w:val="18"/>
              </w:rPr>
              <w:t xml:space="preserve"> </w:t>
            </w:r>
          </w:p>
        </w:tc>
        <w:tc>
          <w:tcPr>
            <w:tcW w:w="4200" w:type="dxa"/>
            <w:tcBorders>
              <w:top w:val="nil"/>
              <w:left w:val="nil"/>
              <w:bottom w:val="nil"/>
              <w:right w:val="nil"/>
            </w:tcBorders>
          </w:tcPr>
          <w:p w14:paraId="4FEF6D65" w14:textId="4BB6F47A" w:rsidR="42CEAA7F" w:rsidRDefault="42CEAA7F" w:rsidP="42CEAA7F">
            <w:pPr>
              <w:spacing w:after="160" w:line="257" w:lineRule="auto"/>
              <w:rPr>
                <w:rFonts w:asciiTheme="minorHAnsi" w:eastAsiaTheme="minorEastAsia" w:hAnsiTheme="minorHAnsi" w:cstheme="minorBidi"/>
                <w:sz w:val="18"/>
                <w:szCs w:val="18"/>
              </w:rPr>
            </w:pPr>
            <w:r w:rsidRPr="32028DFF">
              <w:rPr>
                <w:rFonts w:asciiTheme="minorHAnsi" w:eastAsiaTheme="minorEastAsia" w:hAnsiTheme="minorHAnsi" w:cstheme="minorBidi"/>
                <w:sz w:val="18"/>
                <w:szCs w:val="18"/>
                <w:lang w:val="en-US"/>
              </w:rPr>
              <w:t>POST /connect-ev, POST</w:t>
            </w:r>
            <w:r w:rsidRPr="32028DFF">
              <w:rPr>
                <w:rFonts w:asciiTheme="minorHAnsi" w:eastAsiaTheme="minorEastAsia" w:hAnsiTheme="minorHAnsi" w:cstheme="minorBidi"/>
                <w:sz w:val="18"/>
                <w:szCs w:val="18"/>
              </w:rPr>
              <w:t xml:space="preserve"> </w:t>
            </w:r>
            <w:r w:rsidRPr="1E47F881">
              <w:rPr>
                <w:rFonts w:asciiTheme="minorHAnsi" w:eastAsiaTheme="minorEastAsia" w:hAnsiTheme="minorHAnsi" w:cstheme="minorBidi"/>
                <w:sz w:val="18"/>
                <w:szCs w:val="18"/>
                <w:lang w:val="en-US"/>
              </w:rPr>
              <w:t>/start-charging/{ev id}, POST</w:t>
            </w:r>
            <w:r w:rsidRPr="1E47F881">
              <w:rPr>
                <w:rFonts w:asciiTheme="minorHAnsi" w:eastAsiaTheme="minorEastAsia" w:hAnsiTheme="minorHAnsi" w:cstheme="minorBidi"/>
                <w:sz w:val="18"/>
                <w:szCs w:val="18"/>
              </w:rPr>
              <w:t xml:space="preserve"> </w:t>
            </w:r>
            <w:r w:rsidRPr="32028DFF">
              <w:rPr>
                <w:rFonts w:asciiTheme="minorHAnsi" w:eastAsiaTheme="minorEastAsia" w:hAnsiTheme="minorHAnsi" w:cstheme="minorBidi"/>
                <w:sz w:val="18"/>
                <w:szCs w:val="18"/>
                <w:lang w:val="en-US"/>
              </w:rPr>
              <w:t>/reboot</w:t>
            </w:r>
            <w:r w:rsidRPr="32028DFF">
              <w:rPr>
                <w:rFonts w:asciiTheme="minorHAnsi" w:eastAsiaTheme="minorEastAsia" w:hAnsiTheme="minorHAnsi" w:cstheme="minorBidi"/>
                <w:sz w:val="18"/>
                <w:szCs w:val="18"/>
              </w:rPr>
              <w:t xml:space="preserve"> </w:t>
            </w:r>
          </w:p>
        </w:tc>
      </w:tr>
      <w:tr w:rsidR="42CEAA7F" w14:paraId="24EF0C5C" w14:textId="77777777" w:rsidTr="3A8115EB">
        <w:trPr>
          <w:trHeight w:val="480"/>
        </w:trPr>
        <w:tc>
          <w:tcPr>
            <w:tcW w:w="1890" w:type="dxa"/>
            <w:tcBorders>
              <w:top w:val="nil"/>
              <w:left w:val="nil"/>
              <w:bottom w:val="nil"/>
              <w:right w:val="nil"/>
            </w:tcBorders>
            <w:shd w:val="clear" w:color="auto" w:fill="EDEDED"/>
          </w:tcPr>
          <w:p w14:paraId="2279D88A" w14:textId="502BC15A" w:rsidR="42CEAA7F" w:rsidRDefault="42CEAA7F" w:rsidP="42CEAA7F">
            <w:pPr>
              <w:spacing w:after="160" w:line="257" w:lineRule="auto"/>
              <w:rPr>
                <w:rFonts w:asciiTheme="minorHAnsi" w:eastAsiaTheme="minorEastAsia" w:hAnsiTheme="minorHAnsi" w:cstheme="minorBidi"/>
                <w:b/>
                <w:color w:val="000000" w:themeColor="text2"/>
                <w:sz w:val="18"/>
                <w:szCs w:val="18"/>
              </w:rPr>
            </w:pPr>
            <w:r w:rsidRPr="32028DFF">
              <w:rPr>
                <w:rFonts w:asciiTheme="minorHAnsi" w:eastAsiaTheme="minorEastAsia" w:hAnsiTheme="minorHAnsi" w:cstheme="minorBidi"/>
                <w:b/>
                <w:color w:val="000000" w:themeColor="text2"/>
                <w:sz w:val="18"/>
                <w:szCs w:val="18"/>
                <w:lang w:val="en-US"/>
              </w:rPr>
              <w:t xml:space="preserve">/api/tsm/* </w:t>
            </w:r>
            <w:r w:rsidRPr="32028DFF">
              <w:rPr>
                <w:rFonts w:asciiTheme="minorHAnsi" w:eastAsiaTheme="minorEastAsia" w:hAnsiTheme="minorHAnsi" w:cstheme="minorBidi"/>
                <w:b/>
                <w:color w:val="000000" w:themeColor="text2"/>
                <w:sz w:val="18"/>
                <w:szCs w:val="18"/>
              </w:rPr>
              <w:t xml:space="preserve"> </w:t>
            </w:r>
          </w:p>
        </w:tc>
        <w:tc>
          <w:tcPr>
            <w:tcW w:w="3495" w:type="dxa"/>
            <w:tcBorders>
              <w:top w:val="nil"/>
              <w:left w:val="nil"/>
              <w:bottom w:val="nil"/>
              <w:right w:val="nil"/>
            </w:tcBorders>
            <w:shd w:val="clear" w:color="auto" w:fill="EDEDED"/>
          </w:tcPr>
          <w:p w14:paraId="511D5E25" w14:textId="029C10F6" w:rsidR="42CEAA7F" w:rsidRDefault="42CEAA7F" w:rsidP="42CEAA7F">
            <w:pPr>
              <w:spacing w:after="160" w:line="257" w:lineRule="auto"/>
              <w:rPr>
                <w:rFonts w:asciiTheme="minorHAnsi" w:eastAsiaTheme="minorEastAsia" w:hAnsiTheme="minorHAnsi" w:cstheme="minorBidi"/>
                <w:color w:val="000000" w:themeColor="text2"/>
                <w:sz w:val="18"/>
                <w:szCs w:val="18"/>
              </w:rPr>
            </w:pPr>
            <w:r w:rsidRPr="32028DFF">
              <w:rPr>
                <w:rFonts w:asciiTheme="minorHAnsi" w:eastAsiaTheme="minorEastAsia" w:hAnsiTheme="minorHAnsi" w:cstheme="minorBidi"/>
                <w:color w:val="000000" w:themeColor="text2"/>
                <w:sz w:val="18"/>
                <w:szCs w:val="18"/>
                <w:lang w:val="en"/>
              </w:rPr>
              <w:t>Grid metrics, validations, and use case</w:t>
            </w:r>
            <w:r w:rsidRPr="32028DFF">
              <w:rPr>
                <w:rFonts w:asciiTheme="minorHAnsi" w:eastAsiaTheme="minorEastAsia" w:hAnsiTheme="minorHAnsi" w:cstheme="minorBidi"/>
                <w:color w:val="000000" w:themeColor="text2"/>
                <w:sz w:val="18"/>
                <w:szCs w:val="18"/>
              </w:rPr>
              <w:t xml:space="preserve"> </w:t>
            </w:r>
            <w:r w:rsidR="6A9DC14A" w:rsidRPr="32028DFF">
              <w:rPr>
                <w:rFonts w:asciiTheme="minorHAnsi" w:eastAsiaTheme="minorEastAsia" w:hAnsiTheme="minorHAnsi" w:cstheme="minorBidi"/>
                <w:color w:val="000000" w:themeColor="text2"/>
                <w:sz w:val="18"/>
                <w:szCs w:val="18"/>
              </w:rPr>
              <w:t xml:space="preserve"> </w:t>
            </w:r>
            <w:r w:rsidRPr="32028DFF">
              <w:rPr>
                <w:rFonts w:asciiTheme="minorHAnsi" w:eastAsiaTheme="minorEastAsia" w:hAnsiTheme="minorHAnsi" w:cstheme="minorBidi"/>
                <w:color w:val="000000" w:themeColor="text2"/>
                <w:sz w:val="18"/>
                <w:szCs w:val="18"/>
                <w:lang w:val="en"/>
              </w:rPr>
              <w:t>scenarios</w:t>
            </w:r>
            <w:r w:rsidRPr="32028DFF">
              <w:rPr>
                <w:rFonts w:asciiTheme="minorHAnsi" w:eastAsiaTheme="minorEastAsia" w:hAnsiTheme="minorHAnsi" w:cstheme="minorBidi"/>
                <w:color w:val="000000" w:themeColor="text2"/>
                <w:sz w:val="18"/>
                <w:szCs w:val="18"/>
              </w:rPr>
              <w:t xml:space="preserve"> </w:t>
            </w:r>
          </w:p>
        </w:tc>
        <w:tc>
          <w:tcPr>
            <w:tcW w:w="4200" w:type="dxa"/>
            <w:tcBorders>
              <w:top w:val="nil"/>
              <w:left w:val="nil"/>
              <w:bottom w:val="nil"/>
              <w:right w:val="nil"/>
            </w:tcBorders>
            <w:shd w:val="clear" w:color="auto" w:fill="EDEDED"/>
          </w:tcPr>
          <w:p w14:paraId="1C3B468B" w14:textId="61754261" w:rsidR="42CEAA7F" w:rsidRDefault="42CEAA7F" w:rsidP="42CEAA7F">
            <w:pPr>
              <w:spacing w:after="160" w:line="257" w:lineRule="auto"/>
              <w:rPr>
                <w:rFonts w:asciiTheme="minorHAnsi" w:eastAsiaTheme="minorEastAsia" w:hAnsiTheme="minorHAnsi" w:cstheme="minorBidi"/>
                <w:color w:val="000000" w:themeColor="text2"/>
                <w:sz w:val="18"/>
                <w:szCs w:val="18"/>
              </w:rPr>
            </w:pPr>
            <w:r w:rsidRPr="32028DFF">
              <w:rPr>
                <w:rFonts w:asciiTheme="minorHAnsi" w:eastAsiaTheme="minorEastAsia" w:hAnsiTheme="minorHAnsi" w:cstheme="minorBidi"/>
                <w:color w:val="000000" w:themeColor="text2"/>
                <w:sz w:val="18"/>
                <w:szCs w:val="18"/>
                <w:lang w:val="en-US"/>
              </w:rPr>
              <w:t>GET /status, POST /toggle, GET</w:t>
            </w:r>
            <w:r w:rsidRPr="32028DFF">
              <w:rPr>
                <w:rFonts w:asciiTheme="minorHAnsi" w:eastAsiaTheme="minorEastAsia" w:hAnsiTheme="minorHAnsi" w:cstheme="minorBidi"/>
                <w:color w:val="000000" w:themeColor="text2"/>
                <w:sz w:val="18"/>
                <w:szCs w:val="18"/>
              </w:rPr>
              <w:t xml:space="preserve"> </w:t>
            </w:r>
            <w:r w:rsidRPr="32028DFF">
              <w:rPr>
                <w:rFonts w:asciiTheme="minorHAnsi" w:eastAsiaTheme="minorEastAsia" w:hAnsiTheme="minorHAnsi" w:cstheme="minorBidi"/>
                <w:color w:val="000000" w:themeColor="text2"/>
                <w:sz w:val="18"/>
                <w:szCs w:val="18"/>
                <w:lang w:val="en-US"/>
              </w:rPr>
              <w:t>/latency-timeseries</w:t>
            </w:r>
            <w:r w:rsidRPr="32028DFF">
              <w:rPr>
                <w:rFonts w:asciiTheme="minorHAnsi" w:eastAsiaTheme="minorEastAsia" w:hAnsiTheme="minorHAnsi" w:cstheme="minorBidi"/>
                <w:color w:val="000000" w:themeColor="text2"/>
                <w:sz w:val="18"/>
                <w:szCs w:val="18"/>
              </w:rPr>
              <w:t xml:space="preserve"> </w:t>
            </w:r>
          </w:p>
        </w:tc>
      </w:tr>
      <w:tr w:rsidR="42CEAA7F" w14:paraId="396CB0A4" w14:textId="77777777" w:rsidTr="3A8115EB">
        <w:trPr>
          <w:trHeight w:val="480"/>
        </w:trPr>
        <w:tc>
          <w:tcPr>
            <w:tcW w:w="1890" w:type="dxa"/>
            <w:tcBorders>
              <w:top w:val="nil"/>
              <w:left w:val="nil"/>
              <w:bottom w:val="nil"/>
              <w:right w:val="nil"/>
            </w:tcBorders>
          </w:tcPr>
          <w:p w14:paraId="3BF20253" w14:textId="7385104D" w:rsidR="42CEAA7F" w:rsidRDefault="42CEAA7F" w:rsidP="42CEAA7F">
            <w:pPr>
              <w:spacing w:after="160" w:line="257" w:lineRule="auto"/>
              <w:rPr>
                <w:rFonts w:asciiTheme="minorHAnsi" w:eastAsiaTheme="minorEastAsia" w:hAnsiTheme="minorHAnsi" w:cstheme="minorBidi"/>
                <w:b/>
                <w:sz w:val="18"/>
                <w:szCs w:val="18"/>
              </w:rPr>
            </w:pPr>
            <w:r w:rsidRPr="32028DFF">
              <w:rPr>
                <w:rFonts w:asciiTheme="minorHAnsi" w:eastAsiaTheme="minorEastAsia" w:hAnsiTheme="minorHAnsi" w:cstheme="minorBidi"/>
                <w:b/>
                <w:sz w:val="18"/>
                <w:szCs w:val="18"/>
                <w:lang w:val="en-US"/>
              </w:rPr>
              <w:t xml:space="preserve">/api/grid/* </w:t>
            </w:r>
            <w:r w:rsidRPr="32028DFF">
              <w:rPr>
                <w:rFonts w:asciiTheme="minorHAnsi" w:eastAsiaTheme="minorEastAsia" w:hAnsiTheme="minorHAnsi" w:cstheme="minorBidi"/>
                <w:b/>
                <w:sz w:val="18"/>
                <w:szCs w:val="18"/>
              </w:rPr>
              <w:t xml:space="preserve"> </w:t>
            </w:r>
          </w:p>
        </w:tc>
        <w:tc>
          <w:tcPr>
            <w:tcW w:w="3495" w:type="dxa"/>
            <w:tcBorders>
              <w:top w:val="nil"/>
              <w:left w:val="nil"/>
              <w:bottom w:val="nil"/>
              <w:right w:val="nil"/>
            </w:tcBorders>
          </w:tcPr>
          <w:p w14:paraId="0473096E" w14:textId="23D17BE3" w:rsidR="42CEAA7F" w:rsidRDefault="42CEAA7F" w:rsidP="42CEAA7F">
            <w:pPr>
              <w:spacing w:after="160" w:line="257" w:lineRule="auto"/>
              <w:rPr>
                <w:rFonts w:asciiTheme="minorHAnsi" w:eastAsiaTheme="minorEastAsia" w:hAnsiTheme="minorHAnsi" w:cstheme="minorBidi"/>
                <w:sz w:val="18"/>
                <w:szCs w:val="18"/>
              </w:rPr>
            </w:pPr>
            <w:r w:rsidRPr="32028DFF">
              <w:rPr>
                <w:rFonts w:asciiTheme="minorHAnsi" w:eastAsiaTheme="minorEastAsia" w:hAnsiTheme="minorHAnsi" w:cstheme="minorBidi"/>
                <w:sz w:val="18"/>
                <w:szCs w:val="18"/>
                <w:lang w:val="en"/>
              </w:rPr>
              <w:t>Grid metrics, validations, and use case</w:t>
            </w:r>
            <w:r w:rsidRPr="32028DFF">
              <w:rPr>
                <w:rFonts w:asciiTheme="minorHAnsi" w:eastAsiaTheme="minorEastAsia" w:hAnsiTheme="minorHAnsi" w:cstheme="minorBidi"/>
                <w:sz w:val="18"/>
                <w:szCs w:val="18"/>
              </w:rPr>
              <w:t xml:space="preserve"> </w:t>
            </w:r>
            <w:r w:rsidR="3E5CCE2E" w:rsidRPr="32028DFF">
              <w:rPr>
                <w:rFonts w:asciiTheme="minorHAnsi" w:eastAsiaTheme="minorEastAsia" w:hAnsiTheme="minorHAnsi" w:cstheme="minorBidi"/>
                <w:sz w:val="18"/>
                <w:szCs w:val="18"/>
              </w:rPr>
              <w:t xml:space="preserve"> </w:t>
            </w:r>
            <w:r w:rsidRPr="32028DFF">
              <w:rPr>
                <w:rFonts w:asciiTheme="minorHAnsi" w:eastAsiaTheme="minorEastAsia" w:hAnsiTheme="minorHAnsi" w:cstheme="minorBidi"/>
                <w:sz w:val="18"/>
                <w:szCs w:val="18"/>
                <w:lang w:val="en"/>
              </w:rPr>
              <w:t>scenarios</w:t>
            </w:r>
            <w:r w:rsidRPr="32028DFF">
              <w:rPr>
                <w:rFonts w:asciiTheme="minorHAnsi" w:eastAsiaTheme="minorEastAsia" w:hAnsiTheme="minorHAnsi" w:cstheme="minorBidi"/>
                <w:sz w:val="18"/>
                <w:szCs w:val="18"/>
              </w:rPr>
              <w:t xml:space="preserve"> </w:t>
            </w:r>
          </w:p>
        </w:tc>
        <w:tc>
          <w:tcPr>
            <w:tcW w:w="4200" w:type="dxa"/>
            <w:tcBorders>
              <w:top w:val="nil"/>
              <w:left w:val="nil"/>
              <w:bottom w:val="nil"/>
              <w:right w:val="nil"/>
            </w:tcBorders>
          </w:tcPr>
          <w:p w14:paraId="1DE9188B" w14:textId="1F607F74" w:rsidR="42CEAA7F" w:rsidRDefault="42CEAA7F" w:rsidP="42CEAA7F">
            <w:pPr>
              <w:spacing w:after="160" w:line="257" w:lineRule="auto"/>
              <w:rPr>
                <w:rFonts w:asciiTheme="minorHAnsi" w:eastAsiaTheme="minorEastAsia" w:hAnsiTheme="minorHAnsi" w:cstheme="minorBidi"/>
                <w:sz w:val="18"/>
                <w:szCs w:val="18"/>
              </w:rPr>
            </w:pPr>
            <w:r w:rsidRPr="32028DFF">
              <w:rPr>
                <w:rFonts w:asciiTheme="minorHAnsi" w:eastAsiaTheme="minorEastAsia" w:hAnsiTheme="minorHAnsi" w:cstheme="minorBidi"/>
                <w:sz w:val="18"/>
                <w:szCs w:val="18"/>
                <w:lang w:val="en-US"/>
              </w:rPr>
              <w:t>GET /metrics, GET /history, POST</w:t>
            </w:r>
            <w:r w:rsidRPr="32028DFF">
              <w:rPr>
                <w:rFonts w:asciiTheme="minorHAnsi" w:eastAsiaTheme="minorEastAsia" w:hAnsiTheme="minorHAnsi" w:cstheme="minorBidi"/>
                <w:sz w:val="18"/>
                <w:szCs w:val="18"/>
              </w:rPr>
              <w:t xml:space="preserve"> </w:t>
            </w:r>
            <w:r w:rsidR="4AA35310" w:rsidRPr="32028DFF">
              <w:rPr>
                <w:rFonts w:asciiTheme="minorHAnsi" w:eastAsiaTheme="minorEastAsia" w:hAnsiTheme="minorHAnsi" w:cstheme="minorBidi"/>
                <w:sz w:val="18"/>
                <w:szCs w:val="18"/>
              </w:rPr>
              <w:t xml:space="preserve"> </w:t>
            </w:r>
            <w:r w:rsidRPr="32028DFF">
              <w:rPr>
                <w:rFonts w:asciiTheme="minorHAnsi" w:eastAsiaTheme="minorEastAsia" w:hAnsiTheme="minorHAnsi" w:cstheme="minorBidi"/>
                <w:sz w:val="18"/>
                <w:szCs w:val="18"/>
                <w:lang w:val="en-US"/>
              </w:rPr>
              <w:t>/use-case/v2g-discharge</w:t>
            </w:r>
            <w:r w:rsidRPr="32028DFF">
              <w:rPr>
                <w:rFonts w:asciiTheme="minorHAnsi" w:eastAsiaTheme="minorEastAsia" w:hAnsiTheme="minorHAnsi" w:cstheme="minorBidi"/>
                <w:sz w:val="18"/>
                <w:szCs w:val="18"/>
              </w:rPr>
              <w:t xml:space="preserve"> </w:t>
            </w:r>
          </w:p>
        </w:tc>
      </w:tr>
      <w:tr w:rsidR="42CEAA7F" w14:paraId="0ACAA2EC" w14:textId="77777777" w:rsidTr="3A8115EB">
        <w:trPr>
          <w:trHeight w:val="480"/>
        </w:trPr>
        <w:tc>
          <w:tcPr>
            <w:tcW w:w="1890" w:type="dxa"/>
            <w:tcBorders>
              <w:top w:val="nil"/>
              <w:left w:val="nil"/>
              <w:bottom w:val="nil"/>
              <w:right w:val="nil"/>
            </w:tcBorders>
            <w:shd w:val="clear" w:color="auto" w:fill="EDEDED"/>
          </w:tcPr>
          <w:p w14:paraId="3299CECE" w14:textId="45BF111D" w:rsidR="42CEAA7F" w:rsidRDefault="42CEAA7F" w:rsidP="42CEAA7F">
            <w:pPr>
              <w:spacing w:after="160" w:line="257" w:lineRule="auto"/>
              <w:rPr>
                <w:rFonts w:asciiTheme="minorHAnsi" w:eastAsiaTheme="minorEastAsia" w:hAnsiTheme="minorHAnsi" w:cstheme="minorBidi"/>
                <w:b/>
                <w:color w:val="000000" w:themeColor="text2"/>
                <w:sz w:val="18"/>
                <w:szCs w:val="18"/>
              </w:rPr>
            </w:pPr>
            <w:r w:rsidRPr="32028DFF">
              <w:rPr>
                <w:rFonts w:asciiTheme="minorHAnsi" w:eastAsiaTheme="minorEastAsia" w:hAnsiTheme="minorHAnsi" w:cstheme="minorBidi"/>
                <w:b/>
                <w:color w:val="000000" w:themeColor="text2"/>
                <w:sz w:val="18"/>
                <w:szCs w:val="18"/>
                <w:lang w:val="en-US"/>
              </w:rPr>
              <w:t xml:space="preserve">/api/audit/* </w:t>
            </w:r>
            <w:r w:rsidRPr="32028DFF">
              <w:rPr>
                <w:rFonts w:asciiTheme="minorHAnsi" w:eastAsiaTheme="minorEastAsia" w:hAnsiTheme="minorHAnsi" w:cstheme="minorBidi"/>
                <w:b/>
                <w:color w:val="000000" w:themeColor="text2"/>
                <w:sz w:val="18"/>
                <w:szCs w:val="18"/>
              </w:rPr>
              <w:t xml:space="preserve"> </w:t>
            </w:r>
          </w:p>
        </w:tc>
        <w:tc>
          <w:tcPr>
            <w:tcW w:w="3495" w:type="dxa"/>
            <w:tcBorders>
              <w:top w:val="nil"/>
              <w:left w:val="nil"/>
              <w:bottom w:val="nil"/>
              <w:right w:val="nil"/>
            </w:tcBorders>
            <w:shd w:val="clear" w:color="auto" w:fill="EDEDED"/>
          </w:tcPr>
          <w:p w14:paraId="69218716" w14:textId="443DA79C" w:rsidR="42CEAA7F" w:rsidRDefault="42CEAA7F" w:rsidP="42CEAA7F">
            <w:pPr>
              <w:spacing w:after="160" w:line="257" w:lineRule="auto"/>
              <w:rPr>
                <w:rFonts w:asciiTheme="minorHAnsi" w:eastAsiaTheme="minorEastAsia" w:hAnsiTheme="minorHAnsi" w:cstheme="minorBidi"/>
                <w:color w:val="000000" w:themeColor="text2"/>
                <w:sz w:val="18"/>
                <w:szCs w:val="18"/>
              </w:rPr>
            </w:pPr>
            <w:r w:rsidRPr="32028DFF">
              <w:rPr>
                <w:rFonts w:asciiTheme="minorHAnsi" w:eastAsiaTheme="minorEastAsia" w:hAnsiTheme="minorHAnsi" w:cstheme="minorBidi"/>
                <w:color w:val="000000" w:themeColor="text2"/>
                <w:sz w:val="18"/>
                <w:szCs w:val="18"/>
                <w:lang w:val="en"/>
              </w:rPr>
              <w:t>Exporting and auditing of log retrievals</w:t>
            </w:r>
            <w:r w:rsidRPr="32028DFF">
              <w:rPr>
                <w:rFonts w:asciiTheme="minorHAnsi" w:eastAsiaTheme="minorEastAsia" w:hAnsiTheme="minorHAnsi" w:cstheme="minorBidi"/>
                <w:color w:val="000000" w:themeColor="text2"/>
                <w:sz w:val="18"/>
                <w:szCs w:val="18"/>
              </w:rPr>
              <w:t xml:space="preserve"> </w:t>
            </w:r>
          </w:p>
        </w:tc>
        <w:tc>
          <w:tcPr>
            <w:tcW w:w="4200" w:type="dxa"/>
            <w:tcBorders>
              <w:top w:val="nil"/>
              <w:left w:val="nil"/>
              <w:bottom w:val="nil"/>
              <w:right w:val="nil"/>
            </w:tcBorders>
            <w:shd w:val="clear" w:color="auto" w:fill="EDEDED"/>
          </w:tcPr>
          <w:p w14:paraId="7654AFD0" w14:textId="17FDA7C0" w:rsidR="42CEAA7F" w:rsidRDefault="42CEAA7F" w:rsidP="42CEAA7F">
            <w:pPr>
              <w:spacing w:after="160" w:line="257" w:lineRule="auto"/>
              <w:rPr>
                <w:rFonts w:asciiTheme="minorHAnsi" w:eastAsiaTheme="minorEastAsia" w:hAnsiTheme="minorHAnsi" w:cstheme="minorBidi"/>
                <w:color w:val="000000" w:themeColor="text2"/>
                <w:sz w:val="18"/>
                <w:szCs w:val="18"/>
              </w:rPr>
            </w:pPr>
            <w:r w:rsidRPr="32028DFF">
              <w:rPr>
                <w:rFonts w:asciiTheme="minorHAnsi" w:eastAsiaTheme="minorEastAsia" w:hAnsiTheme="minorHAnsi" w:cstheme="minorBidi"/>
                <w:color w:val="000000" w:themeColor="text2"/>
                <w:sz w:val="18"/>
                <w:szCs w:val="18"/>
                <w:lang w:val="en"/>
              </w:rPr>
              <w:t>GET /log, GET /export/csv</w:t>
            </w:r>
            <w:r w:rsidRPr="32028DFF">
              <w:rPr>
                <w:rFonts w:asciiTheme="minorHAnsi" w:eastAsiaTheme="minorEastAsia" w:hAnsiTheme="minorHAnsi" w:cstheme="minorBidi"/>
                <w:color w:val="000000" w:themeColor="text2"/>
                <w:sz w:val="18"/>
                <w:szCs w:val="18"/>
              </w:rPr>
              <w:t xml:space="preserve"> </w:t>
            </w:r>
          </w:p>
        </w:tc>
      </w:tr>
      <w:tr w:rsidR="42CEAA7F" w14:paraId="72EE02C2" w14:textId="77777777" w:rsidTr="3A8115EB">
        <w:trPr>
          <w:trHeight w:val="480"/>
        </w:trPr>
        <w:tc>
          <w:tcPr>
            <w:tcW w:w="1890" w:type="dxa"/>
            <w:tcBorders>
              <w:top w:val="nil"/>
              <w:left w:val="nil"/>
              <w:bottom w:val="nil"/>
              <w:right w:val="nil"/>
            </w:tcBorders>
          </w:tcPr>
          <w:p w14:paraId="7F7397CB" w14:textId="2B41A093" w:rsidR="42CEAA7F" w:rsidRDefault="42CEAA7F" w:rsidP="42CEAA7F">
            <w:pPr>
              <w:spacing w:after="160" w:line="257" w:lineRule="auto"/>
              <w:rPr>
                <w:rFonts w:asciiTheme="minorHAnsi" w:eastAsiaTheme="minorEastAsia" w:hAnsiTheme="minorHAnsi" w:cstheme="minorBidi"/>
                <w:b/>
                <w:sz w:val="18"/>
                <w:szCs w:val="18"/>
              </w:rPr>
            </w:pPr>
            <w:r w:rsidRPr="32028DFF">
              <w:rPr>
                <w:rFonts w:asciiTheme="minorHAnsi" w:eastAsiaTheme="minorEastAsia" w:hAnsiTheme="minorHAnsi" w:cstheme="minorBidi"/>
                <w:b/>
                <w:sz w:val="18"/>
                <w:szCs w:val="18"/>
                <w:lang w:val="en-US"/>
              </w:rPr>
              <w:t xml:space="preserve">/api/verification/* </w:t>
            </w:r>
            <w:r w:rsidRPr="32028DFF">
              <w:rPr>
                <w:rFonts w:asciiTheme="minorHAnsi" w:eastAsiaTheme="minorEastAsia" w:hAnsiTheme="minorHAnsi" w:cstheme="minorBidi"/>
                <w:b/>
                <w:sz w:val="18"/>
                <w:szCs w:val="18"/>
              </w:rPr>
              <w:t xml:space="preserve"> </w:t>
            </w:r>
          </w:p>
        </w:tc>
        <w:tc>
          <w:tcPr>
            <w:tcW w:w="3495" w:type="dxa"/>
            <w:tcBorders>
              <w:top w:val="nil"/>
              <w:left w:val="nil"/>
              <w:bottom w:val="nil"/>
              <w:right w:val="nil"/>
            </w:tcBorders>
          </w:tcPr>
          <w:p w14:paraId="11C101E7" w14:textId="7179D4AF" w:rsidR="42CEAA7F" w:rsidRDefault="42CEAA7F" w:rsidP="42CEAA7F">
            <w:pPr>
              <w:spacing w:after="160" w:line="257" w:lineRule="auto"/>
              <w:rPr>
                <w:rFonts w:asciiTheme="minorHAnsi" w:eastAsiaTheme="minorEastAsia" w:hAnsiTheme="minorHAnsi" w:cstheme="minorBidi"/>
                <w:sz w:val="18"/>
                <w:szCs w:val="18"/>
              </w:rPr>
            </w:pPr>
            <w:r w:rsidRPr="32028DFF">
              <w:rPr>
                <w:rFonts w:asciiTheme="minorHAnsi" w:eastAsiaTheme="minorEastAsia" w:hAnsiTheme="minorHAnsi" w:cstheme="minorBidi"/>
                <w:sz w:val="18"/>
                <w:szCs w:val="18"/>
                <w:lang w:val="en"/>
              </w:rPr>
              <w:t>Test results and formal verifications</w:t>
            </w:r>
            <w:r w:rsidRPr="32028DFF">
              <w:rPr>
                <w:rFonts w:asciiTheme="minorHAnsi" w:eastAsiaTheme="minorEastAsia" w:hAnsiTheme="minorHAnsi" w:cstheme="minorBidi"/>
                <w:sz w:val="18"/>
                <w:szCs w:val="18"/>
              </w:rPr>
              <w:t xml:space="preserve"> </w:t>
            </w:r>
          </w:p>
        </w:tc>
        <w:tc>
          <w:tcPr>
            <w:tcW w:w="4200" w:type="dxa"/>
            <w:tcBorders>
              <w:top w:val="nil"/>
              <w:left w:val="nil"/>
              <w:bottom w:val="nil"/>
              <w:right w:val="nil"/>
            </w:tcBorders>
          </w:tcPr>
          <w:p w14:paraId="496657A9" w14:textId="60C08E9B" w:rsidR="42CEAA7F" w:rsidRDefault="42CEAA7F" w:rsidP="42CEAA7F">
            <w:pPr>
              <w:spacing w:after="160" w:line="257" w:lineRule="auto"/>
              <w:rPr>
                <w:rFonts w:asciiTheme="minorHAnsi" w:eastAsiaTheme="minorEastAsia" w:hAnsiTheme="minorHAnsi" w:cstheme="minorBidi"/>
                <w:sz w:val="18"/>
                <w:szCs w:val="18"/>
              </w:rPr>
            </w:pPr>
            <w:r w:rsidRPr="32028DFF">
              <w:rPr>
                <w:rFonts w:asciiTheme="minorHAnsi" w:eastAsiaTheme="minorEastAsia" w:hAnsiTheme="minorHAnsi" w:cstheme="minorBidi"/>
                <w:sz w:val="18"/>
                <w:szCs w:val="18"/>
                <w:lang w:val="en-US"/>
              </w:rPr>
              <w:t>GET /results, POST /run</w:t>
            </w:r>
            <w:r w:rsidRPr="32028DFF">
              <w:rPr>
                <w:rFonts w:asciiTheme="minorHAnsi" w:eastAsiaTheme="minorEastAsia" w:hAnsiTheme="minorHAnsi" w:cstheme="minorBidi"/>
                <w:sz w:val="18"/>
                <w:szCs w:val="18"/>
              </w:rPr>
              <w:t xml:space="preserve"> </w:t>
            </w:r>
          </w:p>
        </w:tc>
      </w:tr>
      <w:tr w:rsidR="42CEAA7F" w14:paraId="77E0141F" w14:textId="77777777" w:rsidTr="3A8115EB">
        <w:trPr>
          <w:trHeight w:val="480"/>
        </w:trPr>
        <w:tc>
          <w:tcPr>
            <w:tcW w:w="1890" w:type="dxa"/>
            <w:tcBorders>
              <w:top w:val="nil"/>
              <w:left w:val="nil"/>
              <w:bottom w:val="single" w:sz="8" w:space="0" w:color="auto"/>
              <w:right w:val="nil"/>
            </w:tcBorders>
            <w:shd w:val="clear" w:color="auto" w:fill="EDEDED"/>
          </w:tcPr>
          <w:p w14:paraId="32E913F1" w14:textId="002972D7" w:rsidR="42CEAA7F" w:rsidRDefault="42CEAA7F" w:rsidP="42CEAA7F">
            <w:pPr>
              <w:spacing w:after="160" w:line="257" w:lineRule="auto"/>
              <w:rPr>
                <w:rFonts w:asciiTheme="minorHAnsi" w:eastAsiaTheme="minorEastAsia" w:hAnsiTheme="minorHAnsi" w:cstheme="minorBidi"/>
                <w:b/>
                <w:color w:val="000000" w:themeColor="text2"/>
                <w:sz w:val="18"/>
                <w:szCs w:val="18"/>
              </w:rPr>
            </w:pPr>
            <w:r w:rsidRPr="32028DFF">
              <w:rPr>
                <w:rFonts w:asciiTheme="minorHAnsi" w:eastAsiaTheme="minorEastAsia" w:hAnsiTheme="minorHAnsi" w:cstheme="minorBidi"/>
                <w:b/>
                <w:color w:val="000000" w:themeColor="text2"/>
                <w:sz w:val="18"/>
                <w:szCs w:val="18"/>
                <w:lang w:val="en-US"/>
              </w:rPr>
              <w:t xml:space="preserve">/api/performance/* </w:t>
            </w:r>
            <w:r w:rsidRPr="32028DFF">
              <w:rPr>
                <w:rFonts w:asciiTheme="minorHAnsi" w:eastAsiaTheme="minorEastAsia" w:hAnsiTheme="minorHAnsi" w:cstheme="minorBidi"/>
                <w:b/>
                <w:color w:val="000000" w:themeColor="text2"/>
                <w:sz w:val="18"/>
                <w:szCs w:val="18"/>
              </w:rPr>
              <w:t xml:space="preserve"> </w:t>
            </w:r>
          </w:p>
        </w:tc>
        <w:tc>
          <w:tcPr>
            <w:tcW w:w="3495" w:type="dxa"/>
            <w:tcBorders>
              <w:top w:val="nil"/>
              <w:left w:val="nil"/>
              <w:bottom w:val="single" w:sz="8" w:space="0" w:color="auto"/>
              <w:right w:val="nil"/>
            </w:tcBorders>
            <w:shd w:val="clear" w:color="auto" w:fill="EDEDED"/>
          </w:tcPr>
          <w:p w14:paraId="7F32BC88" w14:textId="3F628116" w:rsidR="42CEAA7F" w:rsidRDefault="42CEAA7F" w:rsidP="42CEAA7F">
            <w:pPr>
              <w:spacing w:after="160" w:line="257" w:lineRule="auto"/>
              <w:rPr>
                <w:rFonts w:asciiTheme="minorHAnsi" w:eastAsiaTheme="minorEastAsia" w:hAnsiTheme="minorHAnsi" w:cstheme="minorBidi"/>
                <w:color w:val="000000" w:themeColor="text2"/>
                <w:sz w:val="18"/>
                <w:szCs w:val="18"/>
              </w:rPr>
            </w:pPr>
            <w:r w:rsidRPr="32028DFF">
              <w:rPr>
                <w:rFonts w:asciiTheme="minorHAnsi" w:eastAsiaTheme="minorEastAsia" w:hAnsiTheme="minorHAnsi" w:cstheme="minorBidi"/>
                <w:color w:val="000000" w:themeColor="text2"/>
                <w:sz w:val="18"/>
                <w:szCs w:val="18"/>
                <w:lang w:val="en"/>
              </w:rPr>
              <w:t>Overhead benchmarks for TSM</w:t>
            </w:r>
            <w:r w:rsidRPr="32028DFF">
              <w:rPr>
                <w:rFonts w:asciiTheme="minorHAnsi" w:eastAsiaTheme="minorEastAsia" w:hAnsiTheme="minorHAnsi" w:cstheme="minorBidi"/>
                <w:color w:val="000000" w:themeColor="text2"/>
                <w:sz w:val="18"/>
                <w:szCs w:val="18"/>
              </w:rPr>
              <w:t xml:space="preserve"> </w:t>
            </w:r>
          </w:p>
        </w:tc>
        <w:tc>
          <w:tcPr>
            <w:tcW w:w="4200" w:type="dxa"/>
            <w:tcBorders>
              <w:top w:val="nil"/>
              <w:left w:val="nil"/>
              <w:bottom w:val="single" w:sz="8" w:space="0" w:color="auto"/>
              <w:right w:val="nil"/>
            </w:tcBorders>
            <w:shd w:val="clear" w:color="auto" w:fill="EDEDED"/>
          </w:tcPr>
          <w:p w14:paraId="3C223EAB" w14:textId="54DD1B50" w:rsidR="42CEAA7F" w:rsidRDefault="42CEAA7F" w:rsidP="42CEAA7F">
            <w:pPr>
              <w:spacing w:after="160" w:line="257" w:lineRule="auto"/>
              <w:rPr>
                <w:rFonts w:asciiTheme="minorHAnsi" w:eastAsiaTheme="minorEastAsia" w:hAnsiTheme="minorHAnsi" w:cstheme="minorBidi"/>
                <w:color w:val="000000" w:themeColor="text2"/>
                <w:sz w:val="18"/>
                <w:szCs w:val="18"/>
              </w:rPr>
            </w:pPr>
            <w:r w:rsidRPr="32028DFF">
              <w:rPr>
                <w:rFonts w:asciiTheme="minorHAnsi" w:eastAsiaTheme="minorEastAsia" w:hAnsiTheme="minorHAnsi" w:cstheme="minorBidi"/>
                <w:color w:val="000000" w:themeColor="text2"/>
                <w:sz w:val="18"/>
                <w:szCs w:val="18"/>
                <w:lang w:val="en-US"/>
              </w:rPr>
              <w:t>GET /benchmarks, POST</w:t>
            </w:r>
            <w:r w:rsidRPr="32028DFF">
              <w:rPr>
                <w:rFonts w:asciiTheme="minorHAnsi" w:eastAsiaTheme="minorEastAsia" w:hAnsiTheme="minorHAnsi" w:cstheme="minorBidi"/>
                <w:color w:val="000000" w:themeColor="text2"/>
                <w:sz w:val="18"/>
                <w:szCs w:val="18"/>
              </w:rPr>
              <w:t xml:space="preserve"> </w:t>
            </w:r>
            <w:r w:rsidR="52694D1C" w:rsidRPr="32028DFF">
              <w:rPr>
                <w:rFonts w:asciiTheme="minorHAnsi" w:eastAsiaTheme="minorEastAsia" w:hAnsiTheme="minorHAnsi" w:cstheme="minorBidi"/>
                <w:color w:val="000000" w:themeColor="text2"/>
                <w:sz w:val="18"/>
                <w:szCs w:val="18"/>
              </w:rPr>
              <w:t xml:space="preserve"> </w:t>
            </w:r>
            <w:r w:rsidRPr="32028DFF">
              <w:rPr>
                <w:rFonts w:asciiTheme="minorHAnsi" w:eastAsiaTheme="minorEastAsia" w:hAnsiTheme="minorHAnsi" w:cstheme="minorBidi"/>
                <w:color w:val="000000" w:themeColor="text2"/>
                <w:sz w:val="18"/>
                <w:szCs w:val="18"/>
                <w:lang w:val="en-US"/>
              </w:rPr>
              <w:t>/run-benchmark</w:t>
            </w:r>
          </w:p>
        </w:tc>
      </w:tr>
    </w:tbl>
    <w:p w14:paraId="5DA07054" w14:textId="2444C4FE" w:rsidR="42CEAA7F" w:rsidRDefault="42CEAA7F" w:rsidP="42CEAA7F">
      <w:pPr>
        <w:spacing w:after="160" w:line="257" w:lineRule="auto"/>
        <w:jc w:val="both"/>
        <w:rPr>
          <w:rFonts w:asciiTheme="minorHAnsi" w:eastAsiaTheme="minorEastAsia" w:hAnsiTheme="minorHAnsi" w:cstheme="minorBidi"/>
          <w:lang w:val="en-GB"/>
        </w:rPr>
      </w:pPr>
    </w:p>
    <w:p w14:paraId="5084FCCC" w14:textId="6F9ABC12" w:rsidR="3F3DF4E1" w:rsidRDefault="3F3DF4E1" w:rsidP="625B0D3D">
      <w:pPr>
        <w:spacing w:after="160" w:line="257" w:lineRule="auto"/>
        <w:jc w:val="both"/>
        <w:rPr>
          <w:rFonts w:asciiTheme="minorHAnsi" w:eastAsiaTheme="minorEastAsia" w:hAnsiTheme="minorHAnsi" w:cstheme="minorBidi"/>
          <w:sz w:val="24"/>
          <w:szCs w:val="24"/>
          <w:lang w:val="en-GB"/>
        </w:rPr>
      </w:pPr>
      <w:r w:rsidRPr="15F0334A">
        <w:rPr>
          <w:rFonts w:asciiTheme="minorHAnsi" w:eastAsiaTheme="minorEastAsia" w:hAnsiTheme="minorHAnsi" w:cstheme="minorBidi"/>
          <w:sz w:val="24"/>
          <w:szCs w:val="24"/>
          <w:lang w:val="en-GB"/>
        </w:rPr>
        <w:t xml:space="preserve">The endpoints are returned as structured JSON format. The simulation operation, such as scenario triggers, TSM toggling, and simulation control, produces a stream of events to synchronize with the backend server and reflect on the dashboard in real-time. The frontend development is configured through </w:t>
      </w:r>
      <w:r w:rsidRPr="15F0334A">
        <w:rPr>
          <w:rFonts w:asciiTheme="minorHAnsi" w:eastAsiaTheme="minorEastAsia" w:hAnsiTheme="minorHAnsi" w:cstheme="minorBidi"/>
          <w:i/>
          <w:sz w:val="24"/>
          <w:szCs w:val="24"/>
          <w:lang w:val="en-GB"/>
        </w:rPr>
        <w:t>cross-origin resource sharing</w:t>
      </w:r>
      <w:r w:rsidRPr="15F0334A">
        <w:rPr>
          <w:rFonts w:asciiTheme="minorHAnsi" w:eastAsiaTheme="minorEastAsia" w:hAnsiTheme="minorHAnsi" w:cstheme="minorBidi"/>
          <w:sz w:val="24"/>
          <w:szCs w:val="24"/>
          <w:lang w:val="en-GB"/>
        </w:rPr>
        <w:t xml:space="preserve"> to access the API using port</w:t>
      </w:r>
      <w:r w:rsidR="4E767CBD" w:rsidRPr="15F0334A">
        <w:rPr>
          <w:rFonts w:asciiTheme="minorHAnsi" w:eastAsiaTheme="minorEastAsia" w:hAnsiTheme="minorHAnsi" w:cstheme="minorBidi"/>
          <w:sz w:val="24"/>
          <w:szCs w:val="24"/>
          <w:lang w:val="en-GB"/>
        </w:rPr>
        <w:t xml:space="preserve"> </w:t>
      </w:r>
      <w:r w:rsidRPr="15F0334A">
        <w:rPr>
          <w:rFonts w:asciiTheme="minorHAnsi" w:eastAsiaTheme="minorEastAsia" w:hAnsiTheme="minorHAnsi" w:cstheme="minorBidi"/>
          <w:sz w:val="24"/>
          <w:szCs w:val="24"/>
          <w:lang w:val="en-GB"/>
        </w:rPr>
        <w:t>5173.</w:t>
      </w:r>
    </w:p>
    <w:p w14:paraId="2968294C" w14:textId="2FA94859" w:rsidR="3F3DF4E1" w:rsidRDefault="3F3DF4E1" w:rsidP="625B0D3D">
      <w:pPr>
        <w:spacing w:after="160" w:line="257" w:lineRule="auto"/>
        <w:jc w:val="both"/>
        <w:rPr>
          <w:rFonts w:asciiTheme="minorHAnsi" w:eastAsiaTheme="minorEastAsia" w:hAnsiTheme="minorHAnsi" w:cstheme="minorBidi"/>
          <w:sz w:val="24"/>
          <w:szCs w:val="24"/>
          <w:lang w:val="en-GB"/>
        </w:rPr>
      </w:pPr>
      <w:r w:rsidRPr="15F0334A">
        <w:rPr>
          <w:rFonts w:asciiTheme="minorHAnsi" w:eastAsiaTheme="minorEastAsia" w:hAnsiTheme="minorHAnsi" w:cstheme="minorBidi"/>
          <w:sz w:val="24"/>
          <w:szCs w:val="24"/>
          <w:lang w:val="en-GB"/>
        </w:rPr>
        <w:t xml:space="preserve">For real-time communication between the backend and the dashboard, server-sent events (SSE) serve as the primary channel, and </w:t>
      </w:r>
      <w:r w:rsidRPr="15F0334A">
        <w:rPr>
          <w:rFonts w:asciiTheme="minorHAnsi" w:eastAsiaTheme="minorEastAsia" w:hAnsiTheme="minorHAnsi" w:cstheme="minorBidi"/>
          <w:i/>
          <w:sz w:val="24"/>
          <w:szCs w:val="24"/>
          <w:lang w:val="en-GB"/>
        </w:rPr>
        <w:t>SSEManager</w:t>
      </w:r>
      <w:r w:rsidRPr="15F0334A">
        <w:rPr>
          <w:rFonts w:asciiTheme="minorHAnsi" w:eastAsiaTheme="minorEastAsia" w:hAnsiTheme="minorHAnsi" w:cstheme="minorBidi"/>
          <w:sz w:val="24"/>
          <w:szCs w:val="24"/>
          <w:lang w:val="en-GB"/>
        </w:rPr>
        <w:t xml:space="preserve"> maintains a collection of connected client queues to broadcast events to the corresponding subscribers. The five primary event types are:</w:t>
      </w:r>
    </w:p>
    <w:p w14:paraId="7E44D02D" w14:textId="432107D6" w:rsidR="3F3DF4E1" w:rsidRDefault="3F3DF4E1" w:rsidP="00846D08">
      <w:pPr>
        <w:pStyle w:val="ListParagraph"/>
        <w:numPr>
          <w:ilvl w:val="0"/>
          <w:numId w:val="65"/>
        </w:numPr>
        <w:spacing w:before="0" w:after="0" w:line="257" w:lineRule="auto"/>
        <w:jc w:val="both"/>
        <w:rPr>
          <w:rFonts w:asciiTheme="minorHAnsi" w:eastAsiaTheme="minorEastAsia" w:hAnsiTheme="minorHAnsi" w:cstheme="minorBidi"/>
          <w:lang w:val="en-GB"/>
        </w:rPr>
      </w:pPr>
      <w:r w:rsidRPr="15F0334A">
        <w:rPr>
          <w:rFonts w:asciiTheme="minorHAnsi" w:eastAsiaTheme="minorEastAsia" w:hAnsiTheme="minorHAnsi" w:cstheme="minorBidi"/>
          <w:lang w:val="en-GB"/>
        </w:rPr>
        <w:t>Events: Includes all event notifications such as TSM transitions, system states, scenario triggers, and component state changes.</w:t>
      </w:r>
    </w:p>
    <w:p w14:paraId="2723EC8C" w14:textId="0B617B78" w:rsidR="3F3DF4E1" w:rsidRDefault="3F3DF4E1" w:rsidP="00846D08">
      <w:pPr>
        <w:pStyle w:val="ListParagraph"/>
        <w:numPr>
          <w:ilvl w:val="0"/>
          <w:numId w:val="65"/>
        </w:numPr>
        <w:spacing w:before="0" w:after="0" w:line="257" w:lineRule="auto"/>
        <w:jc w:val="both"/>
        <w:rPr>
          <w:rFonts w:asciiTheme="minorHAnsi" w:eastAsiaTheme="minorEastAsia" w:hAnsiTheme="minorHAnsi" w:cstheme="minorBidi"/>
          <w:lang w:val="en-GB"/>
        </w:rPr>
      </w:pPr>
      <w:r w:rsidRPr="15F0334A">
        <w:rPr>
          <w:rFonts w:asciiTheme="minorHAnsi" w:eastAsiaTheme="minorEastAsia" w:hAnsiTheme="minorHAnsi" w:cstheme="minorBidi"/>
          <w:lang w:val="en-GB"/>
        </w:rPr>
        <w:t>Telemetry: It provides the telemetry updates about grid measurements, station power output, and EV battery states.</w:t>
      </w:r>
    </w:p>
    <w:p w14:paraId="31063356" w14:textId="1E8DA6ED" w:rsidR="3F3DF4E1" w:rsidRDefault="3F3DF4E1" w:rsidP="00846D08">
      <w:pPr>
        <w:pStyle w:val="ListParagraph"/>
        <w:numPr>
          <w:ilvl w:val="0"/>
          <w:numId w:val="65"/>
        </w:numPr>
        <w:spacing w:before="0" w:after="0" w:line="257" w:lineRule="auto"/>
        <w:jc w:val="both"/>
        <w:rPr>
          <w:rFonts w:asciiTheme="minorHAnsi" w:eastAsiaTheme="minorEastAsia" w:hAnsiTheme="minorHAnsi" w:cstheme="minorBidi"/>
          <w:lang w:val="en-GB"/>
        </w:rPr>
      </w:pPr>
      <w:r w:rsidRPr="15F0334A">
        <w:rPr>
          <w:rFonts w:asciiTheme="minorHAnsi" w:eastAsiaTheme="minorEastAsia" w:hAnsiTheme="minorHAnsi" w:cstheme="minorBidi"/>
          <w:lang w:val="en-GB"/>
        </w:rPr>
        <w:t>Messages: It provides detail messages of protocols such as OCPP, ISO</w:t>
      </w:r>
      <w:r w:rsidR="11E77F8C" w:rsidRPr="15F0334A">
        <w:rPr>
          <w:rFonts w:asciiTheme="minorHAnsi" w:eastAsiaTheme="minorEastAsia" w:hAnsiTheme="minorHAnsi" w:cstheme="minorBidi"/>
          <w:lang w:val="en-GB"/>
        </w:rPr>
        <w:t xml:space="preserve"> </w:t>
      </w:r>
      <w:r w:rsidRPr="15F0334A">
        <w:rPr>
          <w:rFonts w:asciiTheme="minorHAnsi" w:eastAsiaTheme="minorEastAsia" w:hAnsiTheme="minorHAnsi" w:cstheme="minorBidi"/>
          <w:lang w:val="en-GB"/>
        </w:rPr>
        <w:t>15118, IEC~61851, and others having latency, payload, and directions.</w:t>
      </w:r>
    </w:p>
    <w:p w14:paraId="0AEC2713" w14:textId="643C3A1F" w:rsidR="3F3DF4E1" w:rsidRDefault="3F3DF4E1" w:rsidP="00846D08">
      <w:pPr>
        <w:pStyle w:val="ListParagraph"/>
        <w:numPr>
          <w:ilvl w:val="0"/>
          <w:numId w:val="65"/>
        </w:numPr>
        <w:spacing w:before="0" w:after="0" w:line="257" w:lineRule="auto"/>
        <w:jc w:val="both"/>
        <w:rPr>
          <w:rFonts w:asciiTheme="minorHAnsi" w:eastAsiaTheme="minorEastAsia" w:hAnsiTheme="minorHAnsi" w:cstheme="minorBidi"/>
          <w:lang w:val="en-GB"/>
        </w:rPr>
      </w:pPr>
      <w:r w:rsidRPr="15F0334A">
        <w:rPr>
          <w:rFonts w:asciiTheme="minorHAnsi" w:eastAsiaTheme="minorEastAsia" w:hAnsiTheme="minorHAnsi" w:cstheme="minorBidi"/>
          <w:lang w:val="en-GB"/>
        </w:rPr>
        <w:t>Logs: It records all system logs and highlights severity levels with source components.</w:t>
      </w:r>
    </w:p>
    <w:p w14:paraId="35FA14DA" w14:textId="4A2B9045" w:rsidR="3F3DF4E1" w:rsidRDefault="3F3DF4E1" w:rsidP="00846D08">
      <w:pPr>
        <w:pStyle w:val="ListParagraph"/>
        <w:numPr>
          <w:ilvl w:val="0"/>
          <w:numId w:val="65"/>
        </w:numPr>
        <w:spacing w:before="0" w:after="0" w:line="257" w:lineRule="auto"/>
        <w:jc w:val="both"/>
        <w:rPr>
          <w:rFonts w:asciiTheme="minorHAnsi" w:eastAsiaTheme="minorEastAsia" w:hAnsiTheme="minorHAnsi" w:cstheme="minorBidi"/>
          <w:lang w:val="en-GB"/>
        </w:rPr>
      </w:pPr>
      <w:r w:rsidRPr="15F0334A">
        <w:rPr>
          <w:rFonts w:asciiTheme="minorHAnsi" w:eastAsiaTheme="minorEastAsia" w:hAnsiTheme="minorHAnsi" w:cstheme="minorBidi"/>
          <w:lang w:val="en-GB"/>
        </w:rPr>
        <w:t>Ping: It keeps alive messaging to ensure the connection stability within co-simulation.</w:t>
      </w:r>
    </w:p>
    <w:p w14:paraId="501FD7D1" w14:textId="3CACA985" w:rsidR="3F3DF4E1" w:rsidRDefault="3F3DF4E1" w:rsidP="625B0D3D">
      <w:pPr>
        <w:spacing w:after="160" w:line="257" w:lineRule="auto"/>
        <w:jc w:val="both"/>
        <w:rPr>
          <w:rFonts w:asciiTheme="minorHAnsi" w:eastAsiaTheme="minorEastAsia" w:hAnsiTheme="minorHAnsi" w:cstheme="minorBidi"/>
          <w:lang w:val="en-GB"/>
        </w:rPr>
      </w:pPr>
      <w:r w:rsidRPr="625B0D3D">
        <w:rPr>
          <w:rFonts w:ascii="Aptos" w:eastAsia="Aptos" w:hAnsi="Aptos" w:cs="Aptos"/>
          <w:lang w:val="en-GB"/>
        </w:rPr>
        <w:t xml:space="preserve"> </w:t>
      </w:r>
    </w:p>
    <w:p w14:paraId="452CC9F3" w14:textId="1D54457C" w:rsidR="3F3DF4E1" w:rsidRDefault="3F3DF4E1" w:rsidP="625B0D3D">
      <w:pPr>
        <w:pStyle w:val="Heading3"/>
        <w:spacing w:before="160" w:after="80" w:line="257" w:lineRule="auto"/>
        <w:rPr>
          <w:rFonts w:asciiTheme="minorHAnsi" w:eastAsiaTheme="minorEastAsia" w:hAnsiTheme="minorHAnsi" w:cstheme="minorBidi"/>
          <w:sz w:val="28"/>
          <w:szCs w:val="28"/>
          <w:lang w:val="en-GB"/>
        </w:rPr>
      </w:pPr>
      <w:bookmarkStart w:id="304" w:name="_Toc234310826"/>
      <w:r w:rsidRPr="215A5B43">
        <w:rPr>
          <w:rFonts w:ascii="Aptos" w:eastAsia="Aptos" w:hAnsi="Aptos" w:cs="Aptos"/>
          <w:sz w:val="28"/>
          <w:szCs w:val="28"/>
          <w:lang w:val="en-GB"/>
        </w:rPr>
        <w:t>TSM Integration Within the Runtime</w:t>
      </w:r>
      <w:bookmarkEnd w:id="304"/>
    </w:p>
    <w:p w14:paraId="13E089A0" w14:textId="0686E7FC" w:rsidR="3F3DF4E1" w:rsidRDefault="3F3DF4E1" w:rsidP="625B0D3D">
      <w:pPr>
        <w:spacing w:after="160" w:line="257" w:lineRule="auto"/>
        <w:jc w:val="both"/>
        <w:rPr>
          <w:rFonts w:asciiTheme="minorHAnsi" w:eastAsiaTheme="minorEastAsia" w:hAnsiTheme="minorHAnsi" w:cstheme="minorBidi"/>
          <w:lang w:val="en-GB"/>
        </w:rPr>
      </w:pPr>
      <w:r w:rsidRPr="2C76AEC5">
        <w:rPr>
          <w:rFonts w:asciiTheme="minorHAnsi" w:eastAsiaTheme="minorEastAsia" w:hAnsiTheme="minorHAnsi" w:cstheme="minorBidi"/>
          <w:lang w:val="en-GB"/>
        </w:rPr>
        <w:t>During system initialization, TSM is activated before EVCI components are activated. In the</w:t>
      </w:r>
      <w:r w:rsidR="761BBD29" w:rsidRPr="2C76AEC5">
        <w:rPr>
          <w:rFonts w:asciiTheme="minorHAnsi" w:eastAsiaTheme="minorEastAsia" w:hAnsiTheme="minorHAnsi" w:cstheme="minorBidi"/>
          <w:lang w:val="en-GB"/>
        </w:rPr>
        <w:t xml:space="preserve"> </w:t>
      </w:r>
      <w:r w:rsidRPr="2C76AEC5">
        <w:rPr>
          <w:rFonts w:asciiTheme="minorHAnsi" w:eastAsiaTheme="minorEastAsia" w:hAnsiTheme="minorHAnsi" w:cstheme="minorBidi"/>
          <w:lang w:val="en-GB"/>
        </w:rPr>
        <w:t>runtime simulations, the TSM enforcement direction is as follows:</w:t>
      </w:r>
    </w:p>
    <w:p w14:paraId="1D8C0F03" w14:textId="32C1B028" w:rsidR="3F3DF4E1" w:rsidRDefault="3F3DF4E1" w:rsidP="625B0D3D">
      <w:pPr>
        <w:spacing w:after="160" w:line="257" w:lineRule="auto"/>
        <w:jc w:val="both"/>
        <w:rPr>
          <w:rFonts w:asciiTheme="minorHAnsi" w:eastAsiaTheme="minorEastAsia" w:hAnsiTheme="minorHAnsi" w:cstheme="minorBidi"/>
          <w:lang w:val="en-GB"/>
        </w:rPr>
      </w:pPr>
      <w:r w:rsidRPr="625B0D3D">
        <w:rPr>
          <w:rFonts w:ascii="Aptos" w:eastAsia="Aptos" w:hAnsi="Aptos" w:cs="Aptos"/>
          <w:lang w:val="en-GB"/>
        </w:rPr>
        <w:t xml:space="preserve"> </w:t>
      </w:r>
    </w:p>
    <w:p w14:paraId="7C9D73DB" w14:textId="6DB6D61B" w:rsidR="3F3DF4E1" w:rsidRDefault="6830F39E" w:rsidP="625B0D3D">
      <w:pPr>
        <w:spacing w:after="160" w:line="257" w:lineRule="auto"/>
        <w:jc w:val="center"/>
        <w:rPr>
          <w:rFonts w:asciiTheme="minorHAnsi" w:eastAsiaTheme="minorEastAsia" w:hAnsiTheme="minorHAnsi" w:cstheme="minorBidi"/>
        </w:rPr>
      </w:pPr>
      <w:r>
        <w:rPr>
          <w:noProof/>
        </w:rPr>
        <w:drawing>
          <wp:inline distT="0" distB="0" distL="0" distR="0" wp14:anchorId="62840393" wp14:editId="0E2A9983">
            <wp:extent cx="3743325" cy="666750"/>
            <wp:effectExtent l="0" t="0" r="0" b="0"/>
            <wp:docPr id="1503436639" name="drawing" title="A whit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436639" name="Picture 1503436639"/>
                    <pic:cNvPicPr/>
                  </pic:nvPicPr>
                  <pic:blipFill>
                    <a:blip r:embed="rId55">
                      <a:extLst>
                        <a:ext uri="{28A0092B-C50C-407E-A947-70E740481C1C}">
                          <a14:useLocalDpi xmlns:a14="http://schemas.microsoft.com/office/drawing/2010/main"/>
                        </a:ext>
                      </a:extLst>
                    </a:blip>
                    <a:stretch>
                      <a:fillRect/>
                    </a:stretch>
                  </pic:blipFill>
                  <pic:spPr>
                    <a:xfrm>
                      <a:off x="0" y="0"/>
                      <a:ext cx="3743325" cy="666750"/>
                    </a:xfrm>
                    <a:prstGeom prst="rect">
                      <a:avLst/>
                    </a:prstGeom>
                  </pic:spPr>
                </pic:pic>
              </a:graphicData>
            </a:graphic>
          </wp:inline>
        </w:drawing>
      </w:r>
    </w:p>
    <w:p w14:paraId="70798DCA" w14:textId="3E9CBAD9" w:rsidR="3F3DF4E1" w:rsidRDefault="3F3DF4E1" w:rsidP="625B0D3D">
      <w:pPr>
        <w:spacing w:after="160" w:line="257" w:lineRule="auto"/>
        <w:rPr>
          <w:rFonts w:asciiTheme="minorHAnsi" w:eastAsiaTheme="minorEastAsia" w:hAnsiTheme="minorHAnsi" w:cstheme="minorBidi"/>
          <w:lang w:val="en-GB"/>
        </w:rPr>
      </w:pPr>
      <w:r w:rsidRPr="625B0D3D">
        <w:rPr>
          <w:rFonts w:ascii="Aptos" w:eastAsia="Aptos" w:hAnsi="Aptos" w:cs="Aptos"/>
          <w:lang w:val="en-GB"/>
        </w:rPr>
        <w:t xml:space="preserve"> </w:t>
      </w:r>
    </w:p>
    <w:p w14:paraId="64B85C7D" w14:textId="4D82C581" w:rsidR="3F3DF4E1" w:rsidRDefault="3F3DF4E1" w:rsidP="625B0D3D">
      <w:pPr>
        <w:spacing w:after="160" w:line="257" w:lineRule="auto"/>
        <w:jc w:val="both"/>
        <w:rPr>
          <w:rFonts w:asciiTheme="minorHAnsi" w:eastAsiaTheme="minorEastAsia" w:hAnsiTheme="minorHAnsi" w:cstheme="minorBidi"/>
          <w:sz w:val="24"/>
          <w:szCs w:val="24"/>
          <w:lang w:val="en-GB"/>
        </w:rPr>
      </w:pPr>
      <w:r w:rsidRPr="5EBEA1BC">
        <w:rPr>
          <w:rFonts w:asciiTheme="minorHAnsi" w:eastAsiaTheme="minorEastAsia" w:hAnsiTheme="minorHAnsi" w:cstheme="minorBidi"/>
          <w:sz w:val="24"/>
          <w:szCs w:val="24"/>
          <w:lang w:val="en-GB"/>
        </w:rPr>
        <w:t xml:space="preserve">The classification of PEE requires 21 types and groups them into six categories: session management, attestation/firmware, configuration, power grid, charging, and cryptographic, to assign five levels of TSM security as shown in Table </w:t>
      </w:r>
      <w:r w:rsidR="578BF31C" w:rsidRPr="5EBEA1BC">
        <w:rPr>
          <w:rFonts w:asciiTheme="minorHAnsi" w:eastAsiaTheme="minorEastAsia" w:hAnsiTheme="minorHAnsi" w:cstheme="minorBidi"/>
          <w:sz w:val="24"/>
          <w:szCs w:val="24"/>
          <w:lang w:val="en-GB"/>
        </w:rPr>
        <w:t>14</w:t>
      </w:r>
      <w:r w:rsidRPr="5EBEA1BC">
        <w:rPr>
          <w:rFonts w:asciiTheme="minorHAnsi" w:eastAsiaTheme="minorEastAsia" w:hAnsiTheme="minorHAnsi" w:cstheme="minorBidi"/>
          <w:sz w:val="24"/>
          <w:szCs w:val="24"/>
          <w:lang w:val="en-GB"/>
        </w:rPr>
        <w:t>. After classification, one of the seven PEE actions is selected: RATE_LIMIT, QUARANTINE, DENY_WITH_ALERT, ALLOW_WITH_MODIFICATION, ALLOW_WITH_AUDIT, DENY, or ALLOW.</w:t>
      </w:r>
    </w:p>
    <w:p w14:paraId="4E61598E" w14:textId="783D295C" w:rsidR="4FAE23C9" w:rsidRDefault="00C335B5" w:rsidP="00C335B5">
      <w:pPr>
        <w:pStyle w:val="Caption"/>
        <w:rPr>
          <w:rFonts w:asciiTheme="minorHAnsi" w:eastAsiaTheme="minorEastAsia" w:hAnsiTheme="minorHAnsi" w:cstheme="minorBidi"/>
          <w:i/>
          <w:color w:val="0E2841"/>
          <w:lang w:val="en-GB"/>
        </w:rPr>
      </w:pPr>
      <w:bookmarkStart w:id="305" w:name="_Toc233112268"/>
      <w:r>
        <w:t xml:space="preserve">Table </w:t>
      </w:r>
      <w:r w:rsidR="00113348">
        <w:fldChar w:fldCharType="begin"/>
      </w:r>
      <w:r w:rsidR="00113348">
        <w:instrText xml:space="preserve"> SEQ Table \* ARABIC </w:instrText>
      </w:r>
      <w:r w:rsidR="00113348">
        <w:fldChar w:fldCharType="separate"/>
      </w:r>
      <w:r w:rsidR="00F8092D">
        <w:rPr>
          <w:noProof/>
        </w:rPr>
        <w:t>14</w:t>
      </w:r>
      <w:r w:rsidR="00113348">
        <w:rPr>
          <w:noProof/>
        </w:rPr>
        <w:fldChar w:fldCharType="end"/>
      </w:r>
      <w:r w:rsidR="4FAE23C9" w:rsidRPr="5EBEA1BC">
        <w:rPr>
          <w:rFonts w:ascii="Aptos" w:eastAsia="Aptos" w:hAnsi="Aptos" w:cs="Aptos"/>
          <w:i/>
          <w:color w:val="0E2841"/>
          <w:szCs w:val="20"/>
          <w:lang w:val="en-GB"/>
        </w:rPr>
        <w:t>: TSM PEE policies and classification of security levels.</w:t>
      </w:r>
      <w:bookmarkEnd w:id="305"/>
    </w:p>
    <w:tbl>
      <w:tblPr>
        <w:tblW w:w="9044"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694"/>
        <w:gridCol w:w="2370"/>
        <w:gridCol w:w="2160"/>
        <w:gridCol w:w="2820"/>
      </w:tblGrid>
      <w:tr w:rsidR="4B4813E2" w14:paraId="2281C68D" w14:textId="77777777" w:rsidTr="637E30F3">
        <w:trPr>
          <w:trHeight w:val="495"/>
        </w:trPr>
        <w:tc>
          <w:tcPr>
            <w:tcW w:w="1694" w:type="dxa"/>
            <w:tcBorders>
              <w:top w:val="nil"/>
              <w:left w:val="nil"/>
              <w:bottom w:val="nil"/>
              <w:right w:val="nil"/>
            </w:tcBorders>
            <w:shd w:val="clear" w:color="auto" w:fill="000000" w:themeFill="text2"/>
          </w:tcPr>
          <w:p w14:paraId="7D7E1527" w14:textId="5AC28342" w:rsidR="4B4813E2" w:rsidRDefault="4B4813E2" w:rsidP="4B4813E2">
            <w:pPr>
              <w:spacing w:after="160" w:line="257" w:lineRule="auto"/>
              <w:rPr>
                <w:rFonts w:asciiTheme="minorHAnsi" w:eastAsiaTheme="minorEastAsia" w:hAnsiTheme="minorHAnsi" w:cstheme="minorBidi"/>
                <w:b/>
                <w:bCs/>
                <w:color w:val="FFFFFF" w:themeColor="background2"/>
                <w:sz w:val="18"/>
                <w:szCs w:val="18"/>
              </w:rPr>
            </w:pPr>
            <w:r w:rsidRPr="4B4813E2">
              <w:rPr>
                <w:rFonts w:asciiTheme="minorHAnsi" w:eastAsiaTheme="minorEastAsia" w:hAnsiTheme="minorHAnsi" w:cstheme="minorBidi"/>
                <w:b/>
                <w:bCs/>
                <w:color w:val="FFFFFF" w:themeColor="background2"/>
                <w:sz w:val="18"/>
                <w:szCs w:val="18"/>
                <w:lang w:val="en"/>
              </w:rPr>
              <w:t>Levels</w:t>
            </w:r>
            <w:r w:rsidRPr="4B4813E2">
              <w:rPr>
                <w:rFonts w:asciiTheme="minorHAnsi" w:eastAsiaTheme="minorEastAsia" w:hAnsiTheme="minorHAnsi" w:cstheme="minorBidi"/>
                <w:b/>
                <w:bCs/>
                <w:color w:val="FFFFFF" w:themeColor="background2"/>
                <w:sz w:val="18"/>
                <w:szCs w:val="18"/>
              </w:rPr>
              <w:t xml:space="preserve"> </w:t>
            </w:r>
          </w:p>
        </w:tc>
        <w:tc>
          <w:tcPr>
            <w:tcW w:w="2370" w:type="dxa"/>
            <w:tcBorders>
              <w:top w:val="nil"/>
              <w:left w:val="nil"/>
              <w:bottom w:val="nil"/>
              <w:right w:val="nil"/>
            </w:tcBorders>
            <w:shd w:val="clear" w:color="auto" w:fill="000000" w:themeFill="text2"/>
          </w:tcPr>
          <w:p w14:paraId="2F250C7A" w14:textId="4A859969" w:rsidR="4B4813E2" w:rsidRDefault="4B4813E2" w:rsidP="4B4813E2">
            <w:pPr>
              <w:spacing w:after="160" w:line="257" w:lineRule="auto"/>
              <w:rPr>
                <w:rFonts w:asciiTheme="minorHAnsi" w:eastAsiaTheme="minorEastAsia" w:hAnsiTheme="minorHAnsi" w:cstheme="minorBidi"/>
                <w:b/>
                <w:bCs/>
                <w:color w:val="FFFFFF" w:themeColor="background2"/>
                <w:sz w:val="18"/>
                <w:szCs w:val="18"/>
              </w:rPr>
            </w:pPr>
            <w:r w:rsidRPr="4B4813E2">
              <w:rPr>
                <w:rFonts w:asciiTheme="minorHAnsi" w:eastAsiaTheme="minorEastAsia" w:hAnsiTheme="minorHAnsi" w:cstheme="minorBidi"/>
                <w:b/>
                <w:bCs/>
                <w:color w:val="FFFFFF" w:themeColor="background2"/>
                <w:sz w:val="18"/>
                <w:szCs w:val="18"/>
                <w:lang w:val="en"/>
              </w:rPr>
              <w:t>Scope</w:t>
            </w:r>
            <w:r w:rsidRPr="4B4813E2">
              <w:rPr>
                <w:rFonts w:asciiTheme="minorHAnsi" w:eastAsiaTheme="minorEastAsia" w:hAnsiTheme="minorHAnsi" w:cstheme="minorBidi"/>
                <w:b/>
                <w:bCs/>
                <w:color w:val="FFFFFF" w:themeColor="background2"/>
                <w:sz w:val="18"/>
                <w:szCs w:val="18"/>
              </w:rPr>
              <w:t xml:space="preserve"> </w:t>
            </w:r>
          </w:p>
        </w:tc>
        <w:tc>
          <w:tcPr>
            <w:tcW w:w="2160" w:type="dxa"/>
            <w:tcBorders>
              <w:top w:val="nil"/>
              <w:left w:val="nil"/>
              <w:bottom w:val="nil"/>
              <w:right w:val="nil"/>
            </w:tcBorders>
            <w:shd w:val="clear" w:color="auto" w:fill="000000" w:themeFill="text2"/>
          </w:tcPr>
          <w:p w14:paraId="28E388A8" w14:textId="3418F877" w:rsidR="4B4813E2" w:rsidRDefault="4B4813E2" w:rsidP="4B4813E2">
            <w:pPr>
              <w:spacing w:after="160" w:line="257" w:lineRule="auto"/>
              <w:rPr>
                <w:rFonts w:asciiTheme="minorHAnsi" w:eastAsiaTheme="minorEastAsia" w:hAnsiTheme="minorHAnsi" w:cstheme="minorBidi"/>
                <w:b/>
                <w:bCs/>
                <w:color w:val="FFFFFF" w:themeColor="background2"/>
                <w:sz w:val="18"/>
                <w:szCs w:val="18"/>
              </w:rPr>
            </w:pPr>
            <w:r w:rsidRPr="4B4813E2">
              <w:rPr>
                <w:rFonts w:asciiTheme="minorHAnsi" w:eastAsiaTheme="minorEastAsia" w:hAnsiTheme="minorHAnsi" w:cstheme="minorBidi"/>
                <w:b/>
                <w:bCs/>
                <w:color w:val="FFFFFF" w:themeColor="background2"/>
                <w:sz w:val="18"/>
                <w:szCs w:val="18"/>
                <w:lang w:val="en"/>
              </w:rPr>
              <w:t xml:space="preserve">Default Actions </w:t>
            </w:r>
            <w:r w:rsidRPr="4B4813E2">
              <w:rPr>
                <w:rFonts w:asciiTheme="minorHAnsi" w:eastAsiaTheme="minorEastAsia" w:hAnsiTheme="minorHAnsi" w:cstheme="minorBidi"/>
                <w:b/>
                <w:bCs/>
                <w:color w:val="FFFFFF" w:themeColor="background2"/>
                <w:sz w:val="18"/>
                <w:szCs w:val="18"/>
              </w:rPr>
              <w:t xml:space="preserve"> </w:t>
            </w:r>
          </w:p>
        </w:tc>
        <w:tc>
          <w:tcPr>
            <w:tcW w:w="2820" w:type="dxa"/>
            <w:tcBorders>
              <w:top w:val="nil"/>
              <w:left w:val="nil"/>
              <w:bottom w:val="nil"/>
              <w:right w:val="nil"/>
            </w:tcBorders>
            <w:shd w:val="clear" w:color="auto" w:fill="000000" w:themeFill="text2"/>
          </w:tcPr>
          <w:p w14:paraId="43493441" w14:textId="67C07AB9" w:rsidR="4B4813E2" w:rsidRDefault="4B4813E2" w:rsidP="4B4813E2">
            <w:pPr>
              <w:spacing w:after="160" w:line="257" w:lineRule="auto"/>
              <w:rPr>
                <w:rFonts w:asciiTheme="minorHAnsi" w:eastAsiaTheme="minorEastAsia" w:hAnsiTheme="minorHAnsi" w:cstheme="minorBidi"/>
                <w:b/>
                <w:bCs/>
                <w:color w:val="FFFFFF" w:themeColor="background2"/>
                <w:sz w:val="18"/>
                <w:szCs w:val="18"/>
              </w:rPr>
            </w:pPr>
            <w:r w:rsidRPr="4B4813E2">
              <w:rPr>
                <w:rFonts w:asciiTheme="minorHAnsi" w:eastAsiaTheme="minorEastAsia" w:hAnsiTheme="minorHAnsi" w:cstheme="minorBidi"/>
                <w:b/>
                <w:bCs/>
                <w:color w:val="FFFFFF" w:themeColor="background2"/>
                <w:sz w:val="18"/>
                <w:szCs w:val="18"/>
                <w:lang w:val="en"/>
              </w:rPr>
              <w:t>Requests</w:t>
            </w:r>
            <w:r w:rsidRPr="4B4813E2">
              <w:rPr>
                <w:rFonts w:asciiTheme="minorHAnsi" w:eastAsiaTheme="minorEastAsia" w:hAnsiTheme="minorHAnsi" w:cstheme="minorBidi"/>
                <w:b/>
                <w:bCs/>
                <w:color w:val="FFFFFF" w:themeColor="background2"/>
                <w:sz w:val="18"/>
                <w:szCs w:val="18"/>
              </w:rPr>
              <w:t xml:space="preserve"> </w:t>
            </w:r>
          </w:p>
        </w:tc>
      </w:tr>
      <w:tr w:rsidR="4B4813E2" w14:paraId="659445CB" w14:textId="77777777" w:rsidTr="637E30F3">
        <w:trPr>
          <w:trHeight w:val="300"/>
        </w:trPr>
        <w:tc>
          <w:tcPr>
            <w:tcW w:w="1694" w:type="dxa"/>
            <w:tcBorders>
              <w:top w:val="nil"/>
              <w:left w:val="nil"/>
              <w:bottom w:val="nil"/>
              <w:right w:val="nil"/>
            </w:tcBorders>
            <w:shd w:val="clear" w:color="auto" w:fill="EDEDED"/>
          </w:tcPr>
          <w:p w14:paraId="4EB63380" w14:textId="0A4BF8BC" w:rsidR="4B4813E2" w:rsidRDefault="4B4813E2" w:rsidP="4B4813E2">
            <w:pPr>
              <w:spacing w:after="160" w:line="257" w:lineRule="auto"/>
              <w:rPr>
                <w:rFonts w:asciiTheme="minorHAnsi" w:eastAsiaTheme="minorEastAsia" w:hAnsiTheme="minorHAnsi" w:cstheme="minorBidi"/>
                <w:b/>
                <w:bCs/>
                <w:color w:val="000000" w:themeColor="text2"/>
                <w:sz w:val="18"/>
                <w:szCs w:val="18"/>
              </w:rPr>
            </w:pPr>
            <w:r w:rsidRPr="4B4813E2">
              <w:rPr>
                <w:rFonts w:asciiTheme="minorHAnsi" w:eastAsiaTheme="minorEastAsia" w:hAnsiTheme="minorHAnsi" w:cstheme="minorBidi"/>
                <w:b/>
                <w:bCs/>
                <w:color w:val="000000" w:themeColor="text2"/>
                <w:sz w:val="18"/>
                <w:szCs w:val="18"/>
              </w:rPr>
              <w:t xml:space="preserve">PUBLIC </w:t>
            </w:r>
          </w:p>
        </w:tc>
        <w:tc>
          <w:tcPr>
            <w:tcW w:w="2370" w:type="dxa"/>
            <w:tcBorders>
              <w:top w:val="nil"/>
              <w:left w:val="nil"/>
              <w:bottom w:val="nil"/>
              <w:right w:val="nil"/>
            </w:tcBorders>
            <w:shd w:val="clear" w:color="auto" w:fill="EDEDED"/>
          </w:tcPr>
          <w:p w14:paraId="69B22A8D" w14:textId="6EAAFD91" w:rsidR="4B4813E2" w:rsidRDefault="4B4813E2" w:rsidP="4B4813E2">
            <w:pPr>
              <w:spacing w:after="160" w:line="257" w:lineRule="auto"/>
              <w:rPr>
                <w:rFonts w:asciiTheme="minorHAnsi" w:eastAsiaTheme="minorEastAsia" w:hAnsiTheme="minorHAnsi" w:cstheme="minorBidi"/>
                <w:color w:val="000000" w:themeColor="text2"/>
                <w:sz w:val="18"/>
                <w:szCs w:val="18"/>
              </w:rPr>
            </w:pPr>
            <w:r w:rsidRPr="4B4813E2">
              <w:rPr>
                <w:rFonts w:asciiTheme="minorHAnsi" w:eastAsiaTheme="minorEastAsia" w:hAnsiTheme="minorHAnsi" w:cstheme="minorBidi"/>
                <w:color w:val="000000" w:themeColor="text2"/>
                <w:sz w:val="18"/>
                <w:szCs w:val="18"/>
                <w:lang w:val="en"/>
              </w:rPr>
              <w:t xml:space="preserve">For read only queries </w:t>
            </w:r>
            <w:r w:rsidRPr="4B4813E2">
              <w:rPr>
                <w:rFonts w:asciiTheme="minorHAnsi" w:eastAsiaTheme="minorEastAsia" w:hAnsiTheme="minorHAnsi" w:cstheme="minorBidi"/>
                <w:color w:val="000000" w:themeColor="text2"/>
                <w:sz w:val="18"/>
                <w:szCs w:val="18"/>
              </w:rPr>
              <w:t xml:space="preserve"> </w:t>
            </w:r>
          </w:p>
        </w:tc>
        <w:tc>
          <w:tcPr>
            <w:tcW w:w="2160" w:type="dxa"/>
            <w:tcBorders>
              <w:top w:val="nil"/>
              <w:left w:val="nil"/>
              <w:bottom w:val="nil"/>
              <w:right w:val="nil"/>
            </w:tcBorders>
            <w:shd w:val="clear" w:color="auto" w:fill="EDEDED"/>
          </w:tcPr>
          <w:p w14:paraId="424A9C56" w14:textId="04CF649C" w:rsidR="4B4813E2" w:rsidRDefault="4B4813E2" w:rsidP="4B4813E2">
            <w:pPr>
              <w:spacing w:after="160" w:line="257" w:lineRule="auto"/>
              <w:rPr>
                <w:rFonts w:asciiTheme="minorHAnsi" w:eastAsiaTheme="minorEastAsia" w:hAnsiTheme="minorHAnsi" w:cstheme="minorBidi"/>
                <w:color w:val="000000" w:themeColor="text2"/>
                <w:sz w:val="18"/>
                <w:szCs w:val="18"/>
              </w:rPr>
            </w:pPr>
            <w:r w:rsidRPr="4B4813E2">
              <w:rPr>
                <w:rFonts w:asciiTheme="minorHAnsi" w:eastAsiaTheme="minorEastAsia" w:hAnsiTheme="minorHAnsi" w:cstheme="minorBidi"/>
                <w:color w:val="000000" w:themeColor="text2"/>
                <w:sz w:val="18"/>
                <w:szCs w:val="18"/>
              </w:rPr>
              <w:t xml:space="preserve">ALLOW </w:t>
            </w:r>
          </w:p>
        </w:tc>
        <w:tc>
          <w:tcPr>
            <w:tcW w:w="2820" w:type="dxa"/>
            <w:tcBorders>
              <w:top w:val="nil"/>
              <w:left w:val="nil"/>
              <w:bottom w:val="nil"/>
              <w:right w:val="nil"/>
            </w:tcBorders>
            <w:shd w:val="clear" w:color="auto" w:fill="EDEDED"/>
          </w:tcPr>
          <w:p w14:paraId="2625C9A9" w14:textId="46F167A4" w:rsidR="4B4813E2" w:rsidRDefault="4B4813E2" w:rsidP="4B4813E2">
            <w:pPr>
              <w:spacing w:after="160" w:line="257" w:lineRule="auto"/>
              <w:rPr>
                <w:rFonts w:asciiTheme="minorHAnsi" w:eastAsiaTheme="minorEastAsia" w:hAnsiTheme="minorHAnsi" w:cstheme="minorBidi"/>
                <w:color w:val="000000" w:themeColor="text2"/>
                <w:sz w:val="18"/>
                <w:szCs w:val="18"/>
              </w:rPr>
            </w:pPr>
            <w:r w:rsidRPr="4B4813E2">
              <w:rPr>
                <w:rFonts w:asciiTheme="minorHAnsi" w:eastAsiaTheme="minorEastAsia" w:hAnsiTheme="minorHAnsi" w:cstheme="minorBidi"/>
                <w:color w:val="000000" w:themeColor="text2"/>
                <w:sz w:val="18"/>
                <w:szCs w:val="18"/>
                <w:lang w:val="en"/>
              </w:rPr>
              <w:t>EVSE status and discovery</w:t>
            </w:r>
            <w:r w:rsidRPr="4B4813E2">
              <w:rPr>
                <w:rFonts w:asciiTheme="minorHAnsi" w:eastAsiaTheme="minorEastAsia" w:hAnsiTheme="minorHAnsi" w:cstheme="minorBidi"/>
                <w:color w:val="000000" w:themeColor="text2"/>
                <w:sz w:val="18"/>
                <w:szCs w:val="18"/>
              </w:rPr>
              <w:t xml:space="preserve"> </w:t>
            </w:r>
          </w:p>
        </w:tc>
      </w:tr>
      <w:tr w:rsidR="4B4813E2" w14:paraId="17F19BB8" w14:textId="77777777" w:rsidTr="637E30F3">
        <w:trPr>
          <w:trHeight w:val="300"/>
        </w:trPr>
        <w:tc>
          <w:tcPr>
            <w:tcW w:w="1694" w:type="dxa"/>
            <w:tcBorders>
              <w:top w:val="nil"/>
              <w:left w:val="nil"/>
              <w:bottom w:val="nil"/>
              <w:right w:val="nil"/>
            </w:tcBorders>
          </w:tcPr>
          <w:p w14:paraId="4F4EDD5C" w14:textId="616131B4" w:rsidR="4B4813E2" w:rsidRDefault="4B4813E2" w:rsidP="4B4813E2">
            <w:pPr>
              <w:spacing w:after="160" w:line="257" w:lineRule="auto"/>
              <w:rPr>
                <w:rFonts w:asciiTheme="minorHAnsi" w:eastAsiaTheme="minorEastAsia" w:hAnsiTheme="minorHAnsi" w:cstheme="minorBidi"/>
                <w:b/>
                <w:bCs/>
                <w:sz w:val="18"/>
                <w:szCs w:val="18"/>
              </w:rPr>
            </w:pPr>
            <w:r w:rsidRPr="4B4813E2">
              <w:rPr>
                <w:rFonts w:asciiTheme="minorHAnsi" w:eastAsiaTheme="minorEastAsia" w:hAnsiTheme="minorHAnsi" w:cstheme="minorBidi"/>
                <w:b/>
                <w:bCs/>
                <w:sz w:val="18"/>
                <w:szCs w:val="18"/>
              </w:rPr>
              <w:t xml:space="preserve">INTERNAL </w:t>
            </w:r>
          </w:p>
        </w:tc>
        <w:tc>
          <w:tcPr>
            <w:tcW w:w="2370" w:type="dxa"/>
            <w:tcBorders>
              <w:top w:val="nil"/>
              <w:left w:val="nil"/>
              <w:bottom w:val="nil"/>
              <w:right w:val="nil"/>
            </w:tcBorders>
          </w:tcPr>
          <w:p w14:paraId="42C50E6D" w14:textId="19221F73" w:rsidR="4B4813E2" w:rsidRDefault="4B4813E2" w:rsidP="4B4813E2">
            <w:pPr>
              <w:spacing w:after="160" w:line="257" w:lineRule="auto"/>
              <w:rPr>
                <w:rFonts w:asciiTheme="minorHAnsi" w:eastAsiaTheme="minorEastAsia" w:hAnsiTheme="minorHAnsi" w:cstheme="minorBidi"/>
                <w:sz w:val="18"/>
                <w:szCs w:val="18"/>
              </w:rPr>
            </w:pPr>
            <w:r w:rsidRPr="4B4813E2">
              <w:rPr>
                <w:rFonts w:asciiTheme="minorHAnsi" w:eastAsiaTheme="minorEastAsia" w:hAnsiTheme="minorHAnsi" w:cstheme="minorBidi"/>
                <w:sz w:val="18"/>
                <w:szCs w:val="18"/>
              </w:rPr>
              <w:t xml:space="preserve">For command Operation </w:t>
            </w:r>
          </w:p>
        </w:tc>
        <w:tc>
          <w:tcPr>
            <w:tcW w:w="2160" w:type="dxa"/>
            <w:tcBorders>
              <w:top w:val="nil"/>
              <w:left w:val="nil"/>
              <w:bottom w:val="nil"/>
              <w:right w:val="nil"/>
            </w:tcBorders>
          </w:tcPr>
          <w:p w14:paraId="510C50C5" w14:textId="2FFA475A" w:rsidR="4B4813E2" w:rsidRDefault="4B4813E2" w:rsidP="4B4813E2">
            <w:pPr>
              <w:spacing w:after="160" w:line="257" w:lineRule="auto"/>
              <w:rPr>
                <w:rFonts w:asciiTheme="minorHAnsi" w:eastAsiaTheme="minorEastAsia" w:hAnsiTheme="minorHAnsi" w:cstheme="minorBidi"/>
                <w:sz w:val="18"/>
                <w:szCs w:val="18"/>
              </w:rPr>
            </w:pPr>
            <w:r w:rsidRPr="4B4813E2">
              <w:rPr>
                <w:rFonts w:asciiTheme="minorHAnsi" w:eastAsiaTheme="minorEastAsia" w:hAnsiTheme="minorHAnsi" w:cstheme="minorBidi"/>
                <w:sz w:val="18"/>
                <w:szCs w:val="18"/>
              </w:rPr>
              <w:t xml:space="preserve"> ALLOW WITH AUDIT </w:t>
            </w:r>
          </w:p>
        </w:tc>
        <w:tc>
          <w:tcPr>
            <w:tcW w:w="2820" w:type="dxa"/>
            <w:tcBorders>
              <w:top w:val="nil"/>
              <w:left w:val="nil"/>
              <w:bottom w:val="nil"/>
              <w:right w:val="nil"/>
            </w:tcBorders>
          </w:tcPr>
          <w:p w14:paraId="214EC194" w14:textId="41427F76" w:rsidR="4B4813E2" w:rsidRDefault="4B4813E2" w:rsidP="4B4813E2">
            <w:pPr>
              <w:spacing w:after="160" w:line="257" w:lineRule="auto"/>
              <w:rPr>
                <w:rFonts w:asciiTheme="minorHAnsi" w:eastAsiaTheme="minorEastAsia" w:hAnsiTheme="minorHAnsi" w:cstheme="minorBidi"/>
                <w:sz w:val="18"/>
                <w:szCs w:val="18"/>
              </w:rPr>
            </w:pPr>
            <w:r w:rsidRPr="4B4813E2">
              <w:rPr>
                <w:rFonts w:asciiTheme="minorHAnsi" w:eastAsiaTheme="minorEastAsia" w:hAnsiTheme="minorHAnsi" w:cstheme="minorBidi"/>
                <w:sz w:val="18"/>
                <w:szCs w:val="18"/>
                <w:lang w:val="en"/>
              </w:rPr>
              <w:t>To start or stop charging</w:t>
            </w:r>
            <w:r w:rsidRPr="4B4813E2">
              <w:rPr>
                <w:rFonts w:asciiTheme="minorHAnsi" w:eastAsiaTheme="minorEastAsia" w:hAnsiTheme="minorHAnsi" w:cstheme="minorBidi"/>
                <w:sz w:val="18"/>
                <w:szCs w:val="18"/>
              </w:rPr>
              <w:t xml:space="preserve"> </w:t>
            </w:r>
          </w:p>
        </w:tc>
      </w:tr>
      <w:tr w:rsidR="4B4813E2" w14:paraId="3FF104E5" w14:textId="77777777" w:rsidTr="637E30F3">
        <w:trPr>
          <w:trHeight w:val="300"/>
        </w:trPr>
        <w:tc>
          <w:tcPr>
            <w:tcW w:w="1694" w:type="dxa"/>
            <w:tcBorders>
              <w:top w:val="nil"/>
              <w:left w:val="nil"/>
              <w:bottom w:val="nil"/>
              <w:right w:val="nil"/>
            </w:tcBorders>
            <w:shd w:val="clear" w:color="auto" w:fill="EDEDED"/>
          </w:tcPr>
          <w:p w14:paraId="023585B4" w14:textId="6E089DEB" w:rsidR="4B4813E2" w:rsidRDefault="4B4813E2" w:rsidP="4B4813E2">
            <w:pPr>
              <w:spacing w:after="160" w:line="257" w:lineRule="auto"/>
              <w:rPr>
                <w:rFonts w:asciiTheme="minorHAnsi" w:eastAsiaTheme="minorEastAsia" w:hAnsiTheme="minorHAnsi" w:cstheme="minorBidi"/>
                <w:b/>
                <w:bCs/>
                <w:color w:val="000000" w:themeColor="text2"/>
                <w:sz w:val="18"/>
                <w:szCs w:val="18"/>
              </w:rPr>
            </w:pPr>
            <w:r w:rsidRPr="4B4813E2">
              <w:rPr>
                <w:rFonts w:asciiTheme="minorHAnsi" w:eastAsiaTheme="minorEastAsia" w:hAnsiTheme="minorHAnsi" w:cstheme="minorBidi"/>
                <w:b/>
                <w:bCs/>
                <w:color w:val="000000" w:themeColor="text2"/>
                <w:sz w:val="18"/>
                <w:szCs w:val="18"/>
              </w:rPr>
              <w:t xml:space="preserve">CONFIDENTIAL </w:t>
            </w:r>
          </w:p>
        </w:tc>
        <w:tc>
          <w:tcPr>
            <w:tcW w:w="2370" w:type="dxa"/>
            <w:tcBorders>
              <w:top w:val="nil"/>
              <w:left w:val="nil"/>
              <w:bottom w:val="nil"/>
              <w:right w:val="nil"/>
            </w:tcBorders>
            <w:shd w:val="clear" w:color="auto" w:fill="EDEDED"/>
          </w:tcPr>
          <w:p w14:paraId="13D1F6CA" w14:textId="7C556CB8" w:rsidR="4B4813E2" w:rsidRDefault="4B4813E2" w:rsidP="4B4813E2">
            <w:pPr>
              <w:spacing w:after="160" w:line="257" w:lineRule="auto"/>
              <w:rPr>
                <w:rFonts w:asciiTheme="minorHAnsi" w:eastAsiaTheme="minorEastAsia" w:hAnsiTheme="minorHAnsi" w:cstheme="minorBidi"/>
                <w:color w:val="000000" w:themeColor="text2"/>
                <w:sz w:val="18"/>
                <w:szCs w:val="18"/>
              </w:rPr>
            </w:pPr>
            <w:r w:rsidRPr="4B4813E2">
              <w:rPr>
                <w:rFonts w:asciiTheme="minorHAnsi" w:eastAsiaTheme="minorEastAsia" w:hAnsiTheme="minorHAnsi" w:cstheme="minorBidi"/>
                <w:color w:val="000000" w:themeColor="text2"/>
                <w:sz w:val="18"/>
                <w:szCs w:val="18"/>
              </w:rPr>
              <w:t xml:space="preserve">For changing configurations </w:t>
            </w:r>
          </w:p>
        </w:tc>
        <w:tc>
          <w:tcPr>
            <w:tcW w:w="2160" w:type="dxa"/>
            <w:tcBorders>
              <w:top w:val="nil"/>
              <w:left w:val="nil"/>
              <w:bottom w:val="nil"/>
              <w:right w:val="nil"/>
            </w:tcBorders>
            <w:shd w:val="clear" w:color="auto" w:fill="EDEDED"/>
          </w:tcPr>
          <w:p w14:paraId="5D266BA5" w14:textId="2E5FAC18" w:rsidR="4B4813E2" w:rsidRDefault="4B4813E2" w:rsidP="4B4813E2">
            <w:pPr>
              <w:spacing w:after="160" w:line="257" w:lineRule="auto"/>
              <w:rPr>
                <w:rFonts w:asciiTheme="minorHAnsi" w:eastAsiaTheme="minorEastAsia" w:hAnsiTheme="minorHAnsi" w:cstheme="minorBidi"/>
                <w:color w:val="000000" w:themeColor="text2"/>
                <w:sz w:val="18"/>
                <w:szCs w:val="18"/>
              </w:rPr>
            </w:pPr>
            <w:r w:rsidRPr="4B4813E2">
              <w:rPr>
                <w:rFonts w:asciiTheme="minorHAnsi" w:eastAsiaTheme="minorEastAsia" w:hAnsiTheme="minorHAnsi" w:cstheme="minorBidi"/>
                <w:color w:val="000000" w:themeColor="text2"/>
                <w:sz w:val="18"/>
                <w:szCs w:val="18"/>
              </w:rPr>
              <w:t xml:space="preserve">ALLOW WITH AUDIT </w:t>
            </w:r>
          </w:p>
        </w:tc>
        <w:tc>
          <w:tcPr>
            <w:tcW w:w="2820" w:type="dxa"/>
            <w:tcBorders>
              <w:top w:val="nil"/>
              <w:left w:val="nil"/>
              <w:bottom w:val="nil"/>
              <w:right w:val="nil"/>
            </w:tcBorders>
            <w:shd w:val="clear" w:color="auto" w:fill="EDEDED"/>
          </w:tcPr>
          <w:p w14:paraId="3AEB6FED" w14:textId="2C5825FF" w:rsidR="4B4813E2" w:rsidRDefault="4B4813E2" w:rsidP="4B4813E2">
            <w:pPr>
              <w:spacing w:after="160" w:line="257" w:lineRule="auto"/>
              <w:rPr>
                <w:rFonts w:asciiTheme="minorHAnsi" w:eastAsiaTheme="minorEastAsia" w:hAnsiTheme="minorHAnsi" w:cstheme="minorBidi"/>
                <w:color w:val="000000" w:themeColor="text2"/>
                <w:sz w:val="18"/>
                <w:szCs w:val="18"/>
              </w:rPr>
            </w:pPr>
            <w:r w:rsidRPr="4B4813E2">
              <w:rPr>
                <w:rFonts w:asciiTheme="minorHAnsi" w:eastAsiaTheme="minorEastAsia" w:hAnsiTheme="minorHAnsi" w:cstheme="minorBidi"/>
                <w:color w:val="000000" w:themeColor="text2"/>
                <w:sz w:val="18"/>
                <w:szCs w:val="18"/>
                <w:lang w:val="en-US"/>
              </w:rPr>
              <w:t>To write parameters</w:t>
            </w:r>
            <w:r w:rsidRPr="4B4813E2">
              <w:rPr>
                <w:rFonts w:asciiTheme="minorHAnsi" w:eastAsiaTheme="minorEastAsia" w:hAnsiTheme="minorHAnsi" w:cstheme="minorBidi"/>
                <w:color w:val="000000" w:themeColor="text2"/>
                <w:sz w:val="18"/>
                <w:szCs w:val="18"/>
              </w:rPr>
              <w:t xml:space="preserve"> </w:t>
            </w:r>
          </w:p>
        </w:tc>
      </w:tr>
      <w:tr w:rsidR="4B4813E2" w14:paraId="30421CF0" w14:textId="77777777" w:rsidTr="637E30F3">
        <w:trPr>
          <w:trHeight w:val="345"/>
        </w:trPr>
        <w:tc>
          <w:tcPr>
            <w:tcW w:w="1694" w:type="dxa"/>
            <w:tcBorders>
              <w:top w:val="nil"/>
              <w:left w:val="nil"/>
              <w:bottom w:val="nil"/>
              <w:right w:val="nil"/>
            </w:tcBorders>
          </w:tcPr>
          <w:p w14:paraId="3F2237AB" w14:textId="4C8C959B" w:rsidR="4B4813E2" w:rsidRDefault="4B4813E2" w:rsidP="4B4813E2">
            <w:pPr>
              <w:spacing w:after="160" w:line="257" w:lineRule="auto"/>
              <w:rPr>
                <w:rFonts w:asciiTheme="minorHAnsi" w:eastAsiaTheme="minorEastAsia" w:hAnsiTheme="minorHAnsi" w:cstheme="minorBidi"/>
                <w:b/>
                <w:bCs/>
                <w:sz w:val="18"/>
                <w:szCs w:val="18"/>
              </w:rPr>
            </w:pPr>
            <w:r w:rsidRPr="4B4813E2">
              <w:rPr>
                <w:rFonts w:asciiTheme="minorHAnsi" w:eastAsiaTheme="minorEastAsia" w:hAnsiTheme="minorHAnsi" w:cstheme="minorBidi"/>
                <w:b/>
                <w:bCs/>
                <w:sz w:val="18"/>
                <w:szCs w:val="18"/>
              </w:rPr>
              <w:t xml:space="preserve">CRITICAL </w:t>
            </w:r>
          </w:p>
        </w:tc>
        <w:tc>
          <w:tcPr>
            <w:tcW w:w="2370" w:type="dxa"/>
            <w:tcBorders>
              <w:top w:val="nil"/>
              <w:left w:val="nil"/>
              <w:bottom w:val="nil"/>
              <w:right w:val="nil"/>
            </w:tcBorders>
          </w:tcPr>
          <w:p w14:paraId="3CA76EE0" w14:textId="64814F50" w:rsidR="4B4813E2" w:rsidRDefault="4B4813E2" w:rsidP="4B4813E2">
            <w:pPr>
              <w:spacing w:after="160" w:line="257" w:lineRule="auto"/>
              <w:rPr>
                <w:rFonts w:asciiTheme="minorHAnsi" w:eastAsiaTheme="minorEastAsia" w:hAnsiTheme="minorHAnsi" w:cstheme="minorBidi"/>
                <w:sz w:val="18"/>
                <w:szCs w:val="18"/>
              </w:rPr>
            </w:pPr>
            <w:r w:rsidRPr="4B4813E2">
              <w:rPr>
                <w:rFonts w:asciiTheme="minorHAnsi" w:eastAsiaTheme="minorEastAsia" w:hAnsiTheme="minorHAnsi" w:cstheme="minorBidi"/>
                <w:sz w:val="18"/>
                <w:szCs w:val="18"/>
              </w:rPr>
              <w:t xml:space="preserve">For critical operations  </w:t>
            </w:r>
          </w:p>
        </w:tc>
        <w:tc>
          <w:tcPr>
            <w:tcW w:w="2160" w:type="dxa"/>
            <w:tcBorders>
              <w:top w:val="nil"/>
              <w:left w:val="nil"/>
              <w:bottom w:val="nil"/>
              <w:right w:val="nil"/>
            </w:tcBorders>
          </w:tcPr>
          <w:p w14:paraId="1F6138A4" w14:textId="573C2396" w:rsidR="4B4813E2" w:rsidRDefault="4B4813E2" w:rsidP="4B4813E2">
            <w:pPr>
              <w:spacing w:after="160" w:line="257" w:lineRule="auto"/>
              <w:rPr>
                <w:rFonts w:asciiTheme="minorHAnsi" w:eastAsiaTheme="minorEastAsia" w:hAnsiTheme="minorHAnsi" w:cstheme="minorBidi"/>
                <w:sz w:val="18"/>
                <w:szCs w:val="18"/>
              </w:rPr>
            </w:pPr>
            <w:r w:rsidRPr="4B4813E2">
              <w:rPr>
                <w:rFonts w:asciiTheme="minorHAnsi" w:eastAsiaTheme="minorEastAsia" w:hAnsiTheme="minorHAnsi" w:cstheme="minorBidi"/>
                <w:sz w:val="18"/>
                <w:szCs w:val="18"/>
              </w:rPr>
              <w:t xml:space="preserve">DENY </w:t>
            </w:r>
          </w:p>
        </w:tc>
        <w:tc>
          <w:tcPr>
            <w:tcW w:w="2820" w:type="dxa"/>
            <w:tcBorders>
              <w:top w:val="nil"/>
              <w:left w:val="nil"/>
              <w:bottom w:val="nil"/>
              <w:right w:val="nil"/>
            </w:tcBorders>
          </w:tcPr>
          <w:p w14:paraId="6717CB35" w14:textId="718AAA4E" w:rsidR="4B4813E2" w:rsidRDefault="4B4813E2" w:rsidP="4B4813E2">
            <w:pPr>
              <w:spacing w:after="160" w:line="257" w:lineRule="auto"/>
              <w:rPr>
                <w:rFonts w:asciiTheme="minorHAnsi" w:eastAsiaTheme="minorEastAsia" w:hAnsiTheme="minorHAnsi" w:cstheme="minorBidi"/>
                <w:sz w:val="18"/>
                <w:szCs w:val="18"/>
              </w:rPr>
            </w:pPr>
            <w:r w:rsidRPr="4B4813E2">
              <w:rPr>
                <w:rFonts w:asciiTheme="minorHAnsi" w:eastAsiaTheme="minorEastAsia" w:hAnsiTheme="minorHAnsi" w:cstheme="minorBidi"/>
                <w:sz w:val="18"/>
                <w:szCs w:val="18"/>
                <w:lang w:val="en-US"/>
              </w:rPr>
              <w:t>Contactors and firmware updates</w:t>
            </w:r>
            <w:r w:rsidRPr="4B4813E2">
              <w:rPr>
                <w:rFonts w:asciiTheme="minorHAnsi" w:eastAsiaTheme="minorEastAsia" w:hAnsiTheme="minorHAnsi" w:cstheme="minorBidi"/>
                <w:sz w:val="18"/>
                <w:szCs w:val="18"/>
              </w:rPr>
              <w:t xml:space="preserve"> </w:t>
            </w:r>
          </w:p>
        </w:tc>
      </w:tr>
      <w:tr w:rsidR="4B4813E2" w14:paraId="4EC5DEBD" w14:textId="77777777" w:rsidTr="637E30F3">
        <w:trPr>
          <w:trHeight w:val="300"/>
        </w:trPr>
        <w:tc>
          <w:tcPr>
            <w:tcW w:w="1694" w:type="dxa"/>
            <w:tcBorders>
              <w:top w:val="nil"/>
              <w:left w:val="nil"/>
              <w:bottom w:val="single" w:sz="8" w:space="0" w:color="auto"/>
              <w:right w:val="nil"/>
            </w:tcBorders>
            <w:shd w:val="clear" w:color="auto" w:fill="EDEDED"/>
          </w:tcPr>
          <w:p w14:paraId="3BE73E3D" w14:textId="7C6ACB28" w:rsidR="4B4813E2" w:rsidRDefault="4B4813E2" w:rsidP="4B4813E2">
            <w:pPr>
              <w:spacing w:after="160" w:line="257" w:lineRule="auto"/>
              <w:rPr>
                <w:rFonts w:asciiTheme="minorHAnsi" w:eastAsiaTheme="minorEastAsia" w:hAnsiTheme="minorHAnsi" w:cstheme="minorBidi"/>
                <w:b/>
                <w:bCs/>
                <w:color w:val="000000" w:themeColor="text2"/>
                <w:sz w:val="18"/>
                <w:szCs w:val="18"/>
              </w:rPr>
            </w:pPr>
            <w:r w:rsidRPr="4B4813E2">
              <w:rPr>
                <w:rFonts w:asciiTheme="minorHAnsi" w:eastAsiaTheme="minorEastAsia" w:hAnsiTheme="minorHAnsi" w:cstheme="minorBidi"/>
                <w:b/>
                <w:bCs/>
                <w:color w:val="000000" w:themeColor="text2"/>
                <w:sz w:val="18"/>
                <w:szCs w:val="18"/>
                <w:lang w:val="en"/>
              </w:rPr>
              <w:t xml:space="preserve">EMERGENCY </w:t>
            </w:r>
            <w:r w:rsidRPr="4B4813E2">
              <w:rPr>
                <w:rFonts w:asciiTheme="minorHAnsi" w:eastAsiaTheme="minorEastAsia" w:hAnsiTheme="minorHAnsi" w:cstheme="minorBidi"/>
                <w:b/>
                <w:bCs/>
                <w:color w:val="000000" w:themeColor="text2"/>
                <w:sz w:val="18"/>
                <w:szCs w:val="18"/>
              </w:rPr>
              <w:t xml:space="preserve"> </w:t>
            </w:r>
          </w:p>
        </w:tc>
        <w:tc>
          <w:tcPr>
            <w:tcW w:w="2370" w:type="dxa"/>
            <w:tcBorders>
              <w:top w:val="nil"/>
              <w:left w:val="nil"/>
              <w:bottom w:val="single" w:sz="8" w:space="0" w:color="auto"/>
              <w:right w:val="nil"/>
            </w:tcBorders>
            <w:shd w:val="clear" w:color="auto" w:fill="EDEDED"/>
          </w:tcPr>
          <w:p w14:paraId="4E3B912C" w14:textId="04617CEE" w:rsidR="4B4813E2" w:rsidRDefault="4B4813E2" w:rsidP="4B4813E2">
            <w:pPr>
              <w:spacing w:after="160" w:line="257" w:lineRule="auto"/>
              <w:rPr>
                <w:rFonts w:asciiTheme="minorHAnsi" w:eastAsiaTheme="minorEastAsia" w:hAnsiTheme="minorHAnsi" w:cstheme="minorBidi"/>
                <w:color w:val="000000" w:themeColor="text2"/>
                <w:sz w:val="18"/>
                <w:szCs w:val="18"/>
              </w:rPr>
            </w:pPr>
            <w:r w:rsidRPr="4B4813E2">
              <w:rPr>
                <w:rFonts w:asciiTheme="minorHAnsi" w:eastAsiaTheme="minorEastAsia" w:hAnsiTheme="minorHAnsi" w:cstheme="minorBidi"/>
                <w:color w:val="000000" w:themeColor="text2"/>
                <w:sz w:val="18"/>
                <w:szCs w:val="18"/>
                <w:lang w:val="en"/>
              </w:rPr>
              <w:t>For fail-safe</w:t>
            </w:r>
            <w:r w:rsidRPr="4B4813E2">
              <w:rPr>
                <w:rFonts w:asciiTheme="minorHAnsi" w:eastAsiaTheme="minorEastAsia" w:hAnsiTheme="minorHAnsi" w:cstheme="minorBidi"/>
                <w:color w:val="000000" w:themeColor="text2"/>
                <w:sz w:val="18"/>
                <w:szCs w:val="18"/>
              </w:rPr>
              <w:t xml:space="preserve"> </w:t>
            </w:r>
          </w:p>
        </w:tc>
        <w:tc>
          <w:tcPr>
            <w:tcW w:w="2160" w:type="dxa"/>
            <w:tcBorders>
              <w:top w:val="nil"/>
              <w:left w:val="nil"/>
              <w:bottom w:val="single" w:sz="8" w:space="0" w:color="auto"/>
              <w:right w:val="nil"/>
            </w:tcBorders>
            <w:shd w:val="clear" w:color="auto" w:fill="EDEDED"/>
          </w:tcPr>
          <w:p w14:paraId="3C51C9C5" w14:textId="70CD361E" w:rsidR="4B4813E2" w:rsidRDefault="4B4813E2" w:rsidP="4B4813E2">
            <w:pPr>
              <w:spacing w:after="160" w:line="257" w:lineRule="auto"/>
              <w:rPr>
                <w:rFonts w:asciiTheme="minorHAnsi" w:eastAsiaTheme="minorEastAsia" w:hAnsiTheme="minorHAnsi" w:cstheme="minorBidi"/>
                <w:color w:val="000000" w:themeColor="text2"/>
                <w:sz w:val="18"/>
                <w:szCs w:val="18"/>
              </w:rPr>
            </w:pPr>
            <w:r w:rsidRPr="4B4813E2">
              <w:rPr>
                <w:rFonts w:asciiTheme="minorHAnsi" w:eastAsiaTheme="minorEastAsia" w:hAnsiTheme="minorHAnsi" w:cstheme="minorBidi"/>
                <w:color w:val="000000" w:themeColor="text2"/>
                <w:sz w:val="18"/>
                <w:szCs w:val="18"/>
                <w:lang w:val="en"/>
              </w:rPr>
              <w:t>DENY WITH ALERT</w:t>
            </w:r>
            <w:r w:rsidRPr="4B4813E2">
              <w:rPr>
                <w:rFonts w:asciiTheme="minorHAnsi" w:eastAsiaTheme="minorEastAsia" w:hAnsiTheme="minorHAnsi" w:cstheme="minorBidi"/>
                <w:color w:val="000000" w:themeColor="text2"/>
                <w:sz w:val="18"/>
                <w:szCs w:val="18"/>
              </w:rPr>
              <w:t xml:space="preserve"> </w:t>
            </w:r>
          </w:p>
        </w:tc>
        <w:tc>
          <w:tcPr>
            <w:tcW w:w="2820" w:type="dxa"/>
            <w:tcBorders>
              <w:top w:val="nil"/>
              <w:left w:val="nil"/>
              <w:bottom w:val="single" w:sz="8" w:space="0" w:color="auto"/>
              <w:right w:val="nil"/>
            </w:tcBorders>
            <w:shd w:val="clear" w:color="auto" w:fill="EDEDED"/>
          </w:tcPr>
          <w:p w14:paraId="34F2E3F6" w14:textId="2B3C7470" w:rsidR="4B4813E2" w:rsidRDefault="4B4813E2" w:rsidP="4B4813E2">
            <w:pPr>
              <w:spacing w:after="160" w:line="257" w:lineRule="auto"/>
              <w:rPr>
                <w:rFonts w:asciiTheme="minorHAnsi" w:eastAsiaTheme="minorEastAsia" w:hAnsiTheme="minorHAnsi" w:cstheme="minorBidi"/>
                <w:color w:val="000000" w:themeColor="text2"/>
                <w:sz w:val="18"/>
                <w:szCs w:val="18"/>
              </w:rPr>
            </w:pPr>
            <w:r w:rsidRPr="4B4813E2">
              <w:rPr>
                <w:rFonts w:asciiTheme="minorHAnsi" w:eastAsiaTheme="minorEastAsia" w:hAnsiTheme="minorHAnsi" w:cstheme="minorBidi"/>
                <w:color w:val="000000" w:themeColor="text2"/>
                <w:sz w:val="18"/>
                <w:szCs w:val="18"/>
                <w:lang w:val="en"/>
              </w:rPr>
              <w:t>To tamper and stop emergency</w:t>
            </w:r>
          </w:p>
        </w:tc>
      </w:tr>
    </w:tbl>
    <w:p w14:paraId="07CB2C4C" w14:textId="3A46350E" w:rsidR="3F3DF4E1" w:rsidRDefault="3F3DF4E1" w:rsidP="637E30F3">
      <w:pPr>
        <w:spacing w:after="160" w:line="257" w:lineRule="auto"/>
        <w:jc w:val="both"/>
        <w:rPr>
          <w:rFonts w:asciiTheme="minorHAnsi" w:eastAsiaTheme="minorEastAsia" w:hAnsiTheme="minorHAnsi" w:cstheme="minorBidi"/>
          <w:lang w:val="en-GB"/>
        </w:rPr>
      </w:pPr>
    </w:p>
    <w:p w14:paraId="6E13256B" w14:textId="46506772" w:rsidR="3F3DF4E1" w:rsidRDefault="6830F39E" w:rsidP="286359DE">
      <w:pPr>
        <w:spacing w:after="160" w:line="257" w:lineRule="auto"/>
        <w:jc w:val="center"/>
        <w:rPr>
          <w:rFonts w:asciiTheme="minorHAnsi" w:eastAsiaTheme="minorEastAsia" w:hAnsiTheme="minorHAnsi" w:cstheme="minorBidi"/>
        </w:rPr>
      </w:pPr>
      <w:r>
        <w:rPr>
          <w:noProof/>
        </w:rPr>
        <w:drawing>
          <wp:inline distT="0" distB="0" distL="0" distR="0" wp14:anchorId="3774A6C9" wp14:editId="598A9A72">
            <wp:extent cx="2091291" cy="438913"/>
            <wp:effectExtent l="0" t="0" r="4445" b="0"/>
            <wp:docPr id="11453094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09420" name="Picture 1145309420"/>
                    <pic:cNvPicPr/>
                  </pic:nvPicPr>
                  <pic:blipFill>
                    <a:blip r:embed="rId56">
                      <a:extLst>
                        <a:ext uri="{28A0092B-C50C-407E-A947-70E740481C1C}">
                          <a14:useLocalDpi xmlns:a14="http://schemas.microsoft.com/office/drawing/2010/main"/>
                        </a:ext>
                      </a:extLst>
                    </a:blip>
                    <a:stretch>
                      <a:fillRect/>
                    </a:stretch>
                  </pic:blipFill>
                  <pic:spPr>
                    <a:xfrm>
                      <a:off x="0" y="0"/>
                      <a:ext cx="2092668" cy="439202"/>
                    </a:xfrm>
                    <a:prstGeom prst="rect">
                      <a:avLst/>
                    </a:prstGeom>
                  </pic:spPr>
                </pic:pic>
              </a:graphicData>
            </a:graphic>
          </wp:inline>
        </w:drawing>
      </w:r>
    </w:p>
    <w:p w14:paraId="4CB91675" w14:textId="10CFD393" w:rsidR="3F3DF4E1" w:rsidRDefault="3F3DF4E1" w:rsidP="09DCEA1C">
      <w:pPr>
        <w:spacing w:after="160" w:line="257" w:lineRule="auto"/>
        <w:jc w:val="both"/>
        <w:rPr>
          <w:rFonts w:asciiTheme="minorHAnsi" w:eastAsiaTheme="minorEastAsia" w:hAnsiTheme="minorHAnsi" w:cstheme="minorBidi"/>
          <w:sz w:val="24"/>
          <w:szCs w:val="24"/>
        </w:rPr>
      </w:pPr>
      <w:r w:rsidRPr="290DB2B9">
        <w:rPr>
          <w:rFonts w:asciiTheme="minorHAnsi" w:eastAsiaTheme="minorEastAsia" w:hAnsiTheme="minorHAnsi" w:cstheme="minorBidi"/>
          <w:sz w:val="24"/>
          <w:szCs w:val="24"/>
        </w:rPr>
        <w:t>The TSM-enabled firmware verification pipeline encompasses sequential steps to formalize and</w:t>
      </w:r>
      <w:r w:rsidR="084C7357" w:rsidRPr="290DB2B9">
        <w:rPr>
          <w:rFonts w:asciiTheme="minorHAnsi" w:eastAsiaTheme="minorEastAsia" w:hAnsiTheme="minorHAnsi" w:cstheme="minorBidi"/>
          <w:sz w:val="24"/>
          <w:szCs w:val="24"/>
        </w:rPr>
        <w:t xml:space="preserve"> </w:t>
      </w:r>
      <w:r w:rsidRPr="290DB2B9">
        <w:rPr>
          <w:rFonts w:asciiTheme="minorHAnsi" w:eastAsiaTheme="minorEastAsia" w:hAnsiTheme="minorHAnsi" w:cstheme="minorBidi"/>
          <w:sz w:val="24"/>
          <w:szCs w:val="24"/>
        </w:rPr>
        <w:t xml:space="preserve">enforce each policy, as reflected in </w:t>
      </w:r>
      <w:r w:rsidR="00D57441">
        <w:rPr>
          <w:rFonts w:asciiTheme="minorHAnsi" w:eastAsiaTheme="minorEastAsia" w:hAnsiTheme="minorHAnsi" w:cstheme="minorBidi"/>
          <w:sz w:val="24"/>
          <w:szCs w:val="24"/>
        </w:rPr>
        <w:t>f</w:t>
      </w:r>
      <w:r w:rsidRPr="290DB2B9">
        <w:rPr>
          <w:rFonts w:asciiTheme="minorHAnsi" w:eastAsiaTheme="minorEastAsia" w:hAnsiTheme="minorHAnsi" w:cstheme="minorBidi"/>
          <w:sz w:val="24"/>
          <w:szCs w:val="24"/>
        </w:rPr>
        <w:t xml:space="preserve">igure </w:t>
      </w:r>
      <w:r w:rsidR="2220B2DD" w:rsidRPr="290DB2B9">
        <w:rPr>
          <w:rFonts w:asciiTheme="minorHAnsi" w:eastAsiaTheme="minorEastAsia" w:hAnsiTheme="minorHAnsi" w:cstheme="minorBidi"/>
          <w:sz w:val="24"/>
          <w:szCs w:val="24"/>
        </w:rPr>
        <w:t>32</w:t>
      </w:r>
      <w:r w:rsidRPr="290DB2B9">
        <w:rPr>
          <w:rFonts w:asciiTheme="minorHAnsi" w:eastAsiaTheme="minorEastAsia" w:hAnsiTheme="minorHAnsi" w:cstheme="minorBidi"/>
          <w:sz w:val="24"/>
          <w:szCs w:val="24"/>
        </w:rPr>
        <w:t xml:space="preserve"> and presented in Eq. 5 as follows:</w:t>
      </w:r>
    </w:p>
    <w:p w14:paraId="56A3F206" w14:textId="0FF46C39" w:rsidR="3F3DF4E1" w:rsidRDefault="3F3DF4E1" w:rsidP="625B0D3D">
      <w:pPr>
        <w:spacing w:after="160" w:line="257" w:lineRule="auto"/>
        <w:rPr>
          <w:rFonts w:asciiTheme="minorHAnsi" w:eastAsiaTheme="minorEastAsia" w:hAnsiTheme="minorHAnsi" w:cstheme="minorBidi"/>
        </w:rPr>
      </w:pPr>
    </w:p>
    <w:p w14:paraId="56975BBC" w14:textId="5CED8EAB" w:rsidR="00FF3C59" w:rsidRDefault="00AB6CBE" w:rsidP="00C9731C">
      <w:pPr>
        <w:spacing w:after="160" w:line="257" w:lineRule="auto"/>
        <w:jc w:val="center"/>
        <w:rPr>
          <w:rFonts w:asciiTheme="minorHAnsi" w:eastAsiaTheme="minorEastAsia" w:hAnsiTheme="minorHAnsi" w:cstheme="minorBidi"/>
        </w:rPr>
      </w:pPr>
      <w:r>
        <w:rPr>
          <w:noProof/>
        </w:rPr>
        <w:drawing>
          <wp:inline distT="0" distB="0" distL="0" distR="0" wp14:anchorId="2F4A7C8E" wp14:editId="30B98CD5">
            <wp:extent cx="6120130" cy="3408680"/>
            <wp:effectExtent l="19050" t="19050" r="13970" b="20320"/>
            <wp:docPr id="104620321"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20321" name="Picture 3" descr="A screenshot of a computer&#10;&#10;AI-generated content may be incorrect."/>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20130" cy="3408680"/>
                    </a:xfrm>
                    <a:prstGeom prst="rect">
                      <a:avLst/>
                    </a:prstGeom>
                    <a:noFill/>
                    <a:ln>
                      <a:solidFill>
                        <a:schemeClr val="tx1"/>
                      </a:solidFill>
                    </a:ln>
                  </pic:spPr>
                </pic:pic>
              </a:graphicData>
            </a:graphic>
          </wp:inline>
        </w:drawing>
      </w:r>
    </w:p>
    <w:p w14:paraId="7281F1D0" w14:textId="3F3D2145" w:rsidR="3F3DF4E1" w:rsidRDefault="00450B01" w:rsidP="00450B01">
      <w:pPr>
        <w:pStyle w:val="Caption"/>
        <w:rPr>
          <w:rFonts w:asciiTheme="minorHAnsi" w:eastAsiaTheme="minorEastAsia" w:hAnsiTheme="minorHAnsi" w:cstheme="minorBidi"/>
          <w:i/>
          <w:color w:val="0E2841"/>
          <w:szCs w:val="20"/>
          <w:lang w:val="en-GB"/>
        </w:rPr>
      </w:pPr>
      <w:bookmarkStart w:id="306" w:name="_Toc233112238"/>
      <w:r>
        <w:t xml:space="preserve">Figure </w:t>
      </w:r>
      <w:r w:rsidR="00113348">
        <w:fldChar w:fldCharType="begin"/>
      </w:r>
      <w:r w:rsidR="00113348">
        <w:instrText xml:space="preserve"> SEQ Figure \* ARABIC </w:instrText>
      </w:r>
      <w:r w:rsidR="00113348">
        <w:fldChar w:fldCharType="separate"/>
      </w:r>
      <w:r w:rsidR="00F8092D">
        <w:rPr>
          <w:noProof/>
        </w:rPr>
        <w:t>32</w:t>
      </w:r>
      <w:r w:rsidR="00113348">
        <w:rPr>
          <w:noProof/>
        </w:rPr>
        <w:fldChar w:fldCharType="end"/>
      </w:r>
      <w:r w:rsidR="3F3DF4E1" w:rsidRPr="290DB2B9">
        <w:rPr>
          <w:rFonts w:ascii="Aptos" w:eastAsia="Aptos" w:hAnsi="Aptos" w:cs="Aptos"/>
          <w:i/>
          <w:color w:val="0E2841"/>
          <w:szCs w:val="20"/>
          <w:lang w:val="en-GB"/>
        </w:rPr>
        <w:t>: The formulation of sequential steps for the firmware update verification in the TSM-enabled pipeline</w:t>
      </w:r>
      <w:bookmarkEnd w:id="306"/>
    </w:p>
    <w:p w14:paraId="4C00CAC7" w14:textId="17961C52" w:rsidR="3F3DF4E1" w:rsidRDefault="3F3DF4E1" w:rsidP="625B0D3D">
      <w:pPr>
        <w:spacing w:after="160" w:line="257" w:lineRule="auto"/>
        <w:rPr>
          <w:rFonts w:asciiTheme="minorHAnsi" w:eastAsiaTheme="minorEastAsia" w:hAnsiTheme="minorHAnsi" w:cstheme="minorBidi"/>
          <w:sz w:val="24"/>
          <w:szCs w:val="24"/>
          <w:lang w:val="en-GB"/>
        </w:rPr>
      </w:pPr>
      <w:r w:rsidRPr="5B43E580">
        <w:rPr>
          <w:rFonts w:ascii="Aptos" w:eastAsia="Aptos" w:hAnsi="Aptos" w:cs="Aptos"/>
          <w:sz w:val="20"/>
          <w:szCs w:val="20"/>
          <w:lang w:val="en-GB"/>
        </w:rPr>
        <w:t xml:space="preserve"> </w:t>
      </w:r>
    </w:p>
    <w:p w14:paraId="0A8D089B" w14:textId="59802351" w:rsidR="3F3DF4E1" w:rsidRDefault="3F3DF4E1" w:rsidP="09DCEA1C">
      <w:pPr>
        <w:spacing w:after="160" w:line="257" w:lineRule="auto"/>
        <w:jc w:val="both"/>
        <w:rPr>
          <w:rFonts w:asciiTheme="minorHAnsi" w:eastAsiaTheme="minorEastAsia" w:hAnsiTheme="minorHAnsi" w:cstheme="minorBidi"/>
          <w:sz w:val="24"/>
          <w:szCs w:val="24"/>
        </w:rPr>
      </w:pPr>
      <w:r w:rsidRPr="5B43E580">
        <w:rPr>
          <w:rFonts w:asciiTheme="minorHAnsi" w:eastAsiaTheme="minorEastAsia" w:hAnsiTheme="minorHAnsi" w:cstheme="minorBidi"/>
          <w:sz w:val="24"/>
          <w:szCs w:val="24"/>
        </w:rPr>
        <w:t>In case of failure at any Vi step, the TSM pipeline V</w:t>
      </w:r>
      <w:r w:rsidRPr="5B43E580">
        <w:rPr>
          <w:rFonts w:asciiTheme="minorHAnsi" w:eastAsiaTheme="minorEastAsia" w:hAnsiTheme="minorHAnsi" w:cstheme="minorBidi"/>
          <w:sz w:val="24"/>
          <w:szCs w:val="24"/>
          <w:vertAlign w:val="subscript"/>
        </w:rPr>
        <w:t>j</w:t>
      </w:r>
      <w:r w:rsidRPr="5B43E580">
        <w:rPr>
          <w:rFonts w:asciiTheme="minorHAnsi" w:eastAsiaTheme="minorEastAsia" w:hAnsiTheme="minorHAnsi" w:cstheme="minorBidi"/>
          <w:sz w:val="24"/>
          <w:szCs w:val="24"/>
        </w:rPr>
        <w:t xml:space="preserve"> for j &gt; i is not evaluated, and record</w:t>
      </w:r>
    </w:p>
    <w:p w14:paraId="2D99B5D4" w14:textId="3C436116" w:rsidR="3F3DF4E1" w:rsidRDefault="3F3DF4E1" w:rsidP="09DCEA1C">
      <w:pPr>
        <w:spacing w:after="160" w:line="257" w:lineRule="auto"/>
        <w:jc w:val="both"/>
        <w:rPr>
          <w:rFonts w:asciiTheme="minorHAnsi" w:eastAsiaTheme="minorEastAsia" w:hAnsiTheme="minorHAnsi" w:cstheme="minorBidi"/>
          <w:sz w:val="24"/>
          <w:szCs w:val="24"/>
        </w:rPr>
      </w:pPr>
      <w:r w:rsidRPr="5B43E580">
        <w:rPr>
          <w:rFonts w:asciiTheme="minorHAnsi" w:eastAsiaTheme="minorEastAsia" w:hAnsiTheme="minorHAnsi" w:cstheme="minorBidi"/>
          <w:sz w:val="24"/>
          <w:szCs w:val="24"/>
        </w:rPr>
        <w:t>auditing is initiated. The details of the sequential steps are as follows:</w:t>
      </w:r>
    </w:p>
    <w:p w14:paraId="0431DC15" w14:textId="57E11CE0" w:rsidR="3F3DF4E1" w:rsidRDefault="3F3DF4E1" w:rsidP="09DCEA1C">
      <w:pPr>
        <w:pStyle w:val="ListParagraph"/>
        <w:numPr>
          <w:ilvl w:val="0"/>
          <w:numId w:val="64"/>
        </w:numPr>
        <w:spacing w:before="0" w:after="0" w:line="257" w:lineRule="auto"/>
        <w:jc w:val="both"/>
        <w:rPr>
          <w:rFonts w:asciiTheme="minorHAnsi" w:eastAsiaTheme="minorEastAsia" w:hAnsiTheme="minorHAnsi" w:cstheme="minorBidi"/>
        </w:rPr>
      </w:pPr>
      <w:r w:rsidRPr="5B43E580">
        <w:rPr>
          <w:rFonts w:asciiTheme="minorHAnsi" w:eastAsiaTheme="minorEastAsia" w:hAnsiTheme="minorHAnsi" w:cstheme="minorBidi"/>
        </w:rPr>
        <w:t>Intercepted and entered UPDATING state.</w:t>
      </w:r>
    </w:p>
    <w:p w14:paraId="182FB49F" w14:textId="491ACCA7" w:rsidR="3F3DF4E1" w:rsidRDefault="3F3DF4E1" w:rsidP="09DCEA1C">
      <w:pPr>
        <w:pStyle w:val="ListParagraph"/>
        <w:numPr>
          <w:ilvl w:val="0"/>
          <w:numId w:val="64"/>
        </w:numPr>
        <w:spacing w:before="0" w:after="0" w:line="257" w:lineRule="auto"/>
        <w:jc w:val="both"/>
        <w:rPr>
          <w:rFonts w:asciiTheme="minorHAnsi" w:eastAsiaTheme="minorEastAsia" w:hAnsiTheme="minorHAnsi" w:cstheme="minorBidi"/>
        </w:rPr>
      </w:pPr>
      <w:r w:rsidRPr="5B43E580">
        <w:rPr>
          <w:rFonts w:asciiTheme="minorHAnsi" w:eastAsiaTheme="minorEastAsia" w:hAnsiTheme="minorHAnsi" w:cstheme="minorBidi"/>
        </w:rPr>
        <w:t>HA-256 hash verification with V</w:t>
      </w:r>
      <w:r w:rsidRPr="5B43E580">
        <w:rPr>
          <w:rFonts w:asciiTheme="minorHAnsi" w:eastAsiaTheme="minorEastAsia" w:hAnsiTheme="minorHAnsi" w:cstheme="minorBidi"/>
          <w:vertAlign w:val="subscript"/>
        </w:rPr>
        <w:t>2</w:t>
      </w:r>
      <w:r w:rsidRPr="5B43E580">
        <w:rPr>
          <w:rFonts w:asciiTheme="minorHAnsi" w:eastAsiaTheme="minorEastAsia" w:hAnsiTheme="minorHAnsi" w:cstheme="minorBidi"/>
        </w:rPr>
        <w:t>:</w:t>
      </w:r>
    </w:p>
    <w:p w14:paraId="3359FEF8" w14:textId="4A5F86DB" w:rsidR="3F3DF4E1" w:rsidRDefault="3F3DF4E1" w:rsidP="09DCEA1C">
      <w:pPr>
        <w:pStyle w:val="ListParagraph"/>
        <w:numPr>
          <w:ilvl w:val="0"/>
          <w:numId w:val="64"/>
        </w:numPr>
        <w:spacing w:before="0" w:after="0" w:line="257" w:lineRule="auto"/>
        <w:jc w:val="both"/>
        <w:rPr>
          <w:rFonts w:asciiTheme="minorHAnsi" w:eastAsiaTheme="minorEastAsia" w:hAnsiTheme="minorHAnsi" w:cstheme="minorBidi"/>
        </w:rPr>
      </w:pPr>
      <w:r w:rsidRPr="5B43E580">
        <w:rPr>
          <w:rFonts w:asciiTheme="minorHAnsi" w:eastAsiaTheme="minorEastAsia" w:hAnsiTheme="minorHAnsi" w:cstheme="minorBidi"/>
        </w:rPr>
        <w:t>OEM signature validation with ECDSA-P256 V</w:t>
      </w:r>
      <w:r w:rsidRPr="5B43E580">
        <w:rPr>
          <w:rFonts w:asciiTheme="minorHAnsi" w:eastAsiaTheme="minorEastAsia" w:hAnsiTheme="minorHAnsi" w:cstheme="minorBidi"/>
          <w:vertAlign w:val="subscript"/>
        </w:rPr>
        <w:t>3</w:t>
      </w:r>
      <w:r w:rsidRPr="5B43E580">
        <w:rPr>
          <w:rFonts w:asciiTheme="minorHAnsi" w:eastAsiaTheme="minorEastAsia" w:hAnsiTheme="minorHAnsi" w:cstheme="minorBidi"/>
        </w:rPr>
        <w:t>:</w:t>
      </w:r>
    </w:p>
    <w:p w14:paraId="2F2A015C" w14:textId="2D6213A4" w:rsidR="3F3DF4E1" w:rsidRDefault="3F3DF4E1" w:rsidP="09DCEA1C">
      <w:pPr>
        <w:pStyle w:val="ListParagraph"/>
        <w:numPr>
          <w:ilvl w:val="0"/>
          <w:numId w:val="64"/>
        </w:numPr>
        <w:spacing w:before="0" w:after="0" w:line="257" w:lineRule="auto"/>
        <w:jc w:val="both"/>
        <w:rPr>
          <w:rFonts w:asciiTheme="minorHAnsi" w:eastAsiaTheme="minorEastAsia" w:hAnsiTheme="minorHAnsi" w:cstheme="minorBidi"/>
        </w:rPr>
      </w:pPr>
      <w:r w:rsidRPr="5B43E580">
        <w:rPr>
          <w:rFonts w:asciiTheme="minorHAnsi" w:eastAsiaTheme="minorEastAsia" w:hAnsiTheme="minorHAnsi" w:cstheme="minorBidi"/>
        </w:rPr>
        <w:t>SD counter signature validation with V</w:t>
      </w:r>
      <w:r w:rsidRPr="5B43E580">
        <w:rPr>
          <w:rFonts w:asciiTheme="minorHAnsi" w:eastAsiaTheme="minorEastAsia" w:hAnsiTheme="minorHAnsi" w:cstheme="minorBidi"/>
          <w:vertAlign w:val="subscript"/>
        </w:rPr>
        <w:t>4</w:t>
      </w:r>
      <w:r w:rsidRPr="5B43E580">
        <w:rPr>
          <w:rFonts w:asciiTheme="minorHAnsi" w:eastAsiaTheme="minorEastAsia" w:hAnsiTheme="minorHAnsi" w:cstheme="minorBidi"/>
        </w:rPr>
        <w:t xml:space="preserve"> : </w:t>
      </w:r>
    </w:p>
    <w:p w14:paraId="5BA0B53D" w14:textId="6018C2B5" w:rsidR="3F3DF4E1" w:rsidRDefault="3F3DF4E1" w:rsidP="09DCEA1C">
      <w:pPr>
        <w:pStyle w:val="ListParagraph"/>
        <w:numPr>
          <w:ilvl w:val="0"/>
          <w:numId w:val="64"/>
        </w:numPr>
        <w:spacing w:before="0" w:after="0" w:line="257" w:lineRule="auto"/>
        <w:jc w:val="both"/>
        <w:rPr>
          <w:rFonts w:asciiTheme="minorHAnsi" w:eastAsiaTheme="minorEastAsia" w:hAnsiTheme="minorHAnsi" w:cstheme="minorBidi"/>
        </w:rPr>
      </w:pPr>
      <w:r w:rsidRPr="5B43E580">
        <w:rPr>
          <w:rFonts w:asciiTheme="minorHAnsi" w:eastAsiaTheme="minorEastAsia" w:hAnsiTheme="minorHAnsi" w:cstheme="minorBidi"/>
        </w:rPr>
        <w:t>Validate certificate chain with leaf → OEM CA → sovereign root.</w:t>
      </w:r>
    </w:p>
    <w:p w14:paraId="3A33D54B" w14:textId="09C96B20" w:rsidR="3F3DF4E1" w:rsidRDefault="3F3DF4E1" w:rsidP="09DCEA1C">
      <w:pPr>
        <w:pStyle w:val="ListParagraph"/>
        <w:numPr>
          <w:ilvl w:val="0"/>
          <w:numId w:val="64"/>
        </w:numPr>
        <w:spacing w:before="0" w:after="0" w:line="257" w:lineRule="auto"/>
        <w:jc w:val="both"/>
        <w:rPr>
          <w:rFonts w:asciiTheme="minorHAnsi" w:eastAsiaTheme="minorEastAsia" w:hAnsiTheme="minorHAnsi" w:cstheme="minorBidi"/>
        </w:rPr>
      </w:pPr>
      <w:r w:rsidRPr="5B43E580">
        <w:rPr>
          <w:rFonts w:asciiTheme="minorHAnsi" w:eastAsiaTheme="minorEastAsia" w:hAnsiTheme="minorHAnsi" w:cstheme="minorBidi"/>
        </w:rPr>
        <w:t>Checking CRL revocation list.</w:t>
      </w:r>
    </w:p>
    <w:p w14:paraId="6BA4119D" w14:textId="265C13E4" w:rsidR="3F3DF4E1" w:rsidRDefault="3F3DF4E1" w:rsidP="09DCEA1C">
      <w:pPr>
        <w:pStyle w:val="ListParagraph"/>
        <w:numPr>
          <w:ilvl w:val="0"/>
          <w:numId w:val="64"/>
        </w:numPr>
        <w:spacing w:before="0" w:after="0" w:line="257" w:lineRule="auto"/>
        <w:jc w:val="both"/>
        <w:rPr>
          <w:rFonts w:asciiTheme="minorHAnsi" w:eastAsiaTheme="minorEastAsia" w:hAnsiTheme="minorHAnsi" w:cstheme="minorBidi"/>
        </w:rPr>
      </w:pPr>
      <w:r w:rsidRPr="5B43E580">
        <w:rPr>
          <w:rFonts w:asciiTheme="minorHAnsi" w:eastAsiaTheme="minorEastAsia" w:hAnsiTheme="minorHAnsi" w:cstheme="minorBidi"/>
        </w:rPr>
        <w:t>Enforcement of anti-rollback with v</w:t>
      </w:r>
      <w:r w:rsidRPr="5B43E580">
        <w:rPr>
          <w:rFonts w:asciiTheme="minorHAnsi" w:eastAsiaTheme="minorEastAsia" w:hAnsiTheme="minorHAnsi" w:cstheme="minorBidi"/>
          <w:vertAlign w:val="subscript"/>
        </w:rPr>
        <w:t>new</w:t>
      </w:r>
      <w:r w:rsidRPr="5B43E580">
        <w:rPr>
          <w:rFonts w:asciiTheme="minorHAnsi" w:eastAsiaTheme="minorEastAsia" w:hAnsiTheme="minorHAnsi" w:cstheme="minorBidi"/>
        </w:rPr>
        <w:t xml:space="preserve"> &gt; v</w:t>
      </w:r>
      <w:r w:rsidRPr="5B43E580">
        <w:rPr>
          <w:rFonts w:asciiTheme="minorHAnsi" w:eastAsiaTheme="minorEastAsia" w:hAnsiTheme="minorHAnsi" w:cstheme="minorBidi"/>
          <w:vertAlign w:val="subscript"/>
        </w:rPr>
        <w:t>installed</w:t>
      </w:r>
      <w:r w:rsidRPr="5B43E580">
        <w:rPr>
          <w:rFonts w:asciiTheme="minorHAnsi" w:eastAsiaTheme="minorEastAsia" w:hAnsiTheme="minorHAnsi" w:cstheme="minorBidi"/>
        </w:rPr>
        <w:t>.</w:t>
      </w:r>
    </w:p>
    <w:p w14:paraId="3D76F3C7" w14:textId="5BFCA8A7" w:rsidR="3F3DF4E1" w:rsidRDefault="3F3DF4E1" w:rsidP="09DCEA1C">
      <w:pPr>
        <w:pStyle w:val="ListParagraph"/>
        <w:numPr>
          <w:ilvl w:val="0"/>
          <w:numId w:val="64"/>
        </w:numPr>
        <w:spacing w:before="0" w:after="0" w:line="257" w:lineRule="auto"/>
        <w:jc w:val="both"/>
        <w:rPr>
          <w:rFonts w:asciiTheme="minorHAnsi" w:eastAsiaTheme="minorEastAsia" w:hAnsiTheme="minorHAnsi" w:cstheme="minorBidi"/>
        </w:rPr>
      </w:pPr>
      <w:r w:rsidRPr="5B43E580">
        <w:rPr>
          <w:rFonts w:asciiTheme="minorHAnsi" w:eastAsiaTheme="minorEastAsia" w:hAnsiTheme="minorHAnsi" w:cstheme="minorBidi"/>
        </w:rPr>
        <w:t>Writing firmware in bounded critical sections.</w:t>
      </w:r>
    </w:p>
    <w:p w14:paraId="06587C0A" w14:textId="2A02422C" w:rsidR="3F3DF4E1" w:rsidRDefault="3F3DF4E1" w:rsidP="09DCEA1C">
      <w:pPr>
        <w:pStyle w:val="ListParagraph"/>
        <w:numPr>
          <w:ilvl w:val="0"/>
          <w:numId w:val="64"/>
        </w:numPr>
        <w:spacing w:before="0" w:after="0" w:line="257" w:lineRule="auto"/>
        <w:jc w:val="both"/>
        <w:rPr>
          <w:rFonts w:asciiTheme="minorHAnsi" w:eastAsiaTheme="minorEastAsia" w:hAnsiTheme="minorHAnsi" w:cstheme="minorBidi"/>
        </w:rPr>
      </w:pPr>
      <w:r w:rsidRPr="5B43E580">
        <w:rPr>
          <w:rFonts w:asciiTheme="minorHAnsi" w:eastAsiaTheme="minorEastAsia" w:hAnsiTheme="minorHAnsi" w:cstheme="minorBidi"/>
        </w:rPr>
        <w:t>Re-measurement of post-writing.</w:t>
      </w:r>
    </w:p>
    <w:p w14:paraId="676D7D7E" w14:textId="46542A59" w:rsidR="3F3DF4E1" w:rsidRDefault="3F3DF4E1" w:rsidP="09DCEA1C">
      <w:pPr>
        <w:pStyle w:val="ListParagraph"/>
        <w:numPr>
          <w:ilvl w:val="0"/>
          <w:numId w:val="64"/>
        </w:numPr>
        <w:spacing w:before="0" w:after="0" w:line="257" w:lineRule="auto"/>
        <w:jc w:val="both"/>
        <w:rPr>
          <w:rFonts w:asciiTheme="minorHAnsi" w:eastAsiaTheme="minorEastAsia" w:hAnsiTheme="minorHAnsi" w:cstheme="minorBidi"/>
        </w:rPr>
      </w:pPr>
      <w:r w:rsidRPr="5B43E580">
        <w:rPr>
          <w:rFonts w:asciiTheme="minorHAnsi" w:eastAsiaTheme="minorEastAsia" w:hAnsiTheme="minorHAnsi" w:cstheme="minorBidi"/>
        </w:rPr>
        <w:t>Restarting by re-validating the secure boot process.</w:t>
      </w:r>
    </w:p>
    <w:p w14:paraId="6F1A5B16" w14:textId="1AED7275" w:rsidR="3F3DF4E1" w:rsidRDefault="3F3DF4E1" w:rsidP="09DCEA1C">
      <w:pPr>
        <w:spacing w:after="160" w:line="257" w:lineRule="auto"/>
        <w:jc w:val="both"/>
        <w:rPr>
          <w:rFonts w:asciiTheme="minorHAnsi" w:eastAsiaTheme="minorEastAsia" w:hAnsiTheme="minorHAnsi" w:cstheme="minorBidi"/>
          <w:sz w:val="24"/>
          <w:szCs w:val="24"/>
          <w:lang w:val="en-GB"/>
        </w:rPr>
      </w:pPr>
      <w:r w:rsidRPr="5B43E580">
        <w:rPr>
          <w:rFonts w:asciiTheme="minorHAnsi" w:eastAsiaTheme="minorEastAsia" w:hAnsiTheme="minorHAnsi" w:cstheme="minorBidi"/>
          <w:sz w:val="24"/>
          <w:szCs w:val="24"/>
          <w:lang w:val="en-GB"/>
        </w:rPr>
        <w:t>In the event of any step failure, the firmware write operation is denied, an audit log is initiated, and a state transition is triggered, switching to FAIL_SAFE or OPERATIONAL depending on the level of severity.</w:t>
      </w:r>
    </w:p>
    <w:p w14:paraId="72D6AEB2" w14:textId="67640F92" w:rsidR="3F3DF4E1" w:rsidRDefault="3F3DF4E1" w:rsidP="09DCEA1C">
      <w:pPr>
        <w:spacing w:after="160" w:line="257" w:lineRule="auto"/>
        <w:jc w:val="both"/>
        <w:rPr>
          <w:rFonts w:asciiTheme="minorHAnsi" w:eastAsiaTheme="minorEastAsia" w:hAnsiTheme="minorHAnsi" w:cstheme="minorBidi"/>
          <w:sz w:val="24"/>
          <w:szCs w:val="24"/>
          <w:lang w:val="en-GB"/>
        </w:rPr>
      </w:pPr>
      <w:r w:rsidRPr="5B43E580">
        <w:rPr>
          <w:rFonts w:asciiTheme="minorHAnsi" w:eastAsiaTheme="minorEastAsia" w:hAnsiTheme="minorHAnsi" w:cstheme="minorBidi"/>
          <w:sz w:val="24"/>
          <w:szCs w:val="24"/>
          <w:lang w:val="en-GB"/>
        </w:rPr>
        <w:t xml:space="preserve"> </w:t>
      </w:r>
    </w:p>
    <w:p w14:paraId="6F91EE29" w14:textId="36A12BB7" w:rsidR="3F3DF4E1" w:rsidRDefault="3F3DF4E1" w:rsidP="09DCEA1C">
      <w:pPr>
        <w:spacing w:after="160" w:line="257" w:lineRule="auto"/>
        <w:jc w:val="both"/>
        <w:rPr>
          <w:rFonts w:asciiTheme="minorHAnsi" w:eastAsiaTheme="minorEastAsia" w:hAnsiTheme="minorHAnsi" w:cstheme="minorBidi"/>
          <w:sz w:val="24"/>
          <w:szCs w:val="24"/>
        </w:rPr>
      </w:pPr>
      <w:r w:rsidRPr="5B43E580">
        <w:rPr>
          <w:rFonts w:asciiTheme="minorHAnsi" w:eastAsiaTheme="minorEastAsia" w:hAnsiTheme="minorHAnsi" w:cstheme="minorBidi"/>
          <w:sz w:val="24"/>
          <w:szCs w:val="24"/>
        </w:rPr>
        <w:t xml:space="preserve">The TSM operates through six states: BOOTING to verify secure boot, OPERATIONAL for normal validated operation, UPDATING to monitor and verify firmware update progress, FAIL_SAFE to suspend charging and open contactors, ERROR to handle general system errors, and MAINTENANCE for authorized service operations. Experimental validation of the TSM state machine confirms that, under the scenario </w:t>
      </w:r>
      <w:r w:rsidRPr="5B43E580">
        <w:rPr>
          <w:rFonts w:asciiTheme="minorHAnsi" w:eastAsiaTheme="minorEastAsia" w:hAnsiTheme="minorHAnsi" w:cstheme="minorBidi"/>
          <w:i/>
          <w:sz w:val="24"/>
          <w:szCs w:val="24"/>
        </w:rPr>
        <w:t>invalid_signature</w:t>
      </w:r>
      <w:r w:rsidRPr="5B43E580">
        <w:rPr>
          <w:rFonts w:asciiTheme="minorHAnsi" w:eastAsiaTheme="minorEastAsia" w:hAnsiTheme="minorHAnsi" w:cstheme="minorBidi"/>
          <w:sz w:val="24"/>
          <w:szCs w:val="24"/>
        </w:rPr>
        <w:t xml:space="preserve">, the system correctly transitions to the FAIL_SAFE state. In contrast, the </w:t>
      </w:r>
      <w:r w:rsidRPr="5B43E580">
        <w:rPr>
          <w:rFonts w:asciiTheme="minorHAnsi" w:eastAsiaTheme="minorEastAsia" w:hAnsiTheme="minorHAnsi" w:cstheme="minorBidi"/>
          <w:i/>
          <w:sz w:val="24"/>
          <w:szCs w:val="24"/>
        </w:rPr>
        <w:t>valid_firmware_update</w:t>
      </w:r>
      <w:r w:rsidRPr="5B43E580">
        <w:rPr>
          <w:rFonts w:asciiTheme="minorHAnsi" w:eastAsiaTheme="minorEastAsia" w:hAnsiTheme="minorHAnsi" w:cstheme="minorBidi"/>
          <w:sz w:val="24"/>
          <w:szCs w:val="24"/>
        </w:rPr>
        <w:t xml:space="preserve"> scenario proceeds through the update process and returns to the OPERATIONAL state within the TSM pipeline. The TSM pipeline has five stage trust chain evaluated during initialization re-attestation as follows:</w:t>
      </w:r>
    </w:p>
    <w:p w14:paraId="7C02AD03" w14:textId="2A3603A1" w:rsidR="3F3DF4E1" w:rsidRDefault="3F3DF4E1" w:rsidP="09DCEA1C">
      <w:pPr>
        <w:pStyle w:val="ListParagraph"/>
        <w:numPr>
          <w:ilvl w:val="0"/>
          <w:numId w:val="63"/>
        </w:numPr>
        <w:spacing w:before="0" w:after="0" w:line="257" w:lineRule="auto"/>
        <w:jc w:val="both"/>
        <w:rPr>
          <w:rFonts w:asciiTheme="minorHAnsi" w:eastAsiaTheme="minorEastAsia" w:hAnsiTheme="minorHAnsi" w:cstheme="minorBidi"/>
        </w:rPr>
      </w:pPr>
      <w:r w:rsidRPr="5B43E580">
        <w:rPr>
          <w:rFonts w:asciiTheme="minorHAnsi" w:eastAsiaTheme="minorEastAsia" w:hAnsiTheme="minorHAnsi" w:cstheme="minorBidi"/>
        </w:rPr>
        <w:t xml:space="preserve">Hardware Root of Trust (HRoT) -- Hardware identity, key derivation, HSM, and PUF. </w:t>
      </w:r>
    </w:p>
    <w:p w14:paraId="25FE0F2A" w14:textId="19410DAE" w:rsidR="3F3DF4E1" w:rsidRDefault="3F3DF4E1" w:rsidP="09DCEA1C">
      <w:pPr>
        <w:pStyle w:val="ListParagraph"/>
        <w:numPr>
          <w:ilvl w:val="0"/>
          <w:numId w:val="63"/>
        </w:numPr>
        <w:spacing w:before="0" w:after="0" w:line="257" w:lineRule="auto"/>
        <w:jc w:val="both"/>
        <w:rPr>
          <w:rFonts w:asciiTheme="minorHAnsi" w:eastAsiaTheme="minorEastAsia" w:hAnsiTheme="minorHAnsi" w:cstheme="minorBidi"/>
        </w:rPr>
      </w:pPr>
      <w:r w:rsidRPr="5B43E580">
        <w:rPr>
          <w:rFonts w:asciiTheme="minorHAnsi" w:eastAsiaTheme="minorEastAsia" w:hAnsiTheme="minorHAnsi" w:cstheme="minorBidi"/>
        </w:rPr>
        <w:t>Secure Boot -- TSM integrity, LID firmware, firmware hash, bootloader signature, and Boot ROM.</w:t>
      </w:r>
    </w:p>
    <w:p w14:paraId="590A9572" w14:textId="50F2D7F4" w:rsidR="3F3DF4E1" w:rsidRDefault="3F3DF4E1" w:rsidP="09DCEA1C">
      <w:pPr>
        <w:pStyle w:val="ListParagraph"/>
        <w:numPr>
          <w:ilvl w:val="0"/>
          <w:numId w:val="63"/>
        </w:numPr>
        <w:spacing w:before="0" w:after="0" w:line="257" w:lineRule="auto"/>
        <w:jc w:val="both"/>
        <w:rPr>
          <w:rFonts w:asciiTheme="minorHAnsi" w:eastAsiaTheme="minorEastAsia" w:hAnsiTheme="minorHAnsi" w:cstheme="minorBidi"/>
        </w:rPr>
      </w:pPr>
      <w:r w:rsidRPr="5B43E580">
        <w:rPr>
          <w:rFonts w:asciiTheme="minorHAnsi" w:eastAsiaTheme="minorEastAsia" w:hAnsiTheme="minorHAnsi" w:cstheme="minorBidi"/>
        </w:rPr>
        <w:t>Runtime TSM -- Auditing, enforcement, attestation, cryptographic engine, and policy engine.</w:t>
      </w:r>
    </w:p>
    <w:p w14:paraId="12FB441A" w14:textId="1D32F151" w:rsidR="3F3DF4E1" w:rsidRDefault="3F3DF4E1" w:rsidP="09DCEA1C">
      <w:pPr>
        <w:pStyle w:val="ListParagraph"/>
        <w:numPr>
          <w:ilvl w:val="0"/>
          <w:numId w:val="63"/>
        </w:numPr>
        <w:spacing w:before="0" w:after="0" w:line="257" w:lineRule="auto"/>
        <w:jc w:val="both"/>
        <w:rPr>
          <w:rFonts w:asciiTheme="minorHAnsi" w:eastAsiaTheme="minorEastAsia" w:hAnsiTheme="minorHAnsi" w:cstheme="minorBidi"/>
        </w:rPr>
      </w:pPr>
      <w:r w:rsidRPr="5B43E580">
        <w:rPr>
          <w:rFonts w:asciiTheme="minorHAnsi" w:eastAsiaTheme="minorEastAsia" w:hAnsiTheme="minorHAnsi" w:cstheme="minorBidi"/>
        </w:rPr>
        <w:t>Secure Operations -- Firmware authentication, grid safety, charging sessions, and contactor authentication.</w:t>
      </w:r>
    </w:p>
    <w:p w14:paraId="71065019" w14:textId="01056BFB" w:rsidR="3F3DF4E1" w:rsidRDefault="3F3DF4E1" w:rsidP="09DCEA1C">
      <w:pPr>
        <w:pStyle w:val="ListParagraph"/>
        <w:numPr>
          <w:ilvl w:val="0"/>
          <w:numId w:val="63"/>
        </w:numPr>
        <w:spacing w:before="0" w:after="0" w:line="257" w:lineRule="auto"/>
        <w:jc w:val="both"/>
        <w:rPr>
          <w:rFonts w:asciiTheme="minorHAnsi" w:eastAsiaTheme="minorEastAsia" w:hAnsiTheme="minorHAnsi" w:cstheme="minorBidi"/>
        </w:rPr>
      </w:pPr>
      <w:r w:rsidRPr="5B43E580">
        <w:rPr>
          <w:rFonts w:asciiTheme="minorHAnsi" w:eastAsiaTheme="minorEastAsia" w:hAnsiTheme="minorHAnsi" w:cstheme="minorBidi"/>
        </w:rPr>
        <w:t>External Validation -- Remote attestation, CRL, dual signatures, sovereign certificates, and ASD trust anchors.</w:t>
      </w:r>
    </w:p>
    <w:p w14:paraId="411ADCA9" w14:textId="60D14EB8" w:rsidR="3F3DF4E1" w:rsidRDefault="3F3DF4E1" w:rsidP="06137CCD">
      <w:pPr>
        <w:spacing w:after="160" w:line="257" w:lineRule="auto"/>
        <w:jc w:val="both"/>
        <w:rPr>
          <w:rFonts w:asciiTheme="minorHAnsi" w:eastAsiaTheme="minorEastAsia" w:hAnsiTheme="minorHAnsi" w:cstheme="minorBidi"/>
        </w:rPr>
      </w:pPr>
      <w:r w:rsidRPr="06137CCD">
        <w:rPr>
          <w:rFonts w:asciiTheme="minorHAnsi" w:eastAsiaTheme="minorEastAsia" w:hAnsiTheme="minorHAnsi" w:cstheme="minorBidi"/>
        </w:rPr>
        <w:t xml:space="preserve"> </w:t>
      </w:r>
    </w:p>
    <w:p w14:paraId="38AB7CD3" w14:textId="5E041D2F" w:rsidR="3F3DF4E1" w:rsidRDefault="3F3DF4E1" w:rsidP="625B0D3D">
      <w:pPr>
        <w:pStyle w:val="Heading3"/>
        <w:spacing w:before="160" w:after="80" w:line="257" w:lineRule="auto"/>
        <w:rPr>
          <w:rFonts w:asciiTheme="minorHAnsi" w:eastAsiaTheme="minorEastAsia" w:hAnsiTheme="minorHAnsi" w:cstheme="minorBidi"/>
          <w:sz w:val="28"/>
          <w:szCs w:val="28"/>
          <w:lang w:val="en-GB"/>
        </w:rPr>
      </w:pPr>
      <w:bookmarkStart w:id="307" w:name="_Toc234310827"/>
      <w:r w:rsidRPr="5B43E580">
        <w:rPr>
          <w:rFonts w:ascii="Aptos" w:eastAsia="Aptos" w:hAnsi="Aptos" w:cs="Aptos"/>
          <w:sz w:val="28"/>
          <w:szCs w:val="28"/>
          <w:lang w:val="en-GB"/>
        </w:rPr>
        <w:t>Protocol Layer Integration</w:t>
      </w:r>
      <w:bookmarkEnd w:id="307"/>
      <w:r w:rsidRPr="5B43E580">
        <w:rPr>
          <w:rFonts w:ascii="Aptos" w:eastAsia="Aptos" w:hAnsi="Aptos" w:cs="Aptos"/>
          <w:sz w:val="28"/>
          <w:szCs w:val="28"/>
          <w:lang w:val="en-GB"/>
        </w:rPr>
        <w:t xml:space="preserve"> </w:t>
      </w:r>
    </w:p>
    <w:p w14:paraId="43F71BF9" w14:textId="326BEE7F" w:rsidR="41FE0F3F" w:rsidRDefault="3F3DF4E1" w:rsidP="72F6D7B4">
      <w:pPr>
        <w:spacing w:after="160" w:line="257" w:lineRule="auto"/>
        <w:jc w:val="both"/>
        <w:rPr>
          <w:rFonts w:asciiTheme="minorHAnsi" w:eastAsiaTheme="minorEastAsia" w:hAnsiTheme="minorHAnsi" w:cstheme="minorBidi"/>
          <w:sz w:val="24"/>
          <w:szCs w:val="24"/>
          <w:lang w:val="en-GB"/>
        </w:rPr>
      </w:pPr>
      <w:r w:rsidRPr="5B43E580">
        <w:rPr>
          <w:rFonts w:asciiTheme="minorHAnsi" w:eastAsiaTheme="minorEastAsia" w:hAnsiTheme="minorHAnsi" w:cstheme="minorBidi"/>
          <w:sz w:val="24"/>
          <w:szCs w:val="24"/>
          <w:lang w:val="en-GB"/>
        </w:rPr>
        <w:t xml:space="preserve">The deployed architecture implements eight industrial protocols across 28 modules, as summarized in Table </w:t>
      </w:r>
      <w:r w:rsidR="7C5A1AF3" w:rsidRPr="5B43E580">
        <w:rPr>
          <w:rFonts w:asciiTheme="minorHAnsi" w:eastAsiaTheme="minorEastAsia" w:hAnsiTheme="minorHAnsi" w:cstheme="minorBidi"/>
          <w:sz w:val="24"/>
          <w:szCs w:val="24"/>
          <w:lang w:val="en-GB"/>
        </w:rPr>
        <w:t>15</w:t>
      </w:r>
      <w:r w:rsidRPr="5B43E580">
        <w:rPr>
          <w:rFonts w:asciiTheme="minorHAnsi" w:eastAsiaTheme="minorEastAsia" w:hAnsiTheme="minorHAnsi" w:cstheme="minorBidi"/>
          <w:sz w:val="24"/>
          <w:szCs w:val="24"/>
          <w:lang w:val="en-GB"/>
        </w:rPr>
        <w:t>. Statistical analysis of the protocol communications confirms message exchanges as follows: OCPP 1.6 (6,301 TX / 4,819 RX), CHAdeMO (7,900 TX / 9,516 RX), OCPI (9,844 TX / 4,288 RX), OpenADR (9,367 TX / 3,401 RX), Modbus TCP (6,315 TX / 4,912 RX), IEC 61850 (9,059 TX / 3,833 RX), IEC 61851 (8,463 TX / 2,659 RX), and ISO 15118 (7,433 TX / 6,027 RX).</w:t>
      </w:r>
    </w:p>
    <w:p w14:paraId="6584D8FC" w14:textId="25D60552" w:rsidR="3F3DF4E1" w:rsidRDefault="3F3DF4E1" w:rsidP="625B0D3D">
      <w:pPr>
        <w:spacing w:after="160" w:line="257" w:lineRule="auto"/>
        <w:rPr>
          <w:rFonts w:asciiTheme="minorHAnsi" w:eastAsiaTheme="minorEastAsia" w:hAnsiTheme="minorHAnsi" w:cstheme="minorBidi"/>
        </w:rPr>
      </w:pPr>
      <w:r w:rsidRPr="625B0D3D">
        <w:rPr>
          <w:rFonts w:ascii="Aptos" w:eastAsia="Aptos" w:hAnsi="Aptos" w:cs="Aptos"/>
        </w:rPr>
        <w:t xml:space="preserve"> </w:t>
      </w:r>
    </w:p>
    <w:p w14:paraId="1E947227" w14:textId="0B39CB06" w:rsidR="3B0987B2" w:rsidRDefault="00C335B5" w:rsidP="00C335B5">
      <w:pPr>
        <w:pStyle w:val="Caption"/>
        <w:rPr>
          <w:rFonts w:asciiTheme="minorHAnsi" w:eastAsiaTheme="minorEastAsia" w:hAnsiTheme="minorHAnsi" w:cstheme="minorBidi"/>
          <w:i/>
          <w:color w:val="0E2841"/>
          <w:lang w:val="en-GB"/>
        </w:rPr>
      </w:pPr>
      <w:bookmarkStart w:id="308" w:name="_Toc233112269"/>
      <w:r>
        <w:t xml:space="preserve">Table </w:t>
      </w:r>
      <w:r w:rsidR="00113348">
        <w:fldChar w:fldCharType="begin"/>
      </w:r>
      <w:r w:rsidR="00113348">
        <w:instrText xml:space="preserve"> SEQ Table \* ARABIC </w:instrText>
      </w:r>
      <w:r w:rsidR="00113348">
        <w:fldChar w:fldCharType="separate"/>
      </w:r>
      <w:r w:rsidR="00F8092D">
        <w:rPr>
          <w:noProof/>
        </w:rPr>
        <w:t>15</w:t>
      </w:r>
      <w:r w:rsidR="00113348">
        <w:rPr>
          <w:noProof/>
        </w:rPr>
        <w:fldChar w:fldCharType="end"/>
      </w:r>
      <w:r w:rsidR="3B0987B2" w:rsidRPr="5B43E580">
        <w:rPr>
          <w:rFonts w:ascii="Aptos" w:eastAsia="Aptos" w:hAnsi="Aptos" w:cs="Aptos"/>
          <w:i/>
          <w:color w:val="0E2841"/>
          <w:szCs w:val="20"/>
          <w:lang w:val="en-GB"/>
        </w:rPr>
        <w:t>: TSM interceptions and protocol inventories in the protocol layer.</w:t>
      </w:r>
      <w:bookmarkEnd w:id="308"/>
    </w:p>
    <w:tbl>
      <w:tblPr>
        <w:tblStyle w:val="TableCSIRO"/>
        <w:tblW w:w="9180" w:type="dxa"/>
        <w:tblLook w:val="04A0" w:firstRow="1" w:lastRow="0" w:firstColumn="1" w:lastColumn="0" w:noHBand="0" w:noVBand="1"/>
      </w:tblPr>
      <w:tblGrid>
        <w:gridCol w:w="2628"/>
        <w:gridCol w:w="3613"/>
        <w:gridCol w:w="2939"/>
      </w:tblGrid>
      <w:tr w:rsidR="74FE770A" w14:paraId="759C50FD" w14:textId="77777777" w:rsidTr="005713FD">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0" w:type="dxa"/>
          </w:tcPr>
          <w:p w14:paraId="0CA88ECC" w14:textId="1406D233" w:rsidR="74FE770A" w:rsidRDefault="74FE770A" w:rsidP="74FE770A">
            <w:pPr>
              <w:spacing w:after="160" w:line="257" w:lineRule="auto"/>
              <w:rPr>
                <w:rFonts w:asciiTheme="minorHAnsi" w:eastAsiaTheme="minorEastAsia" w:hAnsiTheme="minorHAnsi" w:cstheme="minorBidi"/>
                <w:color w:val="FFFFFF" w:themeColor="background2"/>
                <w:sz w:val="18"/>
                <w:szCs w:val="18"/>
              </w:rPr>
            </w:pPr>
            <w:r w:rsidRPr="74FE770A">
              <w:rPr>
                <w:rFonts w:asciiTheme="minorHAnsi" w:eastAsiaTheme="minorEastAsia" w:hAnsiTheme="minorHAnsi" w:cstheme="minorBidi"/>
                <w:color w:val="FFFFFF" w:themeColor="background2"/>
                <w:sz w:val="18"/>
                <w:szCs w:val="18"/>
                <w:lang w:val="en"/>
              </w:rPr>
              <w:t>Protocols</w:t>
            </w:r>
            <w:r w:rsidRPr="74FE770A">
              <w:rPr>
                <w:rFonts w:asciiTheme="minorHAnsi" w:eastAsiaTheme="minorEastAsia" w:hAnsiTheme="minorHAnsi" w:cstheme="minorBidi"/>
                <w:color w:val="FFFFFF" w:themeColor="background2"/>
                <w:sz w:val="18"/>
                <w:szCs w:val="18"/>
              </w:rPr>
              <w:t xml:space="preserve"> </w:t>
            </w:r>
          </w:p>
        </w:tc>
        <w:tc>
          <w:tcPr>
            <w:tcW w:w="0" w:type="dxa"/>
          </w:tcPr>
          <w:p w14:paraId="14CCA0D5" w14:textId="584EEDD6" w:rsidR="74FE770A" w:rsidRDefault="74FE770A" w:rsidP="74FE770A">
            <w:pPr>
              <w:spacing w:after="160" w:line="257" w:lineRule="auto"/>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2"/>
                <w:sz w:val="18"/>
                <w:szCs w:val="18"/>
              </w:rPr>
            </w:pPr>
            <w:r w:rsidRPr="74FE770A">
              <w:rPr>
                <w:rFonts w:asciiTheme="minorHAnsi" w:eastAsiaTheme="minorEastAsia" w:hAnsiTheme="minorHAnsi" w:cstheme="minorBidi"/>
                <w:color w:val="FFFFFF" w:themeColor="background2"/>
                <w:sz w:val="18"/>
                <w:szCs w:val="18"/>
                <w:lang w:val="en"/>
              </w:rPr>
              <w:t>Role in EVCI</w:t>
            </w:r>
            <w:r w:rsidRPr="74FE770A">
              <w:rPr>
                <w:rFonts w:asciiTheme="minorHAnsi" w:eastAsiaTheme="minorEastAsia" w:hAnsiTheme="minorHAnsi" w:cstheme="minorBidi"/>
                <w:color w:val="FFFFFF" w:themeColor="background2"/>
                <w:sz w:val="18"/>
                <w:szCs w:val="18"/>
              </w:rPr>
              <w:t xml:space="preserve"> </w:t>
            </w:r>
          </w:p>
        </w:tc>
        <w:tc>
          <w:tcPr>
            <w:tcW w:w="0" w:type="dxa"/>
          </w:tcPr>
          <w:p w14:paraId="36CA39C5" w14:textId="188479BE" w:rsidR="74FE770A" w:rsidRDefault="74FE770A" w:rsidP="74FE770A">
            <w:pPr>
              <w:spacing w:after="160" w:line="257" w:lineRule="auto"/>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2"/>
                <w:sz w:val="18"/>
                <w:szCs w:val="18"/>
              </w:rPr>
            </w:pPr>
            <w:r w:rsidRPr="74FE770A">
              <w:rPr>
                <w:rFonts w:asciiTheme="minorHAnsi" w:eastAsiaTheme="minorEastAsia" w:hAnsiTheme="minorHAnsi" w:cstheme="minorBidi"/>
                <w:color w:val="FFFFFF" w:themeColor="background2"/>
                <w:sz w:val="18"/>
                <w:szCs w:val="18"/>
                <w:lang w:val="en"/>
              </w:rPr>
              <w:t>TSM Interactions</w:t>
            </w:r>
            <w:r w:rsidRPr="74FE770A">
              <w:rPr>
                <w:rFonts w:asciiTheme="minorHAnsi" w:eastAsiaTheme="minorEastAsia" w:hAnsiTheme="minorHAnsi" w:cstheme="minorBidi"/>
                <w:color w:val="FFFFFF" w:themeColor="background2"/>
                <w:sz w:val="18"/>
                <w:szCs w:val="18"/>
              </w:rPr>
              <w:t xml:space="preserve"> </w:t>
            </w:r>
          </w:p>
        </w:tc>
      </w:tr>
      <w:tr w:rsidR="74FE770A" w14:paraId="2E5CFBEA" w14:textId="77777777" w:rsidTr="005713FD">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dxa"/>
          </w:tcPr>
          <w:p w14:paraId="6B42BD5E" w14:textId="2D761764" w:rsidR="74FE770A" w:rsidRDefault="74FE770A" w:rsidP="74FE770A">
            <w:pPr>
              <w:spacing w:after="160" w:line="257" w:lineRule="auto"/>
              <w:rPr>
                <w:rFonts w:asciiTheme="minorHAnsi" w:eastAsiaTheme="minorEastAsia" w:hAnsiTheme="minorHAnsi" w:cstheme="minorBidi"/>
                <w:sz w:val="18"/>
                <w:szCs w:val="18"/>
              </w:rPr>
            </w:pPr>
            <w:r w:rsidRPr="74FE770A">
              <w:rPr>
                <w:rFonts w:asciiTheme="minorHAnsi" w:eastAsiaTheme="minorEastAsia" w:hAnsiTheme="minorHAnsi" w:cstheme="minorBidi"/>
                <w:sz w:val="18"/>
                <w:szCs w:val="18"/>
              </w:rPr>
              <w:t xml:space="preserve">OCPP 1.6/2.0  </w:t>
            </w:r>
          </w:p>
        </w:tc>
        <w:tc>
          <w:tcPr>
            <w:tcW w:w="0" w:type="dxa"/>
          </w:tcPr>
          <w:p w14:paraId="25A8D5CA" w14:textId="7D216A51" w:rsidR="74FE770A" w:rsidRDefault="74FE770A" w:rsidP="74FE770A">
            <w:pPr>
              <w:spacing w:after="160" w:line="257"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74FE770A">
              <w:rPr>
                <w:rFonts w:asciiTheme="minorHAnsi" w:eastAsiaTheme="minorEastAsia" w:hAnsiTheme="minorHAnsi" w:cstheme="minorBidi"/>
                <w:sz w:val="18"/>
                <w:szCs w:val="18"/>
                <w:lang w:val="en"/>
              </w:rPr>
              <w:t xml:space="preserve">For CSMS backend communication </w:t>
            </w:r>
            <w:r w:rsidRPr="74FE770A">
              <w:rPr>
                <w:rFonts w:asciiTheme="minorHAnsi" w:eastAsiaTheme="minorEastAsia" w:hAnsiTheme="minorHAnsi" w:cstheme="minorBidi"/>
                <w:sz w:val="18"/>
                <w:szCs w:val="18"/>
              </w:rPr>
              <w:t xml:space="preserve"> </w:t>
            </w:r>
          </w:p>
        </w:tc>
        <w:tc>
          <w:tcPr>
            <w:tcW w:w="0" w:type="dxa"/>
          </w:tcPr>
          <w:p w14:paraId="6BBDFF38" w14:textId="21079B90" w:rsidR="74FE770A" w:rsidRDefault="74FE770A" w:rsidP="74FE770A">
            <w:pPr>
              <w:spacing w:after="160" w:line="257"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74FE770A">
              <w:rPr>
                <w:rFonts w:asciiTheme="minorHAnsi" w:eastAsiaTheme="minorEastAsia" w:hAnsiTheme="minorHAnsi" w:cstheme="minorBidi"/>
                <w:sz w:val="18"/>
                <w:szCs w:val="18"/>
              </w:rPr>
              <w:t xml:space="preserve">For intercepting firmware update messages </w:t>
            </w:r>
          </w:p>
        </w:tc>
      </w:tr>
      <w:tr w:rsidR="74FE770A" w14:paraId="5C8FFE67" w14:textId="77777777" w:rsidTr="005713FD">
        <w:trPr>
          <w:trHeight w:val="390"/>
        </w:trPr>
        <w:tc>
          <w:tcPr>
            <w:cnfStyle w:val="001000000000" w:firstRow="0" w:lastRow="0" w:firstColumn="1" w:lastColumn="0" w:oddVBand="0" w:evenVBand="0" w:oddHBand="0" w:evenHBand="0" w:firstRowFirstColumn="0" w:firstRowLastColumn="0" w:lastRowFirstColumn="0" w:lastRowLastColumn="0"/>
            <w:tcW w:w="0" w:type="dxa"/>
          </w:tcPr>
          <w:p w14:paraId="236BB69B" w14:textId="413939DD" w:rsidR="74FE770A" w:rsidRDefault="74FE770A" w:rsidP="74FE770A">
            <w:pPr>
              <w:spacing w:after="160" w:line="257" w:lineRule="auto"/>
              <w:rPr>
                <w:rFonts w:asciiTheme="minorHAnsi" w:eastAsiaTheme="minorEastAsia" w:hAnsiTheme="minorHAnsi" w:cstheme="minorBidi"/>
                <w:sz w:val="18"/>
                <w:szCs w:val="18"/>
              </w:rPr>
            </w:pPr>
            <w:r w:rsidRPr="74FE770A">
              <w:rPr>
                <w:rFonts w:asciiTheme="minorHAnsi" w:eastAsiaTheme="minorEastAsia" w:hAnsiTheme="minorHAnsi" w:cstheme="minorBidi"/>
                <w:sz w:val="18"/>
                <w:szCs w:val="18"/>
              </w:rPr>
              <w:t xml:space="preserve">ISO 15118  </w:t>
            </w:r>
          </w:p>
        </w:tc>
        <w:tc>
          <w:tcPr>
            <w:tcW w:w="0" w:type="dxa"/>
          </w:tcPr>
          <w:p w14:paraId="3F4A2730" w14:textId="4EA7B1EE" w:rsidR="74FE770A" w:rsidRDefault="74FE770A" w:rsidP="74FE770A">
            <w:pPr>
              <w:spacing w:after="160" w:line="257"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74FE770A">
              <w:rPr>
                <w:rFonts w:asciiTheme="minorHAnsi" w:eastAsiaTheme="minorEastAsia" w:hAnsiTheme="minorHAnsi" w:cstheme="minorBidi"/>
                <w:sz w:val="18"/>
                <w:szCs w:val="18"/>
              </w:rPr>
              <w:t xml:space="preserve">Plugging, charging and V2G  </w:t>
            </w:r>
          </w:p>
        </w:tc>
        <w:tc>
          <w:tcPr>
            <w:tcW w:w="0" w:type="dxa"/>
          </w:tcPr>
          <w:p w14:paraId="2E55E0FB" w14:textId="1417C7B5" w:rsidR="74FE770A" w:rsidRDefault="74FE770A" w:rsidP="74FE770A">
            <w:pPr>
              <w:spacing w:after="160" w:line="257"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74FE770A">
              <w:rPr>
                <w:rFonts w:asciiTheme="minorHAnsi" w:eastAsiaTheme="minorEastAsia" w:hAnsiTheme="minorHAnsi" w:cstheme="minorBidi"/>
                <w:sz w:val="18"/>
                <w:szCs w:val="18"/>
              </w:rPr>
              <w:t xml:space="preserve"> Crypto engine for certificate validations </w:t>
            </w:r>
          </w:p>
        </w:tc>
      </w:tr>
      <w:tr w:rsidR="74FE770A" w14:paraId="2254C508" w14:textId="77777777" w:rsidTr="005713F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dxa"/>
          </w:tcPr>
          <w:p w14:paraId="150CCAE4" w14:textId="3B019D0D" w:rsidR="74FE770A" w:rsidRDefault="74FE770A" w:rsidP="74FE770A">
            <w:pPr>
              <w:spacing w:after="160" w:line="257" w:lineRule="auto"/>
              <w:rPr>
                <w:rFonts w:asciiTheme="minorHAnsi" w:eastAsiaTheme="minorEastAsia" w:hAnsiTheme="minorHAnsi" w:cstheme="minorBidi"/>
                <w:sz w:val="18"/>
                <w:szCs w:val="18"/>
              </w:rPr>
            </w:pPr>
            <w:r w:rsidRPr="74FE770A">
              <w:rPr>
                <w:rFonts w:asciiTheme="minorHAnsi" w:eastAsiaTheme="minorEastAsia" w:hAnsiTheme="minorHAnsi" w:cstheme="minorBidi"/>
                <w:sz w:val="18"/>
                <w:szCs w:val="18"/>
              </w:rPr>
              <w:t xml:space="preserve">IEC 61851  </w:t>
            </w:r>
          </w:p>
        </w:tc>
        <w:tc>
          <w:tcPr>
            <w:tcW w:w="0" w:type="dxa"/>
          </w:tcPr>
          <w:p w14:paraId="3C605F07" w14:textId="51D03827" w:rsidR="74FE770A" w:rsidRDefault="74FE770A" w:rsidP="74FE770A">
            <w:pPr>
              <w:spacing w:after="160" w:line="257"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74FE770A">
              <w:rPr>
                <w:rFonts w:asciiTheme="minorHAnsi" w:eastAsiaTheme="minorEastAsia" w:hAnsiTheme="minorHAnsi" w:cstheme="minorBidi"/>
                <w:sz w:val="18"/>
                <w:szCs w:val="18"/>
              </w:rPr>
              <w:t xml:space="preserve">For CP states and PWM signalling  </w:t>
            </w:r>
          </w:p>
        </w:tc>
        <w:tc>
          <w:tcPr>
            <w:tcW w:w="0" w:type="dxa"/>
          </w:tcPr>
          <w:p w14:paraId="4F9A1AE4" w14:textId="6FA7EAFF" w:rsidR="74FE770A" w:rsidRDefault="74FE770A" w:rsidP="74FE770A">
            <w:pPr>
              <w:spacing w:after="160" w:line="257"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74FE770A">
              <w:rPr>
                <w:rFonts w:asciiTheme="minorHAnsi" w:eastAsiaTheme="minorEastAsia" w:hAnsiTheme="minorHAnsi" w:cstheme="minorBidi"/>
                <w:sz w:val="18"/>
                <w:szCs w:val="18"/>
              </w:rPr>
              <w:t xml:space="preserve">States transition </w:t>
            </w:r>
          </w:p>
        </w:tc>
      </w:tr>
      <w:tr w:rsidR="74FE770A" w14:paraId="7884F3E1" w14:textId="77777777" w:rsidTr="005713FD">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0BE5FE71" w14:textId="214B7261" w:rsidR="74FE770A" w:rsidRDefault="74FE770A" w:rsidP="74FE770A">
            <w:pPr>
              <w:spacing w:after="160" w:line="257" w:lineRule="auto"/>
              <w:rPr>
                <w:rFonts w:asciiTheme="minorHAnsi" w:eastAsiaTheme="minorEastAsia" w:hAnsiTheme="minorHAnsi" w:cstheme="minorBidi"/>
                <w:sz w:val="18"/>
                <w:szCs w:val="18"/>
              </w:rPr>
            </w:pPr>
            <w:r w:rsidRPr="74FE770A">
              <w:rPr>
                <w:rFonts w:asciiTheme="minorHAnsi" w:eastAsiaTheme="minorEastAsia" w:hAnsiTheme="minorHAnsi" w:cstheme="minorBidi"/>
                <w:sz w:val="18"/>
                <w:szCs w:val="18"/>
              </w:rPr>
              <w:t xml:space="preserve">IEC 61850 </w:t>
            </w:r>
          </w:p>
        </w:tc>
        <w:tc>
          <w:tcPr>
            <w:tcW w:w="0" w:type="dxa"/>
          </w:tcPr>
          <w:p w14:paraId="28D9C6E7" w14:textId="3BBB2520" w:rsidR="74FE770A" w:rsidRDefault="74FE770A" w:rsidP="74FE770A">
            <w:pPr>
              <w:spacing w:after="160" w:line="257"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74FE770A">
              <w:rPr>
                <w:rFonts w:asciiTheme="minorHAnsi" w:eastAsiaTheme="minorEastAsia" w:hAnsiTheme="minorHAnsi" w:cstheme="minorBidi"/>
                <w:sz w:val="18"/>
                <w:szCs w:val="18"/>
              </w:rPr>
              <w:t xml:space="preserve">GOOSE and MMS </w:t>
            </w:r>
          </w:p>
        </w:tc>
        <w:tc>
          <w:tcPr>
            <w:tcW w:w="0" w:type="dxa"/>
          </w:tcPr>
          <w:p w14:paraId="5F6D59FA" w14:textId="329F0BCD" w:rsidR="74FE770A" w:rsidRDefault="74FE770A" w:rsidP="74FE770A">
            <w:pPr>
              <w:spacing w:after="160" w:line="257"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74FE770A">
              <w:rPr>
                <w:rFonts w:asciiTheme="minorHAnsi" w:eastAsiaTheme="minorEastAsia" w:hAnsiTheme="minorHAnsi" w:cstheme="minorBidi"/>
                <w:sz w:val="18"/>
                <w:szCs w:val="18"/>
              </w:rPr>
              <w:t xml:space="preserve">Inform TSM regarding protection events </w:t>
            </w:r>
          </w:p>
        </w:tc>
      </w:tr>
      <w:tr w:rsidR="74FE770A" w14:paraId="30DCA849" w14:textId="77777777" w:rsidTr="005713F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dxa"/>
          </w:tcPr>
          <w:p w14:paraId="308C4A10" w14:textId="6A09D3BF" w:rsidR="74FE770A" w:rsidRDefault="74FE770A" w:rsidP="74FE770A">
            <w:pPr>
              <w:spacing w:after="160" w:line="257" w:lineRule="auto"/>
              <w:rPr>
                <w:rFonts w:asciiTheme="minorHAnsi" w:eastAsiaTheme="minorEastAsia" w:hAnsiTheme="minorHAnsi" w:cstheme="minorBidi"/>
                <w:sz w:val="18"/>
                <w:szCs w:val="18"/>
              </w:rPr>
            </w:pPr>
            <w:r w:rsidRPr="74FE770A">
              <w:rPr>
                <w:rFonts w:asciiTheme="minorHAnsi" w:eastAsiaTheme="minorEastAsia" w:hAnsiTheme="minorHAnsi" w:cstheme="minorBidi"/>
                <w:sz w:val="18"/>
                <w:szCs w:val="18"/>
              </w:rPr>
              <w:t xml:space="preserve">OpenADR </w:t>
            </w:r>
          </w:p>
        </w:tc>
        <w:tc>
          <w:tcPr>
            <w:tcW w:w="0" w:type="dxa"/>
          </w:tcPr>
          <w:p w14:paraId="553A9C11" w14:textId="287597FD" w:rsidR="74FE770A" w:rsidRDefault="74FE770A" w:rsidP="74FE770A">
            <w:pPr>
              <w:spacing w:after="160" w:line="257"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74FE770A">
              <w:rPr>
                <w:rFonts w:asciiTheme="minorHAnsi" w:eastAsiaTheme="minorEastAsia" w:hAnsiTheme="minorHAnsi" w:cstheme="minorBidi"/>
                <w:sz w:val="18"/>
                <w:szCs w:val="18"/>
              </w:rPr>
              <w:t xml:space="preserve">For demand response  </w:t>
            </w:r>
          </w:p>
        </w:tc>
        <w:tc>
          <w:tcPr>
            <w:tcW w:w="0" w:type="dxa"/>
          </w:tcPr>
          <w:p w14:paraId="7D0ADE5B" w14:textId="0AFE66F8" w:rsidR="74FE770A" w:rsidRDefault="74FE770A" w:rsidP="74FE770A">
            <w:pPr>
              <w:spacing w:after="160" w:line="257"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74FE770A">
              <w:rPr>
                <w:rFonts w:asciiTheme="minorHAnsi" w:eastAsiaTheme="minorEastAsia" w:hAnsiTheme="minorHAnsi" w:cstheme="minorBidi"/>
                <w:sz w:val="18"/>
                <w:szCs w:val="18"/>
              </w:rPr>
              <w:t xml:space="preserve">validate DR signals </w:t>
            </w:r>
          </w:p>
        </w:tc>
      </w:tr>
      <w:tr w:rsidR="74FE770A" w14:paraId="18602EC1" w14:textId="77777777" w:rsidTr="005713FD">
        <w:trPr>
          <w:trHeight w:val="285"/>
        </w:trPr>
        <w:tc>
          <w:tcPr>
            <w:cnfStyle w:val="001000000000" w:firstRow="0" w:lastRow="0" w:firstColumn="1" w:lastColumn="0" w:oddVBand="0" w:evenVBand="0" w:oddHBand="0" w:evenHBand="0" w:firstRowFirstColumn="0" w:firstRowLastColumn="0" w:lastRowFirstColumn="0" w:lastRowLastColumn="0"/>
            <w:tcW w:w="0" w:type="dxa"/>
          </w:tcPr>
          <w:p w14:paraId="15FF9933" w14:textId="451D88A3" w:rsidR="74FE770A" w:rsidRDefault="74FE770A" w:rsidP="74FE770A">
            <w:pPr>
              <w:spacing w:after="160" w:line="257" w:lineRule="auto"/>
              <w:rPr>
                <w:rFonts w:asciiTheme="minorHAnsi" w:eastAsiaTheme="minorEastAsia" w:hAnsiTheme="minorHAnsi" w:cstheme="minorBidi"/>
                <w:sz w:val="18"/>
                <w:szCs w:val="18"/>
              </w:rPr>
            </w:pPr>
            <w:r w:rsidRPr="74FE770A">
              <w:rPr>
                <w:rFonts w:asciiTheme="minorHAnsi" w:eastAsiaTheme="minorEastAsia" w:hAnsiTheme="minorHAnsi" w:cstheme="minorBidi"/>
                <w:sz w:val="18"/>
                <w:szCs w:val="18"/>
              </w:rPr>
              <w:t xml:space="preserve">CHAdeMO </w:t>
            </w:r>
          </w:p>
        </w:tc>
        <w:tc>
          <w:tcPr>
            <w:tcW w:w="0" w:type="dxa"/>
          </w:tcPr>
          <w:p w14:paraId="686F9BAB" w14:textId="09771077" w:rsidR="74FE770A" w:rsidRDefault="74FE770A" w:rsidP="74FE770A">
            <w:pPr>
              <w:spacing w:after="160" w:line="257"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74FE770A">
              <w:rPr>
                <w:rFonts w:asciiTheme="minorHAnsi" w:eastAsiaTheme="minorEastAsia" w:hAnsiTheme="minorHAnsi" w:cstheme="minorBidi"/>
                <w:sz w:val="18"/>
                <w:szCs w:val="18"/>
              </w:rPr>
              <w:t xml:space="preserve">DCFC and V2G  </w:t>
            </w:r>
          </w:p>
        </w:tc>
        <w:tc>
          <w:tcPr>
            <w:tcW w:w="0" w:type="dxa"/>
          </w:tcPr>
          <w:p w14:paraId="32B303F4" w14:textId="280D4A7B" w:rsidR="74FE770A" w:rsidRDefault="74FE770A" w:rsidP="74FE770A">
            <w:pPr>
              <w:spacing w:after="160" w:line="257"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74FE770A">
              <w:rPr>
                <w:rFonts w:asciiTheme="minorHAnsi" w:eastAsiaTheme="minorEastAsia" w:hAnsiTheme="minorHAnsi" w:cstheme="minorBidi"/>
                <w:sz w:val="18"/>
                <w:szCs w:val="18"/>
              </w:rPr>
              <w:t xml:space="preserve">Enforcing power limits </w:t>
            </w:r>
          </w:p>
        </w:tc>
      </w:tr>
      <w:tr w:rsidR="74FE770A" w14:paraId="694015FB" w14:textId="77777777" w:rsidTr="005713FD">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0" w:type="dxa"/>
          </w:tcPr>
          <w:p w14:paraId="532745DD" w14:textId="4247E75F" w:rsidR="74FE770A" w:rsidRDefault="74FE770A" w:rsidP="74FE770A">
            <w:pPr>
              <w:spacing w:after="160" w:line="257" w:lineRule="auto"/>
              <w:rPr>
                <w:rFonts w:asciiTheme="minorHAnsi" w:eastAsiaTheme="minorEastAsia" w:hAnsiTheme="minorHAnsi" w:cstheme="minorBidi"/>
                <w:sz w:val="18"/>
                <w:szCs w:val="18"/>
              </w:rPr>
            </w:pPr>
            <w:r w:rsidRPr="74FE770A">
              <w:rPr>
                <w:rFonts w:asciiTheme="minorHAnsi" w:eastAsiaTheme="minorEastAsia" w:hAnsiTheme="minorHAnsi" w:cstheme="minorBidi"/>
                <w:sz w:val="18"/>
                <w:szCs w:val="18"/>
              </w:rPr>
              <w:t xml:space="preserve">OCPI 2.2  </w:t>
            </w:r>
          </w:p>
        </w:tc>
        <w:tc>
          <w:tcPr>
            <w:tcW w:w="0" w:type="dxa"/>
          </w:tcPr>
          <w:p w14:paraId="397E62B9" w14:textId="73489196" w:rsidR="74FE770A" w:rsidRDefault="74FE770A" w:rsidP="74FE770A">
            <w:pPr>
              <w:spacing w:after="160" w:line="257"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74FE770A">
              <w:rPr>
                <w:rFonts w:asciiTheme="minorHAnsi" w:eastAsiaTheme="minorEastAsia" w:hAnsiTheme="minorHAnsi" w:cstheme="minorBidi"/>
                <w:sz w:val="18"/>
                <w:szCs w:val="18"/>
              </w:rPr>
              <w:t xml:space="preserve">For CPO/eMSP information exchange </w:t>
            </w:r>
          </w:p>
        </w:tc>
        <w:tc>
          <w:tcPr>
            <w:tcW w:w="0" w:type="dxa"/>
          </w:tcPr>
          <w:p w14:paraId="6CC62051" w14:textId="38EB8D23" w:rsidR="74FE770A" w:rsidRDefault="74FE770A" w:rsidP="74FE770A">
            <w:pPr>
              <w:spacing w:after="160" w:line="257"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74FE770A">
              <w:rPr>
                <w:rFonts w:asciiTheme="minorHAnsi" w:eastAsiaTheme="minorEastAsia" w:hAnsiTheme="minorHAnsi" w:cstheme="minorBidi"/>
                <w:sz w:val="18"/>
                <w:szCs w:val="18"/>
              </w:rPr>
              <w:t xml:space="preserve">Indirect TSM interactions </w:t>
            </w:r>
          </w:p>
        </w:tc>
      </w:tr>
      <w:tr w:rsidR="74FE770A" w14:paraId="5BC570E1" w14:textId="77777777" w:rsidTr="005713FD">
        <w:trPr>
          <w:trHeight w:val="285"/>
        </w:trPr>
        <w:tc>
          <w:tcPr>
            <w:cnfStyle w:val="001000000000" w:firstRow="0" w:lastRow="0" w:firstColumn="1" w:lastColumn="0" w:oddVBand="0" w:evenVBand="0" w:oddHBand="0" w:evenHBand="0" w:firstRowFirstColumn="0" w:firstRowLastColumn="0" w:lastRowFirstColumn="0" w:lastRowLastColumn="0"/>
            <w:tcW w:w="0" w:type="dxa"/>
          </w:tcPr>
          <w:p w14:paraId="0AA2D336" w14:textId="2E3AD7A9" w:rsidR="74FE770A" w:rsidRDefault="74FE770A" w:rsidP="74FE770A">
            <w:pPr>
              <w:spacing w:after="160" w:line="257" w:lineRule="auto"/>
              <w:rPr>
                <w:rFonts w:asciiTheme="minorHAnsi" w:eastAsiaTheme="minorEastAsia" w:hAnsiTheme="minorHAnsi" w:cstheme="minorBidi"/>
                <w:sz w:val="18"/>
                <w:szCs w:val="18"/>
              </w:rPr>
            </w:pPr>
            <w:r w:rsidRPr="74FE770A">
              <w:rPr>
                <w:rFonts w:asciiTheme="minorHAnsi" w:eastAsiaTheme="minorEastAsia" w:hAnsiTheme="minorHAnsi" w:cstheme="minorBidi"/>
                <w:sz w:val="18"/>
                <w:szCs w:val="18"/>
                <w:lang w:val="en"/>
              </w:rPr>
              <w:t xml:space="preserve">Modbus TCP </w:t>
            </w:r>
            <w:r w:rsidRPr="74FE770A">
              <w:rPr>
                <w:rFonts w:asciiTheme="minorHAnsi" w:eastAsiaTheme="minorEastAsia" w:hAnsiTheme="minorHAnsi" w:cstheme="minorBidi"/>
                <w:sz w:val="18"/>
                <w:szCs w:val="18"/>
              </w:rPr>
              <w:t xml:space="preserve"> </w:t>
            </w:r>
          </w:p>
        </w:tc>
        <w:tc>
          <w:tcPr>
            <w:tcW w:w="0" w:type="dxa"/>
          </w:tcPr>
          <w:p w14:paraId="05106D7A" w14:textId="37F4F322" w:rsidR="74FE770A" w:rsidRDefault="74FE770A" w:rsidP="74FE770A">
            <w:pPr>
              <w:spacing w:after="160" w:line="257"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74FE770A">
              <w:rPr>
                <w:rFonts w:asciiTheme="minorHAnsi" w:eastAsiaTheme="minorEastAsia" w:hAnsiTheme="minorHAnsi" w:cstheme="minorBidi"/>
                <w:sz w:val="18"/>
                <w:szCs w:val="18"/>
                <w:lang w:val="en"/>
              </w:rPr>
              <w:t xml:space="preserve">For energy metering </w:t>
            </w:r>
            <w:r w:rsidRPr="74FE770A">
              <w:rPr>
                <w:rFonts w:asciiTheme="minorHAnsi" w:eastAsiaTheme="minorEastAsia" w:hAnsiTheme="minorHAnsi" w:cstheme="minorBidi"/>
                <w:sz w:val="18"/>
                <w:szCs w:val="18"/>
              </w:rPr>
              <w:t xml:space="preserve"> </w:t>
            </w:r>
          </w:p>
        </w:tc>
        <w:tc>
          <w:tcPr>
            <w:tcW w:w="0" w:type="dxa"/>
          </w:tcPr>
          <w:p w14:paraId="10D37DE9" w14:textId="49BA710A" w:rsidR="74FE770A" w:rsidRDefault="74FE770A" w:rsidP="74FE770A">
            <w:pPr>
              <w:spacing w:after="160" w:line="257"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74FE770A">
              <w:rPr>
                <w:rFonts w:asciiTheme="minorHAnsi" w:eastAsiaTheme="minorEastAsia" w:hAnsiTheme="minorHAnsi" w:cstheme="minorBidi"/>
                <w:sz w:val="18"/>
                <w:szCs w:val="18"/>
                <w:lang w:val="en"/>
              </w:rPr>
              <w:t>Gated safety registers</w:t>
            </w:r>
          </w:p>
        </w:tc>
      </w:tr>
    </w:tbl>
    <w:p w14:paraId="1D473A54" w14:textId="2EECB494" w:rsidR="74FE770A" w:rsidRDefault="74FE770A" w:rsidP="74FE770A">
      <w:pPr>
        <w:spacing w:after="160" w:line="257" w:lineRule="auto"/>
        <w:jc w:val="both"/>
        <w:rPr>
          <w:rFonts w:asciiTheme="minorHAnsi" w:eastAsiaTheme="minorEastAsia" w:hAnsiTheme="minorHAnsi" w:cstheme="minorBidi"/>
          <w:lang w:val="en-GB"/>
        </w:rPr>
      </w:pPr>
    </w:p>
    <w:p w14:paraId="07C1D0BD" w14:textId="5B190618" w:rsidR="3F3DF4E1" w:rsidRDefault="3F3DF4E1" w:rsidP="72F6D7B4">
      <w:pPr>
        <w:spacing w:after="160" w:line="257" w:lineRule="auto"/>
        <w:jc w:val="both"/>
        <w:rPr>
          <w:rFonts w:asciiTheme="minorHAnsi" w:eastAsiaTheme="minorEastAsia" w:hAnsiTheme="minorHAnsi" w:cstheme="minorBidi"/>
          <w:sz w:val="24"/>
          <w:szCs w:val="24"/>
          <w:lang w:val="en-GB"/>
        </w:rPr>
      </w:pPr>
      <w:r w:rsidRPr="5B43E580">
        <w:rPr>
          <w:rFonts w:asciiTheme="minorHAnsi" w:eastAsiaTheme="minorEastAsia" w:hAnsiTheme="minorHAnsi" w:cstheme="minorBidi"/>
          <w:sz w:val="24"/>
          <w:szCs w:val="24"/>
          <w:lang w:val="en-GB"/>
        </w:rPr>
        <w:t>The TSM intercepts protocol messages at six key points: the TSM fail-secure logic monitors IEC 61850 GOOSE events; GridSafetyEnvelope processes OpenADR demand response signals; TSM enforces authorization for safety-critical registers in Modbus; TSM policy clearance governs IEC 61851 state transitions (B→C, C→D); the TSM CryptoEngine handles ISO 15118 plugging and charging certificates; and the TSM pipeline verification oversees OCPP commands that trigger UpdateFirmware.</w:t>
      </w:r>
    </w:p>
    <w:p w14:paraId="6FF52010" w14:textId="356A5CB2" w:rsidR="3F3DF4E1" w:rsidRDefault="3F3DF4E1" w:rsidP="625B0D3D">
      <w:pPr>
        <w:spacing w:after="160" w:line="257" w:lineRule="auto"/>
        <w:rPr>
          <w:rFonts w:asciiTheme="minorHAnsi" w:eastAsiaTheme="minorEastAsia" w:hAnsiTheme="minorHAnsi" w:cstheme="minorBidi"/>
        </w:rPr>
      </w:pPr>
      <w:r w:rsidRPr="625B0D3D">
        <w:rPr>
          <w:rFonts w:ascii="Aptos" w:eastAsia="Aptos" w:hAnsi="Aptos" w:cs="Aptos"/>
        </w:rPr>
        <w:t xml:space="preserve"> </w:t>
      </w:r>
    </w:p>
    <w:p w14:paraId="2D7A2D2E" w14:textId="7AE58197" w:rsidR="3F3DF4E1" w:rsidRDefault="3F3DF4E1" w:rsidP="625B0D3D">
      <w:pPr>
        <w:pStyle w:val="Heading3"/>
        <w:spacing w:before="160" w:after="80" w:line="257" w:lineRule="auto"/>
        <w:rPr>
          <w:rFonts w:asciiTheme="minorHAnsi" w:eastAsiaTheme="minorEastAsia" w:hAnsiTheme="minorHAnsi" w:cstheme="minorBidi"/>
          <w:sz w:val="28"/>
          <w:szCs w:val="28"/>
          <w:lang w:val="en-GB"/>
        </w:rPr>
      </w:pPr>
      <w:bookmarkStart w:id="309" w:name="_Toc234310828"/>
      <w:r w:rsidRPr="5B43E580">
        <w:rPr>
          <w:rFonts w:ascii="Aptos" w:eastAsia="Aptos" w:hAnsi="Aptos" w:cs="Aptos"/>
          <w:sz w:val="28"/>
          <w:szCs w:val="28"/>
          <w:lang w:val="en-GB"/>
        </w:rPr>
        <w:t>Grid and Power System Model</w:t>
      </w:r>
      <w:bookmarkEnd w:id="309"/>
      <w:r w:rsidRPr="5B43E580">
        <w:rPr>
          <w:rFonts w:ascii="Aptos" w:eastAsia="Aptos" w:hAnsi="Aptos" w:cs="Aptos"/>
          <w:sz w:val="28"/>
          <w:szCs w:val="28"/>
          <w:lang w:val="en-GB"/>
        </w:rPr>
        <w:t xml:space="preserve"> </w:t>
      </w:r>
    </w:p>
    <w:p w14:paraId="2342FFCC" w14:textId="041A80B9" w:rsidR="3F3DF4E1" w:rsidRDefault="3F3DF4E1" w:rsidP="72F6D7B4">
      <w:pPr>
        <w:spacing w:after="160" w:line="257" w:lineRule="auto"/>
        <w:jc w:val="both"/>
        <w:rPr>
          <w:rFonts w:asciiTheme="minorHAnsi" w:eastAsiaTheme="minorEastAsia" w:hAnsiTheme="minorHAnsi" w:cstheme="minorBidi"/>
          <w:sz w:val="24"/>
          <w:szCs w:val="24"/>
          <w:lang w:val="en-GB"/>
        </w:rPr>
      </w:pPr>
      <w:r w:rsidRPr="5B43E580">
        <w:rPr>
          <w:rFonts w:asciiTheme="minorHAnsi" w:eastAsiaTheme="minorEastAsia" w:hAnsiTheme="minorHAnsi" w:cstheme="minorBidi"/>
          <w:sz w:val="24"/>
          <w:szCs w:val="24"/>
          <w:lang w:val="en-GB"/>
        </w:rPr>
        <w:t>The power grid is modelled with a base voltage of 12.47 kV, an apparent power rating of 10 MVA, and a nominal frequency of 50 Hz. Test cases are conducted on IEEE 13-bus, 123-bus, and 339-bus networks. The network topology is represented using NetworkX graphs, with the following data structures: Load — power factor and active power; Transformer — tap changer, turns ratio, and kVA rating; Line — capacity and impedance; Bus — operational limits, per-unit values, and voltage levels. The deployment architecture supports two modes of power flow: a high-fidelity mode using OpenDSS and a simplified built-in power flow mode based on IEEE bus networks. Voltage deviation is estimated using Eq. 8, and the voltage drop across buses is calculated using Eq. 9.</w:t>
      </w:r>
    </w:p>
    <w:p w14:paraId="6E4C2BA7" w14:textId="369BDAA3" w:rsidR="3F3DF4E1" w:rsidRDefault="6830F39E" w:rsidP="625B0D3D">
      <w:pPr>
        <w:spacing w:after="160" w:line="257" w:lineRule="auto"/>
        <w:jc w:val="center"/>
        <w:rPr>
          <w:rFonts w:asciiTheme="minorHAnsi" w:eastAsiaTheme="minorEastAsia" w:hAnsiTheme="minorHAnsi" w:cstheme="minorBidi"/>
        </w:rPr>
      </w:pPr>
      <w:r>
        <w:rPr>
          <w:noProof/>
        </w:rPr>
        <w:drawing>
          <wp:inline distT="0" distB="0" distL="0" distR="0" wp14:anchorId="328A1CD8" wp14:editId="3A2E5E3C">
            <wp:extent cx="3343275" cy="542925"/>
            <wp:effectExtent l="0" t="0" r="0" b="0"/>
            <wp:docPr id="970410382" name="drawing" title="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0382" name="Picture 970410382"/>
                    <pic:cNvPicPr/>
                  </pic:nvPicPr>
                  <pic:blipFill>
                    <a:blip r:embed="rId58">
                      <a:extLst>
                        <a:ext uri="{28A0092B-C50C-407E-A947-70E740481C1C}">
                          <a14:useLocalDpi xmlns:a14="http://schemas.microsoft.com/office/drawing/2010/main"/>
                        </a:ext>
                      </a:extLst>
                    </a:blip>
                    <a:stretch>
                      <a:fillRect/>
                    </a:stretch>
                  </pic:blipFill>
                  <pic:spPr>
                    <a:xfrm>
                      <a:off x="0" y="0"/>
                      <a:ext cx="3343275" cy="542925"/>
                    </a:xfrm>
                    <a:prstGeom prst="rect">
                      <a:avLst/>
                    </a:prstGeom>
                  </pic:spPr>
                </pic:pic>
              </a:graphicData>
            </a:graphic>
          </wp:inline>
        </w:drawing>
      </w:r>
    </w:p>
    <w:p w14:paraId="3C0CB170" w14:textId="240C85C5" w:rsidR="3F3DF4E1" w:rsidRDefault="3F3DF4E1" w:rsidP="625B0D3D">
      <w:pPr>
        <w:spacing w:after="160" w:line="257" w:lineRule="auto"/>
        <w:rPr>
          <w:rFonts w:asciiTheme="minorHAnsi" w:eastAsiaTheme="minorEastAsia" w:hAnsiTheme="minorHAnsi" w:cstheme="minorBidi"/>
          <w:sz w:val="24"/>
          <w:szCs w:val="24"/>
          <w:lang w:val="en-GB"/>
        </w:rPr>
      </w:pPr>
      <w:r w:rsidRPr="7B244412">
        <w:rPr>
          <w:rFonts w:asciiTheme="minorHAnsi" w:eastAsiaTheme="minorEastAsia" w:hAnsiTheme="minorHAnsi" w:cstheme="minorBidi"/>
          <w:sz w:val="24"/>
          <w:szCs w:val="24"/>
          <w:lang w:val="en-GB"/>
        </w:rPr>
        <w:t>The EVSE inverter computes load and generation balancing for estimating frequency deviation using swing Eq. 10 as follows:</w:t>
      </w:r>
    </w:p>
    <w:p w14:paraId="7E957A0A" w14:textId="025DE81D" w:rsidR="3F3DF4E1" w:rsidRDefault="6830F39E" w:rsidP="625B0D3D">
      <w:pPr>
        <w:spacing w:after="160" w:line="257" w:lineRule="auto"/>
        <w:jc w:val="center"/>
        <w:rPr>
          <w:rFonts w:asciiTheme="minorHAnsi" w:eastAsiaTheme="minorEastAsia" w:hAnsiTheme="minorHAnsi" w:cstheme="minorBidi"/>
        </w:rPr>
      </w:pPr>
      <w:r>
        <w:rPr>
          <w:noProof/>
        </w:rPr>
        <w:drawing>
          <wp:inline distT="0" distB="0" distL="0" distR="0" wp14:anchorId="77A20B64" wp14:editId="0FBE06DC">
            <wp:extent cx="3552825" cy="400050"/>
            <wp:effectExtent l="0" t="0" r="0" b="0"/>
            <wp:docPr id="162686041" name="drawing" title="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86041" name="Picture 162686041"/>
                    <pic:cNvPicPr/>
                  </pic:nvPicPr>
                  <pic:blipFill>
                    <a:blip r:embed="rId59">
                      <a:extLst>
                        <a:ext uri="{28A0092B-C50C-407E-A947-70E740481C1C}">
                          <a14:useLocalDpi xmlns:a14="http://schemas.microsoft.com/office/drawing/2010/main"/>
                        </a:ext>
                      </a:extLst>
                    </a:blip>
                    <a:stretch>
                      <a:fillRect/>
                    </a:stretch>
                  </pic:blipFill>
                  <pic:spPr>
                    <a:xfrm>
                      <a:off x="0" y="0"/>
                      <a:ext cx="3552825" cy="400050"/>
                    </a:xfrm>
                    <a:prstGeom prst="rect">
                      <a:avLst/>
                    </a:prstGeom>
                  </pic:spPr>
                </pic:pic>
              </a:graphicData>
            </a:graphic>
          </wp:inline>
        </w:drawing>
      </w:r>
    </w:p>
    <w:p w14:paraId="310A9ECB" w14:textId="6B818B47" w:rsidR="3F3DF4E1" w:rsidRDefault="3F3DF4E1" w:rsidP="625B0D3D">
      <w:pPr>
        <w:spacing w:after="160" w:line="257" w:lineRule="auto"/>
        <w:rPr>
          <w:rFonts w:asciiTheme="minorHAnsi" w:eastAsiaTheme="minorEastAsia" w:hAnsiTheme="minorHAnsi" w:cstheme="minorBidi"/>
          <w:lang w:val="en-GB"/>
        </w:rPr>
      </w:pPr>
      <w:r w:rsidRPr="625B0D3D">
        <w:rPr>
          <w:rFonts w:ascii="Aptos" w:eastAsia="Aptos" w:hAnsi="Aptos" w:cs="Aptos"/>
          <w:lang w:val="en-GB"/>
        </w:rPr>
        <w:t xml:space="preserve"> </w:t>
      </w:r>
    </w:p>
    <w:p w14:paraId="610B334E" w14:textId="298919EE" w:rsidR="3F3DF4E1" w:rsidRDefault="3F3DF4E1" w:rsidP="7904246A">
      <w:pPr>
        <w:spacing w:after="160" w:line="257" w:lineRule="auto"/>
        <w:jc w:val="both"/>
        <w:rPr>
          <w:rFonts w:asciiTheme="minorHAnsi" w:eastAsiaTheme="minorEastAsia" w:hAnsiTheme="minorHAnsi" w:cstheme="minorBidi"/>
          <w:sz w:val="24"/>
          <w:szCs w:val="24"/>
          <w:lang w:val="en-GB"/>
        </w:rPr>
      </w:pPr>
      <w:r w:rsidRPr="7B244412">
        <w:rPr>
          <w:rFonts w:asciiTheme="minorHAnsi" w:eastAsiaTheme="minorEastAsia" w:hAnsiTheme="minorHAnsi" w:cstheme="minorBidi"/>
          <w:sz w:val="24"/>
          <w:szCs w:val="24"/>
          <w:lang w:val="en-GB"/>
        </w:rPr>
        <w:t>where H represents the inertial constant and Sbase represents the apparent power, so the</w:t>
      </w:r>
      <w:r w:rsidR="4AB64108" w:rsidRPr="7B244412">
        <w:rPr>
          <w:rFonts w:asciiTheme="minorHAnsi" w:eastAsiaTheme="minorEastAsia" w:hAnsiTheme="minorHAnsi" w:cstheme="minorBidi"/>
          <w:sz w:val="24"/>
          <w:szCs w:val="24"/>
          <w:lang w:val="en-GB"/>
        </w:rPr>
        <w:t xml:space="preserve"> </w:t>
      </w:r>
      <w:r w:rsidRPr="7B244412">
        <w:rPr>
          <w:rFonts w:asciiTheme="minorHAnsi" w:eastAsiaTheme="minorEastAsia" w:hAnsiTheme="minorHAnsi" w:cstheme="minorBidi"/>
          <w:sz w:val="24"/>
          <w:szCs w:val="24"/>
          <w:lang w:val="en-GB"/>
        </w:rPr>
        <w:t>RoCof is estimated with Eq. 11:</w:t>
      </w:r>
    </w:p>
    <w:p w14:paraId="2257679B" w14:textId="5856BF35" w:rsidR="3F3DF4E1" w:rsidRDefault="6830F39E" w:rsidP="625B0D3D">
      <w:pPr>
        <w:spacing w:after="160" w:line="257" w:lineRule="auto"/>
        <w:jc w:val="center"/>
        <w:rPr>
          <w:rFonts w:asciiTheme="minorHAnsi" w:eastAsiaTheme="minorEastAsia" w:hAnsiTheme="minorHAnsi" w:cstheme="minorBidi"/>
        </w:rPr>
      </w:pPr>
      <w:r>
        <w:rPr>
          <w:noProof/>
        </w:rPr>
        <w:drawing>
          <wp:inline distT="0" distB="0" distL="0" distR="0" wp14:anchorId="203D03DD" wp14:editId="28B6FCC5">
            <wp:extent cx="3276600" cy="371475"/>
            <wp:effectExtent l="0" t="0" r="0" b="0"/>
            <wp:docPr id="903489579" name="drawing" title="A white background with black and white clou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489579" name="Picture 903489579"/>
                    <pic:cNvPicPr/>
                  </pic:nvPicPr>
                  <pic:blipFill>
                    <a:blip r:embed="rId60">
                      <a:extLst>
                        <a:ext uri="{28A0092B-C50C-407E-A947-70E740481C1C}">
                          <a14:useLocalDpi xmlns:a14="http://schemas.microsoft.com/office/drawing/2010/main"/>
                        </a:ext>
                      </a:extLst>
                    </a:blip>
                    <a:stretch>
                      <a:fillRect/>
                    </a:stretch>
                  </pic:blipFill>
                  <pic:spPr>
                    <a:xfrm>
                      <a:off x="0" y="0"/>
                      <a:ext cx="3276600" cy="371475"/>
                    </a:xfrm>
                    <a:prstGeom prst="rect">
                      <a:avLst/>
                    </a:prstGeom>
                  </pic:spPr>
                </pic:pic>
              </a:graphicData>
            </a:graphic>
          </wp:inline>
        </w:drawing>
      </w:r>
    </w:p>
    <w:p w14:paraId="095C124A" w14:textId="3C6DB617" w:rsidR="3F3DF4E1" w:rsidRDefault="3F3DF4E1" w:rsidP="7904246A">
      <w:pPr>
        <w:spacing w:after="160" w:line="257" w:lineRule="auto"/>
        <w:jc w:val="both"/>
        <w:rPr>
          <w:rFonts w:asciiTheme="minorHAnsi" w:eastAsiaTheme="minorEastAsia" w:hAnsiTheme="minorHAnsi" w:cstheme="minorBidi"/>
          <w:sz w:val="24"/>
          <w:szCs w:val="24"/>
          <w:lang w:val="en-GB"/>
        </w:rPr>
      </w:pPr>
      <w:r w:rsidRPr="7B244412">
        <w:rPr>
          <w:rFonts w:asciiTheme="minorHAnsi" w:eastAsiaTheme="minorEastAsia" w:hAnsiTheme="minorHAnsi" w:cstheme="minorBidi"/>
          <w:sz w:val="24"/>
          <w:szCs w:val="24"/>
          <w:lang w:val="en-GB"/>
        </w:rPr>
        <w:t>The power dynamics include aggregate power, line loading (%), system frequency (Hz), and</w:t>
      </w:r>
      <w:r w:rsidR="4B5EB72B" w:rsidRPr="7B244412">
        <w:rPr>
          <w:rFonts w:asciiTheme="minorHAnsi" w:eastAsiaTheme="minorEastAsia" w:hAnsiTheme="minorHAnsi" w:cstheme="minorBidi"/>
          <w:sz w:val="24"/>
          <w:szCs w:val="24"/>
          <w:lang w:val="en-GB"/>
        </w:rPr>
        <w:t xml:space="preserve"> </w:t>
      </w:r>
      <w:r w:rsidRPr="7B244412">
        <w:rPr>
          <w:rFonts w:asciiTheme="minorHAnsi" w:eastAsiaTheme="minorEastAsia" w:hAnsiTheme="minorHAnsi" w:cstheme="minorBidi"/>
          <w:sz w:val="24"/>
          <w:szCs w:val="24"/>
          <w:lang w:val="en-GB"/>
        </w:rPr>
        <w:t>bus voltages (p.u) is estimated with default OpenDSS power flow solvers.</w:t>
      </w:r>
      <w:r w:rsidR="1824B5B1" w:rsidRPr="7B244412">
        <w:rPr>
          <w:rFonts w:asciiTheme="minorHAnsi" w:eastAsiaTheme="minorEastAsia" w:hAnsiTheme="minorHAnsi" w:cstheme="minorBidi"/>
          <w:sz w:val="24"/>
          <w:szCs w:val="24"/>
          <w:lang w:val="en-GB"/>
        </w:rPr>
        <w:t xml:space="preserve"> </w:t>
      </w:r>
      <w:r w:rsidRPr="7B244412">
        <w:rPr>
          <w:rFonts w:asciiTheme="minorHAnsi" w:eastAsiaTheme="minorEastAsia" w:hAnsiTheme="minorHAnsi" w:cstheme="minorBidi"/>
          <w:sz w:val="24"/>
          <w:szCs w:val="24"/>
          <w:lang w:val="en-GB"/>
        </w:rPr>
        <w:t>The EVSE fleet load aggregation is computed by adding individual EVSE station load profiles</w:t>
      </w:r>
      <w:r w:rsidR="648D37B5" w:rsidRPr="7B244412">
        <w:rPr>
          <w:rFonts w:asciiTheme="minorHAnsi" w:eastAsiaTheme="minorEastAsia" w:hAnsiTheme="minorHAnsi" w:cstheme="minorBidi"/>
          <w:sz w:val="24"/>
          <w:szCs w:val="24"/>
          <w:lang w:val="en-GB"/>
        </w:rPr>
        <w:t xml:space="preserve"> </w:t>
      </w:r>
      <w:r w:rsidRPr="7B244412">
        <w:rPr>
          <w:rFonts w:asciiTheme="minorHAnsi" w:eastAsiaTheme="minorEastAsia" w:hAnsiTheme="minorHAnsi" w:cstheme="minorBidi"/>
          <w:sz w:val="24"/>
          <w:szCs w:val="24"/>
          <w:lang w:val="en-GB"/>
        </w:rPr>
        <w:t>and considering realistic efficiency loss across each station as presented in Eq. 12 as follows:</w:t>
      </w:r>
    </w:p>
    <w:p w14:paraId="7D43A1BA" w14:textId="66FCEC92" w:rsidR="3F3DF4E1" w:rsidRDefault="6830F39E" w:rsidP="625B0D3D">
      <w:pPr>
        <w:spacing w:after="160" w:line="257" w:lineRule="auto"/>
        <w:jc w:val="center"/>
        <w:rPr>
          <w:rFonts w:asciiTheme="minorHAnsi" w:eastAsiaTheme="minorEastAsia" w:hAnsiTheme="minorHAnsi" w:cstheme="minorBidi"/>
        </w:rPr>
      </w:pPr>
      <w:r>
        <w:rPr>
          <w:noProof/>
        </w:rPr>
        <w:drawing>
          <wp:inline distT="0" distB="0" distL="0" distR="0" wp14:anchorId="7CEBAC1F" wp14:editId="6B195A5C">
            <wp:extent cx="3238500" cy="390525"/>
            <wp:effectExtent l="0" t="0" r="0" b="0"/>
            <wp:docPr id="1147723973" name="drawing" title="A white background with black and white clou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723973" name="Picture 1147723973"/>
                    <pic:cNvPicPr/>
                  </pic:nvPicPr>
                  <pic:blipFill>
                    <a:blip r:embed="rId61">
                      <a:extLst>
                        <a:ext uri="{28A0092B-C50C-407E-A947-70E740481C1C}">
                          <a14:useLocalDpi xmlns:a14="http://schemas.microsoft.com/office/drawing/2010/main"/>
                        </a:ext>
                      </a:extLst>
                    </a:blip>
                    <a:stretch>
                      <a:fillRect/>
                    </a:stretch>
                  </pic:blipFill>
                  <pic:spPr>
                    <a:xfrm>
                      <a:off x="0" y="0"/>
                      <a:ext cx="3238500" cy="390525"/>
                    </a:xfrm>
                    <a:prstGeom prst="rect">
                      <a:avLst/>
                    </a:prstGeom>
                  </pic:spPr>
                </pic:pic>
              </a:graphicData>
            </a:graphic>
          </wp:inline>
        </w:drawing>
      </w:r>
    </w:p>
    <w:p w14:paraId="683A408B" w14:textId="290A2356" w:rsidR="3F3DF4E1" w:rsidRDefault="3F3DF4E1" w:rsidP="7904246A">
      <w:pPr>
        <w:spacing w:after="160" w:line="257" w:lineRule="auto"/>
        <w:jc w:val="both"/>
        <w:rPr>
          <w:rFonts w:asciiTheme="minorHAnsi" w:eastAsiaTheme="minorEastAsia" w:hAnsiTheme="minorHAnsi" w:cstheme="minorBidi"/>
          <w:sz w:val="24"/>
          <w:szCs w:val="24"/>
          <w:lang w:val="en-GB"/>
        </w:rPr>
      </w:pPr>
      <w:r w:rsidRPr="7B244412">
        <w:rPr>
          <w:rFonts w:asciiTheme="minorHAnsi" w:eastAsiaTheme="minorEastAsia" w:hAnsiTheme="minorHAnsi" w:cstheme="minorBidi"/>
          <w:sz w:val="24"/>
          <w:szCs w:val="24"/>
          <w:lang w:val="en-GB"/>
        </w:rPr>
        <w:t>Where instantaneous power is P</w:t>
      </w:r>
      <w:r w:rsidRPr="7B244412">
        <w:rPr>
          <w:rFonts w:asciiTheme="minorHAnsi" w:eastAsiaTheme="minorEastAsia" w:hAnsiTheme="minorHAnsi" w:cstheme="minorBidi"/>
          <w:sz w:val="24"/>
          <w:szCs w:val="24"/>
          <w:vertAlign w:val="subscript"/>
          <w:lang w:val="en-GB"/>
        </w:rPr>
        <w:t>i</w:t>
      </w:r>
      <w:r w:rsidRPr="7B244412">
        <w:rPr>
          <w:rFonts w:asciiTheme="minorHAnsi" w:eastAsiaTheme="minorEastAsia" w:hAnsiTheme="minorHAnsi" w:cstheme="minorBidi"/>
          <w:sz w:val="24"/>
          <w:szCs w:val="24"/>
          <w:lang w:val="en-GB"/>
        </w:rPr>
        <w:t>(t) and station i efficiency is η</w:t>
      </w:r>
      <w:r w:rsidRPr="7B244412">
        <w:rPr>
          <w:rFonts w:asciiTheme="minorHAnsi" w:eastAsiaTheme="minorEastAsia" w:hAnsiTheme="minorHAnsi" w:cstheme="minorBidi"/>
          <w:sz w:val="24"/>
          <w:szCs w:val="24"/>
          <w:vertAlign w:val="subscript"/>
          <w:lang w:val="en-GB"/>
        </w:rPr>
        <w:t>i</w:t>
      </w:r>
      <w:r w:rsidRPr="7B244412">
        <w:rPr>
          <w:rFonts w:asciiTheme="minorHAnsi" w:eastAsiaTheme="minorEastAsia" w:hAnsiTheme="minorHAnsi" w:cstheme="minorBidi"/>
          <w:sz w:val="24"/>
          <w:szCs w:val="24"/>
          <w:lang w:val="en-GB"/>
        </w:rPr>
        <w:t xml:space="preserve"> = 0.95. The V2G capability</w:t>
      </w:r>
      <w:r w:rsidR="2580E217" w:rsidRPr="7B244412">
        <w:rPr>
          <w:rFonts w:asciiTheme="minorHAnsi" w:eastAsiaTheme="minorEastAsia" w:hAnsiTheme="minorHAnsi" w:cstheme="minorBidi"/>
          <w:sz w:val="24"/>
          <w:szCs w:val="24"/>
          <w:lang w:val="en-GB"/>
        </w:rPr>
        <w:t xml:space="preserve"> </w:t>
      </w:r>
      <w:r w:rsidRPr="7B244412">
        <w:rPr>
          <w:rFonts w:asciiTheme="minorHAnsi" w:eastAsiaTheme="minorEastAsia" w:hAnsiTheme="minorHAnsi" w:cstheme="minorBidi"/>
          <w:sz w:val="24"/>
          <w:szCs w:val="24"/>
          <w:lang w:val="en-GB"/>
        </w:rPr>
        <w:t>across each station is negative load P</w:t>
      </w:r>
      <w:r w:rsidRPr="7B244412">
        <w:rPr>
          <w:rFonts w:asciiTheme="minorHAnsi" w:eastAsiaTheme="minorEastAsia" w:hAnsiTheme="minorHAnsi" w:cstheme="minorBidi"/>
          <w:sz w:val="24"/>
          <w:szCs w:val="24"/>
          <w:vertAlign w:val="subscript"/>
          <w:lang w:val="en-GB"/>
        </w:rPr>
        <w:t>i</w:t>
      </w:r>
      <w:r w:rsidRPr="7B244412">
        <w:rPr>
          <w:rFonts w:asciiTheme="minorHAnsi" w:eastAsiaTheme="minorEastAsia" w:hAnsiTheme="minorHAnsi" w:cstheme="minorBidi"/>
          <w:sz w:val="24"/>
          <w:szCs w:val="24"/>
          <w:lang w:val="en-GB"/>
        </w:rPr>
        <w:t>(t) ≤ 0 to discharge the EV connected to station i. The</w:t>
      </w:r>
      <w:r w:rsidR="345DFC42" w:rsidRPr="7B244412">
        <w:rPr>
          <w:rFonts w:asciiTheme="minorHAnsi" w:eastAsiaTheme="minorEastAsia" w:hAnsiTheme="minorHAnsi" w:cstheme="minorBidi"/>
          <w:sz w:val="24"/>
          <w:szCs w:val="24"/>
          <w:lang w:val="en-GB"/>
        </w:rPr>
        <w:t xml:space="preserve"> </w:t>
      </w:r>
      <w:r w:rsidRPr="7B244412">
        <w:rPr>
          <w:rFonts w:asciiTheme="minorHAnsi" w:eastAsiaTheme="minorEastAsia" w:hAnsiTheme="minorHAnsi" w:cstheme="minorBidi"/>
          <w:sz w:val="24"/>
          <w:szCs w:val="24"/>
          <w:lang w:val="en-GB"/>
        </w:rPr>
        <w:t>overall power grid impact is estimated in the Eq. 13</w:t>
      </w:r>
    </w:p>
    <w:p w14:paraId="3F8ECCDB" w14:textId="014DFA44" w:rsidR="3F3DF4E1" w:rsidRDefault="6830F39E" w:rsidP="625B0D3D">
      <w:pPr>
        <w:spacing w:after="160" w:line="257" w:lineRule="auto"/>
        <w:jc w:val="center"/>
        <w:rPr>
          <w:rFonts w:asciiTheme="minorHAnsi" w:eastAsiaTheme="minorEastAsia" w:hAnsiTheme="minorHAnsi" w:cstheme="minorBidi"/>
        </w:rPr>
      </w:pPr>
      <w:r>
        <w:rPr>
          <w:noProof/>
        </w:rPr>
        <w:drawing>
          <wp:inline distT="0" distB="0" distL="0" distR="0" wp14:anchorId="0028C306" wp14:editId="1E95593C">
            <wp:extent cx="4010025" cy="295275"/>
            <wp:effectExtent l="0" t="0" r="0" b="0"/>
            <wp:docPr id="13726081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608118" name="Picture 1372608118"/>
                    <pic:cNvPicPr/>
                  </pic:nvPicPr>
                  <pic:blipFill>
                    <a:blip r:embed="rId62">
                      <a:extLst>
                        <a:ext uri="{28A0092B-C50C-407E-A947-70E740481C1C}">
                          <a14:useLocalDpi xmlns:a14="http://schemas.microsoft.com/office/drawing/2010/main"/>
                        </a:ext>
                      </a:extLst>
                    </a:blip>
                    <a:stretch>
                      <a:fillRect/>
                    </a:stretch>
                  </pic:blipFill>
                  <pic:spPr>
                    <a:xfrm>
                      <a:off x="0" y="0"/>
                      <a:ext cx="4010025" cy="295275"/>
                    </a:xfrm>
                    <a:prstGeom prst="rect">
                      <a:avLst/>
                    </a:prstGeom>
                  </pic:spPr>
                </pic:pic>
              </a:graphicData>
            </a:graphic>
          </wp:inline>
        </w:drawing>
      </w:r>
    </w:p>
    <w:p w14:paraId="7AE09BA9" w14:textId="082D09AD" w:rsidR="3F3DF4E1" w:rsidRDefault="3F3DF4E1" w:rsidP="625B0D3D">
      <w:pPr>
        <w:spacing w:after="160" w:line="257" w:lineRule="auto"/>
        <w:rPr>
          <w:rFonts w:asciiTheme="minorHAnsi" w:eastAsiaTheme="minorEastAsia" w:hAnsiTheme="minorHAnsi" w:cstheme="minorBidi"/>
          <w:sz w:val="24"/>
          <w:szCs w:val="24"/>
          <w:lang w:val="en-GB"/>
        </w:rPr>
      </w:pPr>
      <w:r w:rsidRPr="7B244412">
        <w:rPr>
          <w:rFonts w:asciiTheme="minorHAnsi" w:eastAsiaTheme="minorEastAsia" w:hAnsiTheme="minorHAnsi" w:cstheme="minorBidi"/>
          <w:sz w:val="24"/>
          <w:szCs w:val="24"/>
          <w:lang w:val="en-GB"/>
        </w:rPr>
        <w:t>The safe operating regions are defined in the grid safety envelope (GSE) as presented in Eq. 14</w:t>
      </w:r>
      <w:r w:rsidR="5CD76521" w:rsidRPr="7B244412">
        <w:rPr>
          <w:rFonts w:asciiTheme="minorHAnsi" w:eastAsiaTheme="minorEastAsia" w:hAnsiTheme="minorHAnsi" w:cstheme="minorBidi"/>
          <w:sz w:val="24"/>
          <w:szCs w:val="24"/>
          <w:lang w:val="en-GB"/>
        </w:rPr>
        <w:t xml:space="preserve"> </w:t>
      </w:r>
      <w:r w:rsidRPr="7B244412">
        <w:rPr>
          <w:rFonts w:asciiTheme="minorHAnsi" w:eastAsiaTheme="minorEastAsia" w:hAnsiTheme="minorHAnsi" w:cstheme="minorBidi"/>
          <w:sz w:val="24"/>
          <w:szCs w:val="24"/>
          <w:lang w:val="en-GB"/>
        </w:rPr>
        <w:t xml:space="preserve">and boundaries are given in Table </w:t>
      </w:r>
      <w:r w:rsidR="1D08F720" w:rsidRPr="7B244412">
        <w:rPr>
          <w:rFonts w:asciiTheme="minorHAnsi" w:eastAsiaTheme="minorEastAsia" w:hAnsiTheme="minorHAnsi" w:cstheme="minorBidi"/>
          <w:sz w:val="24"/>
          <w:szCs w:val="24"/>
          <w:lang w:val="en-GB"/>
        </w:rPr>
        <w:t>16</w:t>
      </w:r>
      <w:r w:rsidRPr="7B244412">
        <w:rPr>
          <w:rFonts w:asciiTheme="minorHAnsi" w:eastAsiaTheme="minorEastAsia" w:hAnsiTheme="minorHAnsi" w:cstheme="minorBidi"/>
          <w:sz w:val="24"/>
          <w:szCs w:val="24"/>
          <w:lang w:val="en-GB"/>
        </w:rPr>
        <w:t>:</w:t>
      </w:r>
    </w:p>
    <w:p w14:paraId="58FBE9DE" w14:textId="10B3D0FB" w:rsidR="3F3DF4E1" w:rsidRDefault="6830F39E" w:rsidP="625B0D3D">
      <w:pPr>
        <w:spacing w:after="160" w:line="257" w:lineRule="auto"/>
        <w:jc w:val="center"/>
        <w:rPr>
          <w:rFonts w:asciiTheme="minorHAnsi" w:eastAsiaTheme="minorEastAsia" w:hAnsiTheme="minorHAnsi" w:cstheme="minorBidi"/>
        </w:rPr>
      </w:pPr>
      <w:r>
        <w:rPr>
          <w:noProof/>
        </w:rPr>
        <w:drawing>
          <wp:inline distT="0" distB="0" distL="0" distR="0" wp14:anchorId="304BFB9E" wp14:editId="3C14A289">
            <wp:extent cx="4219575" cy="266700"/>
            <wp:effectExtent l="0" t="0" r="0" b="0"/>
            <wp:docPr id="11457318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731889" name="Picture 1145731889"/>
                    <pic:cNvPicPr/>
                  </pic:nvPicPr>
                  <pic:blipFill>
                    <a:blip r:embed="rId63">
                      <a:extLst>
                        <a:ext uri="{28A0092B-C50C-407E-A947-70E740481C1C}">
                          <a14:useLocalDpi xmlns:a14="http://schemas.microsoft.com/office/drawing/2010/main"/>
                        </a:ext>
                      </a:extLst>
                    </a:blip>
                    <a:stretch>
                      <a:fillRect/>
                    </a:stretch>
                  </pic:blipFill>
                  <pic:spPr>
                    <a:xfrm>
                      <a:off x="0" y="0"/>
                      <a:ext cx="4219575" cy="266700"/>
                    </a:xfrm>
                    <a:prstGeom prst="rect">
                      <a:avLst/>
                    </a:prstGeom>
                  </pic:spPr>
                </pic:pic>
              </a:graphicData>
            </a:graphic>
          </wp:inline>
        </w:drawing>
      </w:r>
    </w:p>
    <w:p w14:paraId="03C4D115" w14:textId="77777777" w:rsidR="00E13EFC" w:rsidRDefault="00E13EFC" w:rsidP="00C335B5">
      <w:pPr>
        <w:pStyle w:val="Caption"/>
      </w:pPr>
      <w:bookmarkStart w:id="310" w:name="_Toc233112270"/>
    </w:p>
    <w:p w14:paraId="020224B2" w14:textId="77777777" w:rsidR="00E13EFC" w:rsidRDefault="00E13EFC" w:rsidP="00C335B5">
      <w:pPr>
        <w:pStyle w:val="Caption"/>
      </w:pPr>
    </w:p>
    <w:p w14:paraId="34177744" w14:textId="1B360329" w:rsidR="3F3DF4E1" w:rsidRDefault="00C335B5" w:rsidP="00C335B5">
      <w:pPr>
        <w:pStyle w:val="Caption"/>
        <w:rPr>
          <w:rFonts w:asciiTheme="minorHAnsi" w:eastAsiaTheme="minorEastAsia" w:hAnsiTheme="minorHAnsi" w:cstheme="minorBidi"/>
          <w:i/>
          <w:color w:val="0E2841"/>
          <w:lang w:val="en-GB"/>
        </w:rPr>
      </w:pPr>
      <w:r>
        <w:t xml:space="preserve">Table </w:t>
      </w:r>
      <w:r w:rsidR="00113348">
        <w:fldChar w:fldCharType="begin"/>
      </w:r>
      <w:r w:rsidR="00113348">
        <w:instrText xml:space="preserve"> SEQ Table \* ARABIC </w:instrText>
      </w:r>
      <w:r w:rsidR="00113348">
        <w:fldChar w:fldCharType="separate"/>
      </w:r>
      <w:r w:rsidR="00F8092D">
        <w:rPr>
          <w:noProof/>
        </w:rPr>
        <w:t>16</w:t>
      </w:r>
      <w:r w:rsidR="00113348">
        <w:rPr>
          <w:noProof/>
        </w:rPr>
        <w:fldChar w:fldCharType="end"/>
      </w:r>
      <w:r w:rsidR="3F3DF4E1" w:rsidRPr="7B244412">
        <w:rPr>
          <w:rFonts w:ascii="Aptos" w:eastAsia="Aptos" w:hAnsi="Aptos" w:cs="Aptos"/>
          <w:i/>
          <w:color w:val="0E2841"/>
          <w:szCs w:val="20"/>
          <w:lang w:val="en-GB"/>
        </w:rPr>
        <w:t>: Grid Safety Envelope parameter bounds.</w:t>
      </w:r>
      <w:bookmarkEnd w:id="310"/>
    </w:p>
    <w:tbl>
      <w:tblPr>
        <w:tblStyle w:val="TableCSIRO"/>
        <w:tblW w:w="0" w:type="auto"/>
        <w:tblLook w:val="04A0" w:firstRow="1" w:lastRow="0" w:firstColumn="1" w:lastColumn="0" w:noHBand="0" w:noVBand="1"/>
      </w:tblPr>
      <w:tblGrid>
        <w:gridCol w:w="1034"/>
        <w:gridCol w:w="838"/>
        <w:gridCol w:w="1017"/>
        <w:gridCol w:w="659"/>
      </w:tblGrid>
      <w:tr w:rsidR="60946630" w14:paraId="74C17E7B" w14:textId="77777777" w:rsidTr="005713F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0" w:type="dxa"/>
          </w:tcPr>
          <w:p w14:paraId="530E9494" w14:textId="183707D3" w:rsidR="60946630" w:rsidRDefault="60946630" w:rsidP="68328110">
            <w:pPr>
              <w:spacing w:after="160" w:line="257" w:lineRule="auto"/>
              <w:rPr>
                <w:rFonts w:asciiTheme="minorHAnsi" w:eastAsiaTheme="minorEastAsia" w:hAnsiTheme="minorHAnsi" w:cstheme="minorBidi"/>
                <w:b w:val="0"/>
                <w:bCs w:val="0"/>
                <w:color w:val="FFFFFF" w:themeColor="background2"/>
                <w:sz w:val="18"/>
                <w:szCs w:val="18"/>
              </w:rPr>
            </w:pPr>
            <w:r w:rsidRPr="68328110">
              <w:rPr>
                <w:rFonts w:asciiTheme="minorHAnsi" w:eastAsiaTheme="minorEastAsia" w:hAnsiTheme="minorHAnsi" w:cstheme="minorBidi"/>
                <w:color w:val="FFFFFF" w:themeColor="background2"/>
                <w:sz w:val="18"/>
                <w:szCs w:val="18"/>
                <w:lang w:val="en"/>
              </w:rPr>
              <w:t>Parameters</w:t>
            </w:r>
            <w:r w:rsidRPr="68328110">
              <w:rPr>
                <w:rFonts w:asciiTheme="minorHAnsi" w:eastAsiaTheme="minorEastAsia" w:hAnsiTheme="minorHAnsi" w:cstheme="minorBidi"/>
                <w:color w:val="FFFFFF" w:themeColor="background2"/>
                <w:sz w:val="18"/>
                <w:szCs w:val="18"/>
              </w:rPr>
              <w:t xml:space="preserve"> </w:t>
            </w:r>
          </w:p>
        </w:tc>
        <w:tc>
          <w:tcPr>
            <w:tcW w:w="0" w:type="dxa"/>
          </w:tcPr>
          <w:p w14:paraId="780C794A" w14:textId="431F58B2" w:rsidR="60946630" w:rsidRDefault="60946630" w:rsidP="68328110">
            <w:pPr>
              <w:spacing w:after="160" w:line="257" w:lineRule="auto"/>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b w:val="0"/>
                <w:bCs w:val="0"/>
                <w:color w:val="FFFFFF" w:themeColor="background2"/>
                <w:sz w:val="18"/>
                <w:szCs w:val="18"/>
              </w:rPr>
            </w:pPr>
            <w:r w:rsidRPr="68328110">
              <w:rPr>
                <w:rFonts w:asciiTheme="minorHAnsi" w:eastAsiaTheme="minorEastAsia" w:hAnsiTheme="minorHAnsi" w:cstheme="minorBidi"/>
                <w:color w:val="FFFFFF" w:themeColor="background2"/>
                <w:sz w:val="18"/>
                <w:szCs w:val="18"/>
                <w:lang w:val="en"/>
              </w:rPr>
              <w:t>Symbols</w:t>
            </w:r>
            <w:r w:rsidRPr="68328110">
              <w:rPr>
                <w:rFonts w:asciiTheme="minorHAnsi" w:eastAsiaTheme="minorEastAsia" w:hAnsiTheme="minorHAnsi" w:cstheme="minorBidi"/>
                <w:color w:val="FFFFFF" w:themeColor="background2"/>
                <w:sz w:val="18"/>
                <w:szCs w:val="18"/>
              </w:rPr>
              <w:t xml:space="preserve"> </w:t>
            </w:r>
          </w:p>
        </w:tc>
        <w:tc>
          <w:tcPr>
            <w:tcW w:w="0" w:type="dxa"/>
          </w:tcPr>
          <w:p w14:paraId="6478E3F0" w14:textId="4427BC32" w:rsidR="60946630" w:rsidRDefault="60946630" w:rsidP="68328110">
            <w:pPr>
              <w:spacing w:after="160" w:line="257" w:lineRule="auto"/>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b w:val="0"/>
                <w:bCs w:val="0"/>
                <w:color w:val="FFFFFF" w:themeColor="background2"/>
                <w:sz w:val="18"/>
                <w:szCs w:val="18"/>
              </w:rPr>
            </w:pPr>
            <w:r w:rsidRPr="68328110">
              <w:rPr>
                <w:rFonts w:asciiTheme="minorHAnsi" w:eastAsiaTheme="minorEastAsia" w:hAnsiTheme="minorHAnsi" w:cstheme="minorBidi"/>
                <w:color w:val="FFFFFF" w:themeColor="background2"/>
                <w:sz w:val="18"/>
                <w:szCs w:val="18"/>
              </w:rPr>
              <w:t xml:space="preserve">Boundaries  </w:t>
            </w:r>
          </w:p>
        </w:tc>
        <w:tc>
          <w:tcPr>
            <w:tcW w:w="0" w:type="dxa"/>
          </w:tcPr>
          <w:p w14:paraId="33514E4B" w14:textId="2AE9B345" w:rsidR="60946630" w:rsidRDefault="60946630" w:rsidP="68328110">
            <w:pPr>
              <w:spacing w:after="160" w:line="257" w:lineRule="auto"/>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b w:val="0"/>
                <w:bCs w:val="0"/>
                <w:color w:val="FFFFFF" w:themeColor="background2"/>
                <w:sz w:val="18"/>
                <w:szCs w:val="18"/>
              </w:rPr>
            </w:pPr>
            <w:r w:rsidRPr="68328110">
              <w:rPr>
                <w:rFonts w:asciiTheme="minorHAnsi" w:eastAsiaTheme="minorEastAsia" w:hAnsiTheme="minorHAnsi" w:cstheme="minorBidi"/>
                <w:color w:val="FFFFFF" w:themeColor="background2"/>
                <w:sz w:val="18"/>
                <w:szCs w:val="18"/>
                <w:lang w:val="en"/>
              </w:rPr>
              <w:t>Units</w:t>
            </w:r>
            <w:r w:rsidRPr="68328110">
              <w:rPr>
                <w:rFonts w:asciiTheme="minorHAnsi" w:eastAsiaTheme="minorEastAsia" w:hAnsiTheme="minorHAnsi" w:cstheme="minorBidi"/>
                <w:color w:val="FFFFFF" w:themeColor="background2"/>
                <w:sz w:val="18"/>
                <w:szCs w:val="18"/>
              </w:rPr>
              <w:t xml:space="preserve"> </w:t>
            </w:r>
          </w:p>
        </w:tc>
      </w:tr>
      <w:tr w:rsidR="60946630" w14:paraId="56DF1F6A" w14:textId="77777777" w:rsidTr="005713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tcPr>
          <w:p w14:paraId="6F854EED" w14:textId="24C462DA" w:rsidR="60946630" w:rsidRDefault="60946630" w:rsidP="60946630">
            <w:pPr>
              <w:spacing w:after="160" w:line="257" w:lineRule="auto"/>
              <w:rPr>
                <w:rFonts w:asciiTheme="minorHAnsi" w:eastAsiaTheme="minorEastAsia" w:hAnsiTheme="minorHAnsi" w:cstheme="minorBidi"/>
                <w:sz w:val="18"/>
                <w:szCs w:val="18"/>
              </w:rPr>
            </w:pPr>
            <w:r w:rsidRPr="60946630">
              <w:rPr>
                <w:rFonts w:asciiTheme="minorHAnsi" w:eastAsiaTheme="minorEastAsia" w:hAnsiTheme="minorHAnsi" w:cstheme="minorBidi"/>
                <w:sz w:val="18"/>
                <w:szCs w:val="18"/>
              </w:rPr>
              <w:t xml:space="preserve">Voltage lower limits  </w:t>
            </w:r>
          </w:p>
        </w:tc>
        <w:tc>
          <w:tcPr>
            <w:tcW w:w="0" w:type="dxa"/>
          </w:tcPr>
          <w:p w14:paraId="39173638" w14:textId="10C20120" w:rsidR="60946630" w:rsidRDefault="60946630" w:rsidP="60946630">
            <w:pPr>
              <w:spacing w:after="160" w:line="257"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60946630">
              <w:rPr>
                <w:rFonts w:asciiTheme="minorHAnsi" w:eastAsiaTheme="minorEastAsia" w:hAnsiTheme="minorHAnsi" w:cstheme="minorBidi"/>
                <w:i/>
                <w:iCs/>
                <w:sz w:val="18"/>
                <w:szCs w:val="18"/>
                <w:lang w:val="en-US"/>
              </w:rPr>
              <w:t>V</w:t>
            </w:r>
            <w:r w:rsidRPr="60946630">
              <w:rPr>
                <w:rFonts w:asciiTheme="minorHAnsi" w:eastAsiaTheme="minorEastAsia" w:hAnsiTheme="minorHAnsi" w:cstheme="minorBidi"/>
                <w:i/>
                <w:iCs/>
                <w:sz w:val="18"/>
                <w:szCs w:val="18"/>
                <w:vertAlign w:val="subscript"/>
                <w:lang w:val="en-US"/>
              </w:rPr>
              <w:t xml:space="preserve">min </w:t>
            </w:r>
            <w:r w:rsidRPr="60946630">
              <w:rPr>
                <w:rFonts w:asciiTheme="minorHAnsi" w:eastAsiaTheme="minorEastAsia" w:hAnsiTheme="minorHAnsi" w:cstheme="minorBidi"/>
                <w:sz w:val="18"/>
                <w:szCs w:val="18"/>
              </w:rPr>
              <w:t xml:space="preserve"> </w:t>
            </w:r>
          </w:p>
        </w:tc>
        <w:tc>
          <w:tcPr>
            <w:tcW w:w="0" w:type="dxa"/>
          </w:tcPr>
          <w:p w14:paraId="05DCB62A" w14:textId="774D625E" w:rsidR="60946630" w:rsidRDefault="60946630" w:rsidP="60946630">
            <w:pPr>
              <w:spacing w:after="160" w:line="257"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60946630">
              <w:rPr>
                <w:rFonts w:asciiTheme="minorHAnsi" w:eastAsiaTheme="minorEastAsia" w:hAnsiTheme="minorHAnsi" w:cstheme="minorBidi"/>
                <w:sz w:val="18"/>
                <w:szCs w:val="18"/>
              </w:rPr>
              <w:t xml:space="preserve">0.940 </w:t>
            </w:r>
          </w:p>
        </w:tc>
        <w:tc>
          <w:tcPr>
            <w:tcW w:w="0" w:type="dxa"/>
          </w:tcPr>
          <w:p w14:paraId="3EFB848D" w14:textId="03F14145" w:rsidR="60946630" w:rsidRDefault="60946630" w:rsidP="60946630">
            <w:pPr>
              <w:spacing w:after="160" w:line="257"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60946630">
              <w:rPr>
                <w:rFonts w:asciiTheme="minorHAnsi" w:eastAsiaTheme="minorEastAsia" w:hAnsiTheme="minorHAnsi" w:cstheme="minorBidi"/>
                <w:sz w:val="18"/>
                <w:szCs w:val="18"/>
              </w:rPr>
              <w:t xml:space="preserve">p.u. </w:t>
            </w:r>
          </w:p>
        </w:tc>
      </w:tr>
      <w:tr w:rsidR="60946630" w14:paraId="1F202322" w14:textId="77777777" w:rsidTr="005713FD">
        <w:trPr>
          <w:trHeight w:val="285"/>
        </w:trPr>
        <w:tc>
          <w:tcPr>
            <w:cnfStyle w:val="001000000000" w:firstRow="0" w:lastRow="0" w:firstColumn="1" w:lastColumn="0" w:oddVBand="0" w:evenVBand="0" w:oddHBand="0" w:evenHBand="0" w:firstRowFirstColumn="0" w:firstRowLastColumn="0" w:lastRowFirstColumn="0" w:lastRowLastColumn="0"/>
            <w:tcW w:w="0" w:type="dxa"/>
          </w:tcPr>
          <w:p w14:paraId="3864BD4C" w14:textId="2A4F903B" w:rsidR="60946630" w:rsidRDefault="60946630" w:rsidP="60946630">
            <w:pPr>
              <w:spacing w:after="160" w:line="257" w:lineRule="auto"/>
              <w:rPr>
                <w:rFonts w:asciiTheme="minorHAnsi" w:eastAsiaTheme="minorEastAsia" w:hAnsiTheme="minorHAnsi" w:cstheme="minorBidi"/>
                <w:sz w:val="18"/>
                <w:szCs w:val="18"/>
              </w:rPr>
            </w:pPr>
            <w:r w:rsidRPr="60946630">
              <w:rPr>
                <w:rFonts w:asciiTheme="minorHAnsi" w:eastAsiaTheme="minorEastAsia" w:hAnsiTheme="minorHAnsi" w:cstheme="minorBidi"/>
                <w:sz w:val="18"/>
                <w:szCs w:val="18"/>
              </w:rPr>
              <w:t xml:space="preserve">Voltage upper limits </w:t>
            </w:r>
          </w:p>
        </w:tc>
        <w:tc>
          <w:tcPr>
            <w:tcW w:w="0" w:type="dxa"/>
          </w:tcPr>
          <w:p w14:paraId="19B038B2" w14:textId="08B4B68C" w:rsidR="60946630" w:rsidRDefault="60946630" w:rsidP="60946630">
            <w:pPr>
              <w:spacing w:after="160" w:line="257"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60946630">
              <w:rPr>
                <w:rFonts w:asciiTheme="minorHAnsi" w:eastAsiaTheme="minorEastAsia" w:hAnsiTheme="minorHAnsi" w:cstheme="minorBidi"/>
                <w:i/>
                <w:iCs/>
                <w:sz w:val="18"/>
                <w:szCs w:val="18"/>
                <w:lang w:val="en"/>
              </w:rPr>
              <w:t>V</w:t>
            </w:r>
            <w:r w:rsidRPr="60946630">
              <w:rPr>
                <w:rFonts w:asciiTheme="minorHAnsi" w:eastAsiaTheme="minorEastAsia" w:hAnsiTheme="minorHAnsi" w:cstheme="minorBidi"/>
                <w:i/>
                <w:iCs/>
                <w:sz w:val="18"/>
                <w:szCs w:val="18"/>
                <w:vertAlign w:val="subscript"/>
                <w:lang w:val="en"/>
              </w:rPr>
              <w:t>max</w:t>
            </w:r>
            <w:r w:rsidRPr="60946630">
              <w:rPr>
                <w:rFonts w:asciiTheme="minorHAnsi" w:eastAsiaTheme="minorEastAsia" w:hAnsiTheme="minorHAnsi" w:cstheme="minorBidi"/>
                <w:sz w:val="18"/>
                <w:szCs w:val="18"/>
              </w:rPr>
              <w:t xml:space="preserve"> </w:t>
            </w:r>
          </w:p>
        </w:tc>
        <w:tc>
          <w:tcPr>
            <w:tcW w:w="0" w:type="dxa"/>
          </w:tcPr>
          <w:p w14:paraId="382BB964" w14:textId="4C2EBB42" w:rsidR="60946630" w:rsidRDefault="60946630" w:rsidP="60946630">
            <w:pPr>
              <w:spacing w:after="160" w:line="257"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60946630">
              <w:rPr>
                <w:rFonts w:asciiTheme="minorHAnsi" w:eastAsiaTheme="minorEastAsia" w:hAnsiTheme="minorHAnsi" w:cstheme="minorBidi"/>
                <w:sz w:val="18"/>
                <w:szCs w:val="18"/>
              </w:rPr>
              <w:t xml:space="preserve">1.060 </w:t>
            </w:r>
          </w:p>
        </w:tc>
        <w:tc>
          <w:tcPr>
            <w:tcW w:w="0" w:type="dxa"/>
          </w:tcPr>
          <w:p w14:paraId="256E6164" w14:textId="50F133D8" w:rsidR="60946630" w:rsidRDefault="60946630" w:rsidP="60946630">
            <w:pPr>
              <w:spacing w:after="160" w:line="257"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60946630">
              <w:rPr>
                <w:rFonts w:asciiTheme="minorHAnsi" w:eastAsiaTheme="minorEastAsia" w:hAnsiTheme="minorHAnsi" w:cstheme="minorBidi"/>
                <w:sz w:val="18"/>
                <w:szCs w:val="18"/>
              </w:rPr>
              <w:t xml:space="preserve">p.u. </w:t>
            </w:r>
          </w:p>
        </w:tc>
      </w:tr>
      <w:tr w:rsidR="60946630" w14:paraId="6140124A" w14:textId="77777777" w:rsidTr="005713FD">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dxa"/>
          </w:tcPr>
          <w:p w14:paraId="25A6DD18" w14:textId="7A3E4DB5" w:rsidR="60946630" w:rsidRDefault="60946630" w:rsidP="60946630">
            <w:pPr>
              <w:spacing w:after="160" w:line="257" w:lineRule="auto"/>
              <w:rPr>
                <w:rFonts w:asciiTheme="minorHAnsi" w:eastAsiaTheme="minorEastAsia" w:hAnsiTheme="minorHAnsi" w:cstheme="minorBidi"/>
                <w:sz w:val="18"/>
                <w:szCs w:val="18"/>
              </w:rPr>
            </w:pPr>
            <w:r w:rsidRPr="60946630">
              <w:rPr>
                <w:rFonts w:asciiTheme="minorHAnsi" w:eastAsiaTheme="minorEastAsia" w:hAnsiTheme="minorHAnsi" w:cstheme="minorBidi"/>
                <w:sz w:val="18"/>
                <w:szCs w:val="18"/>
              </w:rPr>
              <w:t xml:space="preserve">Frequency lower threshold </w:t>
            </w:r>
          </w:p>
        </w:tc>
        <w:tc>
          <w:tcPr>
            <w:tcW w:w="0" w:type="dxa"/>
          </w:tcPr>
          <w:p w14:paraId="7899AE7A" w14:textId="1483005A" w:rsidR="60946630" w:rsidRDefault="60946630" w:rsidP="60946630">
            <w:pPr>
              <w:spacing w:after="160" w:line="257"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60946630">
              <w:rPr>
                <w:rFonts w:asciiTheme="minorHAnsi" w:eastAsiaTheme="minorEastAsia" w:hAnsiTheme="minorHAnsi" w:cstheme="minorBidi"/>
                <w:i/>
                <w:iCs/>
                <w:sz w:val="18"/>
                <w:szCs w:val="18"/>
                <w:lang w:val="en-US"/>
              </w:rPr>
              <w:t>f</w:t>
            </w:r>
            <w:r w:rsidRPr="60946630">
              <w:rPr>
                <w:rFonts w:asciiTheme="minorHAnsi" w:eastAsiaTheme="minorEastAsia" w:hAnsiTheme="minorHAnsi" w:cstheme="minorBidi"/>
                <w:i/>
                <w:iCs/>
                <w:sz w:val="18"/>
                <w:szCs w:val="18"/>
                <w:vertAlign w:val="subscript"/>
                <w:lang w:val="en-US"/>
              </w:rPr>
              <w:t>min</w:t>
            </w:r>
            <w:r w:rsidRPr="60946630">
              <w:rPr>
                <w:rFonts w:asciiTheme="minorHAnsi" w:eastAsiaTheme="minorEastAsia" w:hAnsiTheme="minorHAnsi" w:cstheme="minorBidi"/>
                <w:sz w:val="18"/>
                <w:szCs w:val="18"/>
              </w:rPr>
              <w:t xml:space="preserve"> </w:t>
            </w:r>
          </w:p>
        </w:tc>
        <w:tc>
          <w:tcPr>
            <w:tcW w:w="0" w:type="dxa"/>
          </w:tcPr>
          <w:p w14:paraId="5B670D28" w14:textId="23CDD190" w:rsidR="60946630" w:rsidRDefault="60946630" w:rsidP="60946630">
            <w:pPr>
              <w:spacing w:after="160" w:line="257"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60946630">
              <w:rPr>
                <w:rFonts w:asciiTheme="minorHAnsi" w:eastAsiaTheme="minorEastAsia" w:hAnsiTheme="minorHAnsi" w:cstheme="minorBidi"/>
                <w:sz w:val="18"/>
                <w:szCs w:val="18"/>
              </w:rPr>
              <w:t xml:space="preserve">49.50 </w:t>
            </w:r>
          </w:p>
        </w:tc>
        <w:tc>
          <w:tcPr>
            <w:tcW w:w="0" w:type="dxa"/>
          </w:tcPr>
          <w:p w14:paraId="13E2673C" w14:textId="43B285A0" w:rsidR="60946630" w:rsidRDefault="60946630" w:rsidP="60946630">
            <w:pPr>
              <w:spacing w:after="160" w:line="257"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60946630">
              <w:rPr>
                <w:rFonts w:asciiTheme="minorHAnsi" w:eastAsiaTheme="minorEastAsia" w:hAnsiTheme="minorHAnsi" w:cstheme="minorBidi"/>
                <w:sz w:val="18"/>
                <w:szCs w:val="18"/>
              </w:rPr>
              <w:t xml:space="preserve">Hz </w:t>
            </w:r>
          </w:p>
        </w:tc>
      </w:tr>
      <w:tr w:rsidR="60946630" w14:paraId="5844634D" w14:textId="77777777" w:rsidTr="005713FD">
        <w:trPr>
          <w:trHeight w:val="285"/>
        </w:trPr>
        <w:tc>
          <w:tcPr>
            <w:cnfStyle w:val="001000000000" w:firstRow="0" w:lastRow="0" w:firstColumn="1" w:lastColumn="0" w:oddVBand="0" w:evenVBand="0" w:oddHBand="0" w:evenHBand="0" w:firstRowFirstColumn="0" w:firstRowLastColumn="0" w:lastRowFirstColumn="0" w:lastRowLastColumn="0"/>
            <w:tcW w:w="0" w:type="dxa"/>
          </w:tcPr>
          <w:p w14:paraId="01C21E1E" w14:textId="71CBB973" w:rsidR="60946630" w:rsidRDefault="60946630" w:rsidP="60946630">
            <w:pPr>
              <w:spacing w:after="160" w:line="257" w:lineRule="auto"/>
              <w:rPr>
                <w:rFonts w:asciiTheme="minorHAnsi" w:eastAsiaTheme="minorEastAsia" w:hAnsiTheme="minorHAnsi" w:cstheme="minorBidi"/>
                <w:sz w:val="18"/>
                <w:szCs w:val="18"/>
              </w:rPr>
            </w:pPr>
            <w:r w:rsidRPr="60946630">
              <w:rPr>
                <w:rFonts w:asciiTheme="minorHAnsi" w:eastAsiaTheme="minorEastAsia" w:hAnsiTheme="minorHAnsi" w:cstheme="minorBidi"/>
                <w:sz w:val="18"/>
                <w:szCs w:val="18"/>
              </w:rPr>
              <w:t xml:space="preserve">Frequency upper threshold </w:t>
            </w:r>
          </w:p>
        </w:tc>
        <w:tc>
          <w:tcPr>
            <w:tcW w:w="0" w:type="dxa"/>
          </w:tcPr>
          <w:p w14:paraId="24598F8D" w14:textId="4581CB49" w:rsidR="60946630" w:rsidRDefault="60946630" w:rsidP="60946630">
            <w:pPr>
              <w:spacing w:after="160" w:line="257"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60946630">
              <w:rPr>
                <w:rFonts w:asciiTheme="minorHAnsi" w:eastAsiaTheme="minorEastAsia" w:hAnsiTheme="minorHAnsi" w:cstheme="minorBidi"/>
                <w:i/>
                <w:iCs/>
                <w:sz w:val="18"/>
                <w:szCs w:val="18"/>
                <w:lang w:val="en"/>
              </w:rPr>
              <w:t>f</w:t>
            </w:r>
            <w:r w:rsidRPr="60946630">
              <w:rPr>
                <w:rFonts w:asciiTheme="minorHAnsi" w:eastAsiaTheme="minorEastAsia" w:hAnsiTheme="minorHAnsi" w:cstheme="minorBidi"/>
                <w:i/>
                <w:iCs/>
                <w:sz w:val="18"/>
                <w:szCs w:val="18"/>
                <w:vertAlign w:val="subscript"/>
                <w:lang w:val="en"/>
              </w:rPr>
              <w:t>max</w:t>
            </w:r>
            <w:r w:rsidRPr="60946630">
              <w:rPr>
                <w:rFonts w:asciiTheme="minorHAnsi" w:eastAsiaTheme="minorEastAsia" w:hAnsiTheme="minorHAnsi" w:cstheme="minorBidi"/>
                <w:sz w:val="18"/>
                <w:szCs w:val="18"/>
              </w:rPr>
              <w:t xml:space="preserve"> </w:t>
            </w:r>
          </w:p>
        </w:tc>
        <w:tc>
          <w:tcPr>
            <w:tcW w:w="0" w:type="dxa"/>
          </w:tcPr>
          <w:p w14:paraId="72F20F17" w14:textId="0C48AD30" w:rsidR="60946630" w:rsidRDefault="60946630" w:rsidP="60946630">
            <w:pPr>
              <w:spacing w:after="160" w:line="257"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60946630">
              <w:rPr>
                <w:rFonts w:asciiTheme="minorHAnsi" w:eastAsiaTheme="minorEastAsia" w:hAnsiTheme="minorHAnsi" w:cstheme="minorBidi"/>
                <w:sz w:val="18"/>
                <w:szCs w:val="18"/>
              </w:rPr>
              <w:t xml:space="preserve">50.50 </w:t>
            </w:r>
          </w:p>
        </w:tc>
        <w:tc>
          <w:tcPr>
            <w:tcW w:w="0" w:type="dxa"/>
          </w:tcPr>
          <w:p w14:paraId="5DDB4026" w14:textId="6F5F576B" w:rsidR="60946630" w:rsidRDefault="60946630" w:rsidP="60946630">
            <w:pPr>
              <w:spacing w:after="160" w:line="257"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60946630">
              <w:rPr>
                <w:rFonts w:asciiTheme="minorHAnsi" w:eastAsiaTheme="minorEastAsia" w:hAnsiTheme="minorHAnsi" w:cstheme="minorBidi"/>
                <w:sz w:val="18"/>
                <w:szCs w:val="18"/>
              </w:rPr>
              <w:t xml:space="preserve">Hz </w:t>
            </w:r>
          </w:p>
        </w:tc>
      </w:tr>
      <w:tr w:rsidR="60946630" w14:paraId="4A59BA5A" w14:textId="77777777" w:rsidTr="005713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tcPr>
          <w:p w14:paraId="5D801F5F" w14:textId="01697051" w:rsidR="60946630" w:rsidRDefault="60946630" w:rsidP="60946630">
            <w:pPr>
              <w:spacing w:after="160" w:line="257" w:lineRule="auto"/>
              <w:rPr>
                <w:rFonts w:asciiTheme="minorHAnsi" w:eastAsiaTheme="minorEastAsia" w:hAnsiTheme="minorHAnsi" w:cstheme="minorBidi"/>
                <w:sz w:val="18"/>
                <w:szCs w:val="18"/>
              </w:rPr>
            </w:pPr>
            <w:r w:rsidRPr="60946630">
              <w:rPr>
                <w:rFonts w:asciiTheme="minorHAnsi" w:eastAsiaTheme="minorEastAsia" w:hAnsiTheme="minorHAnsi" w:cstheme="minorBidi"/>
                <w:sz w:val="18"/>
                <w:szCs w:val="18"/>
                <w:lang w:val="en-US"/>
              </w:rPr>
              <w:t>RoCoF absolute limit</w:t>
            </w:r>
            <w:r w:rsidRPr="60946630">
              <w:rPr>
                <w:rFonts w:asciiTheme="minorHAnsi" w:eastAsiaTheme="minorEastAsia" w:hAnsiTheme="minorHAnsi" w:cstheme="minorBidi"/>
                <w:sz w:val="18"/>
                <w:szCs w:val="18"/>
              </w:rPr>
              <w:t xml:space="preserve"> </w:t>
            </w:r>
          </w:p>
        </w:tc>
        <w:tc>
          <w:tcPr>
            <w:tcW w:w="0" w:type="dxa"/>
          </w:tcPr>
          <w:p w14:paraId="5585D52D" w14:textId="413081A3" w:rsidR="60946630" w:rsidRDefault="60946630" w:rsidP="60946630">
            <w:pPr>
              <w:spacing w:after="160" w:line="257"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60946630">
              <w:rPr>
                <w:rFonts w:asciiTheme="minorHAnsi" w:eastAsiaTheme="minorEastAsia" w:hAnsiTheme="minorHAnsi" w:cstheme="minorBidi"/>
                <w:i/>
                <w:iCs/>
                <w:sz w:val="18"/>
                <w:szCs w:val="18"/>
                <w:lang w:val="en-US"/>
              </w:rPr>
              <w:t>RoCoF</w:t>
            </w:r>
            <w:r w:rsidRPr="60946630">
              <w:rPr>
                <w:rFonts w:asciiTheme="minorHAnsi" w:eastAsiaTheme="minorEastAsia" w:hAnsiTheme="minorHAnsi" w:cstheme="minorBidi"/>
                <w:i/>
                <w:iCs/>
                <w:sz w:val="18"/>
                <w:szCs w:val="18"/>
                <w:vertAlign w:val="subscript"/>
                <w:lang w:val="en-US"/>
              </w:rPr>
              <w:t>max</w:t>
            </w:r>
            <w:r w:rsidRPr="60946630">
              <w:rPr>
                <w:rFonts w:asciiTheme="minorHAnsi" w:eastAsiaTheme="minorEastAsia" w:hAnsiTheme="minorHAnsi" w:cstheme="minorBidi"/>
                <w:sz w:val="18"/>
                <w:szCs w:val="18"/>
              </w:rPr>
              <w:t xml:space="preserve"> </w:t>
            </w:r>
          </w:p>
        </w:tc>
        <w:tc>
          <w:tcPr>
            <w:tcW w:w="0" w:type="dxa"/>
          </w:tcPr>
          <w:p w14:paraId="3F4C5BA5" w14:textId="31D1A58A" w:rsidR="60946630" w:rsidRDefault="60946630" w:rsidP="60946630">
            <w:pPr>
              <w:spacing w:after="160" w:line="257"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60946630">
              <w:rPr>
                <w:rFonts w:asciiTheme="minorHAnsi" w:eastAsiaTheme="minorEastAsia" w:hAnsiTheme="minorHAnsi" w:cstheme="minorBidi"/>
                <w:sz w:val="18"/>
                <w:szCs w:val="18"/>
                <w:lang w:val="en"/>
              </w:rPr>
              <w:t>1.00</w:t>
            </w:r>
            <w:r w:rsidRPr="60946630">
              <w:rPr>
                <w:rFonts w:asciiTheme="minorHAnsi" w:eastAsiaTheme="minorEastAsia" w:hAnsiTheme="minorHAnsi" w:cstheme="minorBidi"/>
                <w:sz w:val="18"/>
                <w:szCs w:val="18"/>
              </w:rPr>
              <w:t xml:space="preserve"> </w:t>
            </w:r>
          </w:p>
        </w:tc>
        <w:tc>
          <w:tcPr>
            <w:tcW w:w="0" w:type="dxa"/>
          </w:tcPr>
          <w:p w14:paraId="25219670" w14:textId="1BDA2762" w:rsidR="60946630" w:rsidRDefault="60946630" w:rsidP="60946630">
            <w:pPr>
              <w:spacing w:after="160" w:line="257"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60946630">
              <w:rPr>
                <w:rFonts w:asciiTheme="minorHAnsi" w:eastAsiaTheme="minorEastAsia" w:hAnsiTheme="minorHAnsi" w:cstheme="minorBidi"/>
                <w:sz w:val="18"/>
                <w:szCs w:val="18"/>
                <w:lang w:val="en"/>
              </w:rPr>
              <w:t>Hz/sec</w:t>
            </w:r>
          </w:p>
        </w:tc>
      </w:tr>
    </w:tbl>
    <w:p w14:paraId="5D39C12B" w14:textId="1755F2CD" w:rsidR="60946630" w:rsidRDefault="60946630" w:rsidP="60946630">
      <w:pPr>
        <w:spacing w:after="160" w:line="257" w:lineRule="auto"/>
        <w:rPr>
          <w:rFonts w:asciiTheme="minorHAnsi" w:eastAsiaTheme="minorEastAsia" w:hAnsiTheme="minorHAnsi" w:cstheme="minorBidi"/>
          <w:lang w:val="en-GB"/>
        </w:rPr>
      </w:pPr>
    </w:p>
    <w:p w14:paraId="518C89B7" w14:textId="7A1FCB87" w:rsidR="3F3DF4E1" w:rsidRDefault="3F3DF4E1" w:rsidP="625B0D3D">
      <w:pPr>
        <w:spacing w:after="160" w:line="257" w:lineRule="auto"/>
        <w:rPr>
          <w:rFonts w:asciiTheme="minorHAnsi" w:eastAsiaTheme="minorEastAsia" w:hAnsiTheme="minorHAnsi" w:cstheme="minorBidi"/>
          <w:sz w:val="24"/>
          <w:szCs w:val="24"/>
          <w:lang w:val="en-GB"/>
        </w:rPr>
      </w:pPr>
      <w:r w:rsidRPr="7B244412">
        <w:rPr>
          <w:rFonts w:asciiTheme="minorHAnsi" w:eastAsiaTheme="minorEastAsia" w:hAnsiTheme="minorHAnsi" w:cstheme="minorBidi"/>
          <w:sz w:val="24"/>
          <w:szCs w:val="24"/>
          <w:lang w:val="en-GB"/>
        </w:rPr>
        <w:t>The composite metrics of the grid stability score (GSS) is estimated in Eq. 15 as follows:</w:t>
      </w:r>
    </w:p>
    <w:p w14:paraId="0998F7E9" w14:textId="2810185F" w:rsidR="3F3DF4E1" w:rsidRDefault="6830F39E" w:rsidP="625B0D3D">
      <w:pPr>
        <w:spacing w:after="160" w:line="257" w:lineRule="auto"/>
        <w:jc w:val="center"/>
        <w:rPr>
          <w:rFonts w:asciiTheme="minorHAnsi" w:eastAsiaTheme="minorEastAsia" w:hAnsiTheme="minorHAnsi" w:cstheme="minorBidi"/>
        </w:rPr>
      </w:pPr>
      <w:r>
        <w:rPr>
          <w:noProof/>
        </w:rPr>
        <w:drawing>
          <wp:inline distT="0" distB="0" distL="0" distR="0" wp14:anchorId="3A6EB7C4" wp14:editId="5B117C23">
            <wp:extent cx="4162425" cy="342900"/>
            <wp:effectExtent l="0" t="0" r="0" b="0"/>
            <wp:docPr id="1292464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46482" name="Picture 129246482"/>
                    <pic:cNvPicPr/>
                  </pic:nvPicPr>
                  <pic:blipFill>
                    <a:blip r:embed="rId64">
                      <a:extLst>
                        <a:ext uri="{28A0092B-C50C-407E-A947-70E740481C1C}">
                          <a14:useLocalDpi xmlns:a14="http://schemas.microsoft.com/office/drawing/2010/main"/>
                        </a:ext>
                      </a:extLst>
                    </a:blip>
                    <a:stretch>
                      <a:fillRect/>
                    </a:stretch>
                  </pic:blipFill>
                  <pic:spPr>
                    <a:xfrm>
                      <a:off x="0" y="0"/>
                      <a:ext cx="4162425" cy="342900"/>
                    </a:xfrm>
                    <a:prstGeom prst="rect">
                      <a:avLst/>
                    </a:prstGeom>
                  </pic:spPr>
                </pic:pic>
              </a:graphicData>
            </a:graphic>
          </wp:inline>
        </w:drawing>
      </w:r>
    </w:p>
    <w:p w14:paraId="33CE1A94" w14:textId="58C608D3" w:rsidR="3F3DF4E1" w:rsidRDefault="3F3DF4E1" w:rsidP="1FD287D9">
      <w:pPr>
        <w:spacing w:after="160" w:line="257" w:lineRule="auto"/>
        <w:jc w:val="both"/>
        <w:rPr>
          <w:rFonts w:asciiTheme="minorHAnsi" w:eastAsiaTheme="minorEastAsia" w:hAnsiTheme="minorHAnsi" w:cstheme="minorBidi"/>
          <w:sz w:val="24"/>
          <w:szCs w:val="24"/>
          <w:lang w:val="en-GB"/>
        </w:rPr>
      </w:pPr>
      <w:r w:rsidRPr="7B244412">
        <w:rPr>
          <w:rFonts w:asciiTheme="minorHAnsi" w:eastAsiaTheme="minorEastAsia" w:hAnsiTheme="minorHAnsi" w:cstheme="minorBidi"/>
          <w:sz w:val="24"/>
          <w:szCs w:val="24"/>
          <w:lang w:val="en-GB"/>
        </w:rPr>
        <w:t xml:space="preserve">Ideally, a 100 score of GSS indicates that the grid safety envelops operate under normal conditions, linearly degrade GSS score when boundary conditions are changing. The experimental results show grid safety envelop operate withing boundaries for voltage, power, and frequency stabilities due to TSM-enabled enforcement operation. </w:t>
      </w:r>
    </w:p>
    <w:p w14:paraId="62FE785B" w14:textId="749DBA24" w:rsidR="3F3DF4E1" w:rsidRDefault="3F3DF4E1" w:rsidP="625B0D3D">
      <w:pPr>
        <w:spacing w:after="160" w:line="257" w:lineRule="auto"/>
        <w:rPr>
          <w:rFonts w:asciiTheme="minorHAnsi" w:eastAsiaTheme="minorEastAsia" w:hAnsiTheme="minorHAnsi" w:cstheme="minorBidi"/>
          <w:lang w:val="en-GB"/>
        </w:rPr>
      </w:pPr>
      <w:r w:rsidRPr="625B0D3D">
        <w:rPr>
          <w:rFonts w:ascii="Aptos" w:eastAsia="Aptos" w:hAnsi="Aptos" w:cs="Aptos"/>
          <w:lang w:val="en-GB"/>
        </w:rPr>
        <w:t xml:space="preserve"> </w:t>
      </w:r>
    </w:p>
    <w:p w14:paraId="2F2B8ECE" w14:textId="169A0F49" w:rsidR="3F3DF4E1" w:rsidRDefault="3F3DF4E1" w:rsidP="625B0D3D">
      <w:pPr>
        <w:pStyle w:val="Heading3"/>
        <w:spacing w:before="160" w:after="80" w:line="257" w:lineRule="auto"/>
        <w:rPr>
          <w:rFonts w:asciiTheme="minorHAnsi" w:eastAsiaTheme="minorEastAsia" w:hAnsiTheme="minorHAnsi" w:cstheme="minorBidi"/>
          <w:sz w:val="28"/>
          <w:szCs w:val="28"/>
          <w:lang w:val="en-GB"/>
        </w:rPr>
      </w:pPr>
      <w:bookmarkStart w:id="311" w:name="_Toc234310829"/>
      <w:r w:rsidRPr="7B244412">
        <w:rPr>
          <w:rFonts w:ascii="Aptos" w:eastAsia="Aptos" w:hAnsi="Aptos" w:cs="Aptos"/>
          <w:sz w:val="28"/>
          <w:szCs w:val="28"/>
          <w:lang w:val="en-GB"/>
        </w:rPr>
        <w:t>Runtime Execution Flow</w:t>
      </w:r>
      <w:bookmarkEnd w:id="311"/>
    </w:p>
    <w:p w14:paraId="507D629B" w14:textId="4A5E550B" w:rsidR="3F3DF4E1" w:rsidRDefault="3F3DF4E1" w:rsidP="32E9284F">
      <w:pPr>
        <w:spacing w:after="160" w:line="257" w:lineRule="auto"/>
        <w:jc w:val="both"/>
        <w:rPr>
          <w:rFonts w:asciiTheme="minorHAnsi" w:eastAsiaTheme="minorEastAsia" w:hAnsiTheme="minorHAnsi" w:cstheme="minorBidi"/>
          <w:sz w:val="24"/>
          <w:szCs w:val="24"/>
          <w:lang w:val="en-GB"/>
        </w:rPr>
      </w:pPr>
      <w:r w:rsidRPr="541F64B9">
        <w:rPr>
          <w:rFonts w:asciiTheme="minorHAnsi" w:eastAsiaTheme="minorEastAsia" w:hAnsiTheme="minorHAnsi" w:cstheme="minorBidi"/>
          <w:sz w:val="24"/>
          <w:szCs w:val="24"/>
          <w:lang w:val="en-GB"/>
        </w:rPr>
        <w:t>The EVSE system is initializes with ten step sequence: server started → instantiate simulator → Power system model → charging stations → HAL initiated → initialized TSM (HRoT provision, secure boot, PEE engine, Crypto Engine, BOOTING → OPERATIONAL) → protocols handler → events bus → SSE connection established in frontend → LIVE indicator. The scenarios in the co-simulation setup are triggered and executed in the dashboard → Scenario Manager → inject events → tick pipeline initiated → TSM intercepting and evaluating → propagate decisions → grid dynamics updated → SSE streams updated. For recovery paths and failure investigations, there are four patterns:</w:t>
      </w:r>
    </w:p>
    <w:p w14:paraId="2A089BD0" w14:textId="28C0EC4A" w:rsidR="3F3DF4E1" w:rsidRDefault="3F3DF4E1" w:rsidP="32E9284F">
      <w:pPr>
        <w:pStyle w:val="ListParagraph"/>
        <w:numPr>
          <w:ilvl w:val="0"/>
          <w:numId w:val="62"/>
        </w:numPr>
        <w:spacing w:before="0" w:after="0" w:line="257" w:lineRule="auto"/>
        <w:jc w:val="both"/>
        <w:rPr>
          <w:rFonts w:asciiTheme="minorHAnsi" w:eastAsiaTheme="minorEastAsia" w:hAnsiTheme="minorHAnsi" w:cstheme="minorBidi"/>
          <w:lang w:val="en-GB"/>
        </w:rPr>
      </w:pPr>
      <w:r w:rsidRPr="541F64B9">
        <w:rPr>
          <w:rFonts w:asciiTheme="minorHAnsi" w:eastAsiaTheme="minorEastAsia" w:hAnsiTheme="minorHAnsi" w:cstheme="minorBidi"/>
          <w:lang w:val="en-GB"/>
        </w:rPr>
        <w:t>TSM policies violations → open contactors → FAIL SAFE is first option.</w:t>
      </w:r>
    </w:p>
    <w:p w14:paraId="0377F156" w14:textId="62788A97" w:rsidR="3F3DF4E1" w:rsidRDefault="3F3DF4E1" w:rsidP="32E9284F">
      <w:pPr>
        <w:pStyle w:val="ListParagraph"/>
        <w:numPr>
          <w:ilvl w:val="0"/>
          <w:numId w:val="62"/>
        </w:numPr>
        <w:spacing w:before="0" w:after="0" w:line="257" w:lineRule="auto"/>
        <w:jc w:val="both"/>
        <w:rPr>
          <w:rFonts w:asciiTheme="minorHAnsi" w:eastAsiaTheme="minorEastAsia" w:hAnsiTheme="minorHAnsi" w:cstheme="minorBidi"/>
          <w:lang w:val="en-GB"/>
        </w:rPr>
      </w:pPr>
      <w:r w:rsidRPr="541F64B9">
        <w:rPr>
          <w:rFonts w:asciiTheme="minorHAnsi" w:eastAsiaTheme="minorEastAsia" w:hAnsiTheme="minorHAnsi" w:cstheme="minorBidi"/>
          <w:lang w:val="en-GB"/>
        </w:rPr>
        <w:t>For firmware verification and update failure → deny and initiate auditing.</w:t>
      </w:r>
    </w:p>
    <w:p w14:paraId="749843A8" w14:textId="4C3F0780" w:rsidR="3F3DF4E1" w:rsidRDefault="3F3DF4E1" w:rsidP="32E9284F">
      <w:pPr>
        <w:pStyle w:val="ListParagraph"/>
        <w:numPr>
          <w:ilvl w:val="0"/>
          <w:numId w:val="62"/>
        </w:numPr>
        <w:spacing w:before="0" w:after="0" w:line="257" w:lineRule="auto"/>
        <w:jc w:val="both"/>
        <w:rPr>
          <w:rFonts w:asciiTheme="minorHAnsi" w:eastAsiaTheme="minorEastAsia" w:hAnsiTheme="minorHAnsi" w:cstheme="minorBidi"/>
          <w:lang w:val="en-GB"/>
        </w:rPr>
      </w:pPr>
      <w:r w:rsidRPr="541F64B9">
        <w:rPr>
          <w:rFonts w:asciiTheme="minorHAnsi" w:eastAsiaTheme="minorEastAsia" w:hAnsiTheme="minorHAnsi" w:cstheme="minorBidi"/>
          <w:lang w:val="en-GB"/>
        </w:rPr>
        <w:t>For GSE violations → open contactors or curtailment initiated.</w:t>
      </w:r>
    </w:p>
    <w:p w14:paraId="668F5F8C" w14:textId="4667D452" w:rsidR="3F3DF4E1" w:rsidRDefault="3F3DF4E1" w:rsidP="32E9284F">
      <w:pPr>
        <w:pStyle w:val="ListParagraph"/>
        <w:numPr>
          <w:ilvl w:val="0"/>
          <w:numId w:val="62"/>
        </w:numPr>
        <w:spacing w:before="0" w:after="0" w:line="257" w:lineRule="auto"/>
        <w:jc w:val="both"/>
        <w:rPr>
          <w:rFonts w:asciiTheme="minorHAnsi" w:eastAsiaTheme="minorEastAsia" w:hAnsiTheme="minorHAnsi" w:cstheme="minorBidi"/>
          <w:lang w:val="en-GB"/>
        </w:rPr>
      </w:pPr>
      <w:r w:rsidRPr="541F64B9">
        <w:rPr>
          <w:rFonts w:asciiTheme="minorHAnsi" w:eastAsiaTheme="minorEastAsia" w:hAnsiTheme="minorHAnsi" w:cstheme="minorBidi"/>
          <w:lang w:val="en-GB"/>
        </w:rPr>
        <w:t>For recovery, the diagnostic initiated → re-attestation evaluated → OPERATIONAL.</w:t>
      </w:r>
    </w:p>
    <w:p w14:paraId="4DA82CEC" w14:textId="5D03E55F" w:rsidR="3F3DF4E1" w:rsidRDefault="3F3DF4E1" w:rsidP="32E9284F">
      <w:pPr>
        <w:spacing w:after="160" w:line="257" w:lineRule="auto"/>
        <w:jc w:val="both"/>
        <w:rPr>
          <w:rFonts w:asciiTheme="minorHAnsi" w:eastAsiaTheme="minorEastAsia" w:hAnsiTheme="minorHAnsi" w:cstheme="minorBidi"/>
          <w:sz w:val="24"/>
          <w:szCs w:val="24"/>
          <w:lang w:val="en-GB"/>
        </w:rPr>
      </w:pPr>
      <w:r w:rsidRPr="541F64B9">
        <w:rPr>
          <w:rFonts w:asciiTheme="minorHAnsi" w:eastAsiaTheme="minorEastAsia" w:hAnsiTheme="minorHAnsi" w:cstheme="minorBidi"/>
          <w:sz w:val="24"/>
          <w:szCs w:val="24"/>
          <w:lang w:val="en-GB"/>
        </w:rPr>
        <w:t>The simulation results confirm that operational state restores when tamper injection is triggered, and TSM enforces fail safe using force operational policies.</w:t>
      </w:r>
    </w:p>
    <w:p w14:paraId="25AB2DBC" w14:textId="53D3003B" w:rsidR="3F3DF4E1" w:rsidRDefault="3F3DF4E1" w:rsidP="32E9284F">
      <w:pPr>
        <w:spacing w:after="160" w:line="257" w:lineRule="auto"/>
        <w:jc w:val="both"/>
        <w:rPr>
          <w:rFonts w:asciiTheme="minorHAnsi" w:eastAsiaTheme="minorEastAsia" w:hAnsiTheme="minorHAnsi" w:cstheme="minorBidi"/>
          <w:sz w:val="24"/>
          <w:szCs w:val="24"/>
          <w:lang w:val="en-GB"/>
        </w:rPr>
      </w:pPr>
      <w:r w:rsidRPr="541F64B9">
        <w:rPr>
          <w:rFonts w:asciiTheme="minorHAnsi" w:eastAsiaTheme="minorEastAsia" w:hAnsiTheme="minorHAnsi" w:cstheme="minorBidi"/>
          <w:sz w:val="24"/>
          <w:szCs w:val="24"/>
          <w:lang w:val="en-GB"/>
        </w:rPr>
        <w:t>To ensure consistent configuration and reproducibility of results, the main configuration file, config/config.yaml, defines the primary configuration settings. It includes grid performance data, IEEE bus network models, nominal frequency, and distribution voltage profiles; station performance parameters such as efficiency and rated capacity; communication protocols including ISO 15118 and OCPP 1.6; and relevant optimization flags.</w:t>
      </w:r>
    </w:p>
    <w:p w14:paraId="262E4521" w14:textId="2573123B" w:rsidR="3F3DF4E1" w:rsidRDefault="3F3DF4E1" w:rsidP="32E9284F">
      <w:pPr>
        <w:spacing w:after="160" w:line="257" w:lineRule="auto"/>
        <w:jc w:val="both"/>
        <w:rPr>
          <w:rFonts w:asciiTheme="minorHAnsi" w:eastAsiaTheme="minorEastAsia" w:hAnsiTheme="minorHAnsi" w:cstheme="minorBidi"/>
          <w:sz w:val="24"/>
          <w:szCs w:val="24"/>
          <w:lang w:val="en-GB"/>
        </w:rPr>
      </w:pPr>
      <w:r w:rsidRPr="541F64B9">
        <w:rPr>
          <w:rFonts w:asciiTheme="minorHAnsi" w:eastAsiaTheme="minorEastAsia" w:hAnsiTheme="minorHAnsi" w:cstheme="minorBidi"/>
          <w:sz w:val="24"/>
          <w:szCs w:val="24"/>
          <w:lang w:val="en-GB"/>
        </w:rPr>
        <w:t>The scenarios consist of sequences of time-constrained actions, with defined preconditions and evaluation criteria. They specify what inputs or events need to be injected into the co-simulation and what responses are expected from the TSM pipeline and trust chain.</w:t>
      </w:r>
    </w:p>
    <w:p w14:paraId="5C2A5694" w14:textId="359DF011" w:rsidR="3F3DF4E1" w:rsidRDefault="3F3DF4E1" w:rsidP="32E9284F">
      <w:pPr>
        <w:spacing w:after="160" w:line="257" w:lineRule="auto"/>
        <w:jc w:val="both"/>
        <w:rPr>
          <w:rFonts w:asciiTheme="minorHAnsi" w:eastAsiaTheme="minorEastAsia" w:hAnsiTheme="minorHAnsi" w:cstheme="minorBidi"/>
          <w:sz w:val="28"/>
          <w:szCs w:val="28"/>
          <w:lang w:val="en-GB"/>
        </w:rPr>
      </w:pPr>
      <w:r w:rsidRPr="541F64B9">
        <w:rPr>
          <w:rFonts w:asciiTheme="minorHAnsi" w:eastAsiaTheme="minorEastAsia" w:hAnsiTheme="minorHAnsi" w:cstheme="minorBidi"/>
          <w:sz w:val="24"/>
          <w:szCs w:val="24"/>
          <w:lang w:val="en-GB"/>
        </w:rPr>
        <w:t>To ensure reproducibility guarantee, the deterministic execution provides audit logs export CSVs, complete data export in JSON format, seeded randomness, and real-time clock synchronization for real timestamps. In addition, it provides JSONL metrics data for offline analysis and post-simulation evaluation.</w:t>
      </w:r>
    </w:p>
    <w:p w14:paraId="001C6963" w14:textId="140CCD14" w:rsidR="3F3DF4E1" w:rsidRDefault="3F3DF4E1" w:rsidP="625B0D3D">
      <w:pPr>
        <w:spacing w:after="160" w:line="257" w:lineRule="auto"/>
        <w:rPr>
          <w:rFonts w:asciiTheme="minorHAnsi" w:eastAsiaTheme="minorEastAsia" w:hAnsiTheme="minorHAnsi" w:cstheme="minorBidi"/>
          <w:lang w:val="en-GB"/>
        </w:rPr>
      </w:pPr>
      <w:r w:rsidRPr="625B0D3D">
        <w:rPr>
          <w:rFonts w:ascii="Aptos" w:eastAsia="Aptos" w:hAnsi="Aptos" w:cs="Aptos"/>
          <w:lang w:val="en-GB"/>
        </w:rPr>
        <w:t xml:space="preserve"> </w:t>
      </w:r>
    </w:p>
    <w:p w14:paraId="50E6337C" w14:textId="4761CBF7" w:rsidR="3F3DF4E1" w:rsidRDefault="3F3DF4E1" w:rsidP="625B0D3D">
      <w:pPr>
        <w:pStyle w:val="Heading3"/>
        <w:spacing w:before="160" w:after="80" w:line="257" w:lineRule="auto"/>
        <w:rPr>
          <w:rFonts w:asciiTheme="minorHAnsi" w:eastAsiaTheme="minorEastAsia" w:hAnsiTheme="minorHAnsi" w:cstheme="minorBidi"/>
          <w:sz w:val="28"/>
          <w:szCs w:val="28"/>
          <w:lang w:val="en-GB"/>
        </w:rPr>
      </w:pPr>
      <w:bookmarkStart w:id="312" w:name="_Toc234310830"/>
      <w:r w:rsidRPr="541F64B9">
        <w:rPr>
          <w:rFonts w:ascii="Aptos" w:eastAsia="Aptos" w:hAnsi="Aptos" w:cs="Aptos"/>
          <w:sz w:val="28"/>
          <w:szCs w:val="28"/>
          <w:lang w:val="en-GB"/>
        </w:rPr>
        <w:t>Scenario Manager and Threat Injector</w:t>
      </w:r>
      <w:bookmarkEnd w:id="312"/>
    </w:p>
    <w:p w14:paraId="31A37AD4" w14:textId="22D67AC2" w:rsidR="3F3DF4E1" w:rsidRDefault="3F3DF4E1" w:rsidP="47A1F388">
      <w:pPr>
        <w:spacing w:after="160" w:line="257" w:lineRule="auto"/>
        <w:jc w:val="both"/>
        <w:rPr>
          <w:rFonts w:asciiTheme="minorHAnsi" w:eastAsiaTheme="minorEastAsia" w:hAnsiTheme="minorHAnsi" w:cstheme="minorBidi"/>
          <w:sz w:val="24"/>
          <w:szCs w:val="24"/>
          <w:lang w:val="en-GB"/>
        </w:rPr>
      </w:pPr>
      <w:r w:rsidRPr="541F64B9">
        <w:rPr>
          <w:rFonts w:asciiTheme="minorHAnsi" w:eastAsiaTheme="minorEastAsia" w:hAnsiTheme="minorHAnsi" w:cstheme="minorBidi"/>
          <w:sz w:val="24"/>
          <w:szCs w:val="24"/>
          <w:lang w:val="en-GB"/>
        </w:rPr>
        <w:t xml:space="preserve">The threat injection capabilities are provided by the scenario manager to evaluate the TSM enforcement policies under realistic conditions. In this section, scenario definitions, threat injections, workflow execution in the dashboard, and TSM-enabled and bypass modes are discussed. The scenario framework supports twenty-three scenarios across different categories. The categorization of these scenarios is presented in Table </w:t>
      </w:r>
      <w:r w:rsidR="03018E49" w:rsidRPr="541F64B9">
        <w:rPr>
          <w:rFonts w:asciiTheme="minorHAnsi" w:eastAsiaTheme="minorEastAsia" w:hAnsiTheme="minorHAnsi" w:cstheme="minorBidi"/>
          <w:sz w:val="24"/>
          <w:szCs w:val="24"/>
          <w:lang w:val="en-GB"/>
        </w:rPr>
        <w:t xml:space="preserve">17 </w:t>
      </w:r>
      <w:r w:rsidRPr="541F64B9">
        <w:rPr>
          <w:rFonts w:asciiTheme="minorHAnsi" w:eastAsiaTheme="minorEastAsia" w:hAnsiTheme="minorHAnsi" w:cstheme="minorBidi"/>
          <w:sz w:val="24"/>
          <w:szCs w:val="24"/>
          <w:lang w:val="en-GB"/>
        </w:rPr>
        <w:t xml:space="preserve">and the scenario execution framework is illustrated in </w:t>
      </w:r>
      <w:r w:rsidR="00D57441">
        <w:rPr>
          <w:rFonts w:asciiTheme="minorHAnsi" w:eastAsiaTheme="minorEastAsia" w:hAnsiTheme="minorHAnsi" w:cstheme="minorBidi"/>
          <w:sz w:val="24"/>
          <w:szCs w:val="24"/>
          <w:lang w:val="en-GB"/>
        </w:rPr>
        <w:t>f</w:t>
      </w:r>
      <w:r w:rsidRPr="541F64B9">
        <w:rPr>
          <w:rFonts w:asciiTheme="minorHAnsi" w:eastAsiaTheme="minorEastAsia" w:hAnsiTheme="minorHAnsi" w:cstheme="minorBidi"/>
          <w:sz w:val="24"/>
          <w:szCs w:val="24"/>
          <w:lang w:val="en-GB"/>
        </w:rPr>
        <w:t xml:space="preserve">igure </w:t>
      </w:r>
      <w:r w:rsidR="0322687B" w:rsidRPr="541F64B9">
        <w:rPr>
          <w:rFonts w:asciiTheme="minorHAnsi" w:eastAsiaTheme="minorEastAsia" w:hAnsiTheme="minorHAnsi" w:cstheme="minorBidi"/>
          <w:sz w:val="24"/>
          <w:szCs w:val="24"/>
          <w:lang w:val="en-GB"/>
        </w:rPr>
        <w:t>33</w:t>
      </w:r>
      <w:r w:rsidRPr="541F64B9">
        <w:rPr>
          <w:rFonts w:asciiTheme="minorHAnsi" w:eastAsiaTheme="minorEastAsia" w:hAnsiTheme="minorHAnsi" w:cstheme="minorBidi"/>
          <w:sz w:val="24"/>
          <w:szCs w:val="24"/>
          <w:lang w:val="en-GB"/>
        </w:rPr>
        <w:t>.</w:t>
      </w:r>
    </w:p>
    <w:p w14:paraId="08F16BCE" w14:textId="24E48B1C" w:rsidR="00AD1184" w:rsidRDefault="00AD1184" w:rsidP="625B0D3D">
      <w:pPr>
        <w:spacing w:after="160" w:line="257" w:lineRule="auto"/>
        <w:rPr>
          <w:rFonts w:asciiTheme="minorHAnsi" w:eastAsiaTheme="minorEastAsia" w:hAnsiTheme="minorHAnsi" w:cstheme="minorBidi"/>
        </w:rPr>
      </w:pPr>
      <w:r>
        <w:rPr>
          <w:noProof/>
        </w:rPr>
        <w:drawing>
          <wp:inline distT="0" distB="0" distL="0" distR="0" wp14:anchorId="49CAC431" wp14:editId="31960E29">
            <wp:extent cx="6120130" cy="2968625"/>
            <wp:effectExtent l="19050" t="19050" r="13970" b="22225"/>
            <wp:docPr id="1978432588"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432588" name="Picture 4" descr="A screenshot of a computer&#10;&#10;AI-generated content may be incorrec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20130" cy="2968625"/>
                    </a:xfrm>
                    <a:prstGeom prst="rect">
                      <a:avLst/>
                    </a:prstGeom>
                    <a:noFill/>
                    <a:ln>
                      <a:solidFill>
                        <a:schemeClr val="tx1"/>
                      </a:solidFill>
                    </a:ln>
                  </pic:spPr>
                </pic:pic>
              </a:graphicData>
            </a:graphic>
          </wp:inline>
        </w:drawing>
      </w:r>
    </w:p>
    <w:p w14:paraId="71208C87" w14:textId="16D59F1D" w:rsidR="3F3DF4E1" w:rsidRDefault="00450B01" w:rsidP="00450B01">
      <w:pPr>
        <w:pStyle w:val="Caption"/>
        <w:rPr>
          <w:rFonts w:asciiTheme="minorHAnsi" w:eastAsiaTheme="minorEastAsia" w:hAnsiTheme="minorHAnsi" w:cstheme="minorBidi"/>
          <w:i/>
          <w:color w:val="0E2841"/>
          <w:szCs w:val="20"/>
          <w:lang w:val="en-GB"/>
        </w:rPr>
      </w:pPr>
      <w:bookmarkStart w:id="313" w:name="_Toc233112239"/>
      <w:r>
        <w:t xml:space="preserve">Figure </w:t>
      </w:r>
      <w:r w:rsidR="00113348">
        <w:fldChar w:fldCharType="begin"/>
      </w:r>
      <w:r w:rsidR="00113348">
        <w:instrText xml:space="preserve"> SEQ Figure \* ARABIC </w:instrText>
      </w:r>
      <w:r w:rsidR="00113348">
        <w:fldChar w:fldCharType="separate"/>
      </w:r>
      <w:r w:rsidR="00F8092D">
        <w:rPr>
          <w:noProof/>
        </w:rPr>
        <w:t>33</w:t>
      </w:r>
      <w:r w:rsidR="00113348">
        <w:rPr>
          <w:noProof/>
        </w:rPr>
        <w:fldChar w:fldCharType="end"/>
      </w:r>
      <w:r w:rsidR="3F3DF4E1" w:rsidRPr="541F64B9">
        <w:rPr>
          <w:rFonts w:ascii="Aptos" w:eastAsia="Aptos" w:hAnsi="Aptos" w:cs="Aptos"/>
          <w:i/>
          <w:color w:val="0E2841"/>
          <w:szCs w:val="20"/>
          <w:lang w:val="en-GB"/>
        </w:rPr>
        <w:t>: The scenario categorization and execution framework within the co-simulation platform.</w:t>
      </w:r>
      <w:bookmarkEnd w:id="313"/>
    </w:p>
    <w:p w14:paraId="4D090700" w14:textId="77777777" w:rsidR="00E13EFC" w:rsidRDefault="3F3DF4E1" w:rsidP="00C335B5">
      <w:pPr>
        <w:pStyle w:val="Caption"/>
        <w:rPr>
          <w:rFonts w:ascii="Aptos" w:eastAsia="Aptos" w:hAnsi="Aptos" w:cs="Aptos"/>
          <w:szCs w:val="20"/>
          <w:lang w:val="en-GB"/>
        </w:rPr>
      </w:pPr>
      <w:r w:rsidRPr="541F64B9">
        <w:rPr>
          <w:rFonts w:ascii="Aptos" w:eastAsia="Aptos" w:hAnsi="Aptos" w:cs="Aptos"/>
          <w:szCs w:val="20"/>
          <w:lang w:val="en-GB"/>
        </w:rPr>
        <w:t xml:space="preserve"> </w:t>
      </w:r>
      <w:bookmarkStart w:id="314" w:name="_Toc233112271"/>
    </w:p>
    <w:p w14:paraId="1668F6DA" w14:textId="77777777" w:rsidR="00E13EFC" w:rsidRDefault="00E13EFC" w:rsidP="00C335B5">
      <w:pPr>
        <w:pStyle w:val="Caption"/>
      </w:pPr>
    </w:p>
    <w:p w14:paraId="4E4897CD" w14:textId="77777777" w:rsidR="00E13EFC" w:rsidRPr="00E13EFC" w:rsidRDefault="00E13EFC" w:rsidP="00E13EFC">
      <w:pPr>
        <w:pStyle w:val="BodyText"/>
      </w:pPr>
    </w:p>
    <w:p w14:paraId="012ECFFF" w14:textId="77777777" w:rsidR="00E13EFC" w:rsidRDefault="00E13EFC" w:rsidP="00C335B5">
      <w:pPr>
        <w:pStyle w:val="Caption"/>
      </w:pPr>
    </w:p>
    <w:p w14:paraId="6FFDE718" w14:textId="3602CD83" w:rsidR="3F3DF4E1" w:rsidRDefault="00C335B5" w:rsidP="00C335B5">
      <w:pPr>
        <w:pStyle w:val="Caption"/>
        <w:rPr>
          <w:rFonts w:asciiTheme="minorHAnsi" w:eastAsiaTheme="minorEastAsia" w:hAnsiTheme="minorHAnsi" w:cstheme="minorBidi"/>
          <w:i/>
          <w:color w:val="0E2841"/>
          <w:szCs w:val="20"/>
          <w:lang w:val="en-GB"/>
        </w:rPr>
      </w:pPr>
      <w:r>
        <w:t xml:space="preserve">Table </w:t>
      </w:r>
      <w:r w:rsidR="00113348">
        <w:fldChar w:fldCharType="begin"/>
      </w:r>
      <w:r w:rsidR="00113348">
        <w:instrText xml:space="preserve"> SEQ Table \* ARABIC </w:instrText>
      </w:r>
      <w:r w:rsidR="00113348">
        <w:fldChar w:fldCharType="separate"/>
      </w:r>
      <w:r w:rsidR="00F8092D">
        <w:rPr>
          <w:noProof/>
        </w:rPr>
        <w:t>17</w:t>
      </w:r>
      <w:r w:rsidR="00113348">
        <w:rPr>
          <w:noProof/>
        </w:rPr>
        <w:fldChar w:fldCharType="end"/>
      </w:r>
      <w:r w:rsidR="519CF81B" w:rsidRPr="541F64B9">
        <w:rPr>
          <w:rFonts w:ascii="Aptos" w:eastAsia="Aptos" w:hAnsi="Aptos" w:cs="Aptos"/>
          <w:i/>
          <w:color w:val="0E2841"/>
          <w:szCs w:val="20"/>
          <w:lang w:val="en-GB"/>
        </w:rPr>
        <w:t>: Scenario categorization, sub scenarios, and typ</w:t>
      </w:r>
      <w:bookmarkEnd w:id="314"/>
      <w:r w:rsidR="00E13EFC">
        <w:rPr>
          <w:rFonts w:ascii="Aptos" w:eastAsia="Aptos" w:hAnsi="Aptos" w:cs="Aptos"/>
          <w:i/>
          <w:color w:val="0E2841"/>
          <w:szCs w:val="20"/>
          <w:lang w:val="en-GB"/>
        </w:rPr>
        <w:t>es.</w:t>
      </w:r>
    </w:p>
    <w:tbl>
      <w:tblPr>
        <w:tblStyle w:val="TableCSIRO"/>
        <w:tblW w:w="9180" w:type="dxa"/>
        <w:tblLook w:val="04A0" w:firstRow="1" w:lastRow="0" w:firstColumn="1" w:lastColumn="0" w:noHBand="0" w:noVBand="1"/>
      </w:tblPr>
      <w:tblGrid>
        <w:gridCol w:w="2993"/>
        <w:gridCol w:w="2787"/>
        <w:gridCol w:w="3400"/>
      </w:tblGrid>
      <w:tr w:rsidR="1C3F3904" w14:paraId="1390D25B" w14:textId="77777777" w:rsidTr="005713FD">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0" w:type="dxa"/>
          </w:tcPr>
          <w:p w14:paraId="730EFB77" w14:textId="720E4CE2" w:rsidR="1C3F3904" w:rsidRDefault="1C3F3904" w:rsidP="1C3F3904">
            <w:pPr>
              <w:spacing w:after="160" w:line="257" w:lineRule="auto"/>
              <w:rPr>
                <w:rFonts w:asciiTheme="minorHAnsi" w:eastAsiaTheme="minorEastAsia" w:hAnsiTheme="minorHAnsi" w:cstheme="minorBidi"/>
                <w:b w:val="0"/>
                <w:color w:val="FFFFFF" w:themeColor="background2"/>
                <w:sz w:val="18"/>
                <w:szCs w:val="18"/>
              </w:rPr>
            </w:pPr>
            <w:r w:rsidRPr="79B266BF">
              <w:rPr>
                <w:rFonts w:ascii="Aptos" w:eastAsia="Aptos" w:hAnsi="Aptos" w:cs="Aptos"/>
                <w:color w:val="FFFFFF" w:themeColor="background2"/>
                <w:sz w:val="18"/>
                <w:szCs w:val="18"/>
                <w:lang w:val="en"/>
              </w:rPr>
              <w:t>Categories</w:t>
            </w:r>
            <w:r w:rsidRPr="79B266BF">
              <w:rPr>
                <w:rFonts w:ascii="Aptos" w:eastAsia="Aptos" w:hAnsi="Aptos" w:cs="Aptos"/>
                <w:color w:val="FFFFFF" w:themeColor="background2"/>
                <w:sz w:val="18"/>
                <w:szCs w:val="18"/>
              </w:rPr>
              <w:t xml:space="preserve"> </w:t>
            </w:r>
          </w:p>
        </w:tc>
        <w:tc>
          <w:tcPr>
            <w:tcW w:w="0" w:type="dxa"/>
          </w:tcPr>
          <w:p w14:paraId="47BC240D" w14:textId="38A86D8A" w:rsidR="1C3F3904" w:rsidRDefault="1C3F3904" w:rsidP="1C3F3904">
            <w:pPr>
              <w:spacing w:after="160" w:line="257" w:lineRule="auto"/>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b w:val="0"/>
                <w:color w:val="FFFFFF" w:themeColor="background2"/>
                <w:sz w:val="18"/>
                <w:szCs w:val="18"/>
              </w:rPr>
            </w:pPr>
            <w:r w:rsidRPr="79B266BF">
              <w:rPr>
                <w:rFonts w:ascii="Aptos" w:eastAsia="Aptos" w:hAnsi="Aptos" w:cs="Aptos"/>
                <w:color w:val="FFFFFF" w:themeColor="background2"/>
                <w:sz w:val="18"/>
                <w:szCs w:val="18"/>
                <w:lang w:val="en"/>
              </w:rPr>
              <w:t>Sub Scenarios</w:t>
            </w:r>
            <w:r w:rsidRPr="79B266BF">
              <w:rPr>
                <w:rFonts w:ascii="Aptos" w:eastAsia="Aptos" w:hAnsi="Aptos" w:cs="Aptos"/>
                <w:color w:val="FFFFFF" w:themeColor="background2"/>
                <w:sz w:val="18"/>
                <w:szCs w:val="18"/>
              </w:rPr>
              <w:t xml:space="preserve"> </w:t>
            </w:r>
          </w:p>
        </w:tc>
        <w:tc>
          <w:tcPr>
            <w:tcW w:w="0" w:type="dxa"/>
          </w:tcPr>
          <w:p w14:paraId="2FDFC1F4" w14:textId="4344B73E" w:rsidR="1C3F3904" w:rsidRDefault="1C3F3904" w:rsidP="1C3F3904">
            <w:pPr>
              <w:spacing w:after="160" w:line="257" w:lineRule="auto"/>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b w:val="0"/>
                <w:color w:val="FFFFFF" w:themeColor="background2"/>
                <w:sz w:val="18"/>
                <w:szCs w:val="18"/>
              </w:rPr>
            </w:pPr>
            <w:r w:rsidRPr="79B266BF">
              <w:rPr>
                <w:rFonts w:ascii="Aptos" w:eastAsia="Aptos" w:hAnsi="Aptos" w:cs="Aptos"/>
                <w:color w:val="FFFFFF" w:themeColor="background2"/>
                <w:sz w:val="18"/>
                <w:szCs w:val="18"/>
              </w:rPr>
              <w:t xml:space="preserve">Scenarios Description </w:t>
            </w:r>
          </w:p>
        </w:tc>
      </w:tr>
      <w:tr w:rsidR="1C3F3904" w14:paraId="0F64F4F4" w14:textId="77777777" w:rsidTr="005713FD">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dxa"/>
          </w:tcPr>
          <w:p w14:paraId="3EF5D2C3" w14:textId="4F44AE65" w:rsidR="1C3F3904" w:rsidRDefault="1C3F3904" w:rsidP="1C3F3904">
            <w:pPr>
              <w:spacing w:after="160" w:line="257" w:lineRule="auto"/>
              <w:rPr>
                <w:rFonts w:asciiTheme="minorHAnsi" w:eastAsiaTheme="minorEastAsia" w:hAnsiTheme="minorHAnsi" w:cstheme="minorBidi"/>
                <w:sz w:val="18"/>
                <w:szCs w:val="18"/>
              </w:rPr>
            </w:pPr>
            <w:r w:rsidRPr="79B266BF">
              <w:rPr>
                <w:rFonts w:ascii="Aptos" w:eastAsia="Aptos" w:hAnsi="Aptos" w:cs="Aptos"/>
                <w:sz w:val="18"/>
                <w:szCs w:val="18"/>
              </w:rPr>
              <w:t xml:space="preserve">Firmware Update  </w:t>
            </w:r>
          </w:p>
        </w:tc>
        <w:tc>
          <w:tcPr>
            <w:tcW w:w="0" w:type="dxa"/>
          </w:tcPr>
          <w:p w14:paraId="2F38093B" w14:textId="406299CC" w:rsidR="1C3F3904" w:rsidRDefault="1C3F3904" w:rsidP="1C3F3904">
            <w:pPr>
              <w:spacing w:after="160" w:line="257"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79B266BF">
              <w:rPr>
                <w:rFonts w:ascii="Aptos" w:eastAsia="Aptos" w:hAnsi="Aptos" w:cs="Aptos"/>
                <w:sz w:val="18"/>
                <w:szCs w:val="18"/>
                <w:lang w:val="en"/>
              </w:rPr>
              <w:t>5</w:t>
            </w:r>
            <w:r w:rsidRPr="79B266BF">
              <w:rPr>
                <w:rFonts w:ascii="Aptos" w:eastAsia="Aptos" w:hAnsi="Aptos" w:cs="Aptos"/>
                <w:sz w:val="18"/>
                <w:szCs w:val="18"/>
              </w:rPr>
              <w:t xml:space="preserve"> </w:t>
            </w:r>
          </w:p>
        </w:tc>
        <w:tc>
          <w:tcPr>
            <w:tcW w:w="0" w:type="dxa"/>
          </w:tcPr>
          <w:p w14:paraId="5F27992D" w14:textId="3CBBC56E" w:rsidR="1C3F3904" w:rsidRDefault="1C3F3904" w:rsidP="1C3F3904">
            <w:pPr>
              <w:spacing w:after="160" w:line="257"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79B266BF">
              <w:rPr>
                <w:rFonts w:ascii="Aptos" w:eastAsia="Aptos" w:hAnsi="Aptos" w:cs="Aptos"/>
                <w:sz w:val="18"/>
                <w:szCs w:val="18"/>
              </w:rPr>
              <w:t xml:space="preserve">valid firmware update, firmware anti-rollback, invalid oem signature, missing asd signature, revoked signer. </w:t>
            </w:r>
          </w:p>
        </w:tc>
      </w:tr>
      <w:tr w:rsidR="1C3F3904" w14:paraId="2CD60662" w14:textId="77777777" w:rsidTr="005713FD">
        <w:trPr>
          <w:trHeight w:val="285"/>
        </w:trPr>
        <w:tc>
          <w:tcPr>
            <w:cnfStyle w:val="001000000000" w:firstRow="0" w:lastRow="0" w:firstColumn="1" w:lastColumn="0" w:oddVBand="0" w:evenVBand="0" w:oddHBand="0" w:evenHBand="0" w:firstRowFirstColumn="0" w:firstRowLastColumn="0" w:lastRowFirstColumn="0" w:lastRowLastColumn="0"/>
            <w:tcW w:w="0" w:type="dxa"/>
          </w:tcPr>
          <w:p w14:paraId="1207532C" w14:textId="04229F68" w:rsidR="1C3F3904" w:rsidRDefault="1C3F3904" w:rsidP="1C3F3904">
            <w:pPr>
              <w:spacing w:after="160" w:line="257" w:lineRule="auto"/>
              <w:rPr>
                <w:rFonts w:asciiTheme="minorHAnsi" w:eastAsiaTheme="minorEastAsia" w:hAnsiTheme="minorHAnsi" w:cstheme="minorBidi"/>
                <w:sz w:val="18"/>
                <w:szCs w:val="18"/>
              </w:rPr>
            </w:pPr>
            <w:r w:rsidRPr="79B266BF">
              <w:rPr>
                <w:rFonts w:ascii="Aptos" w:eastAsia="Aptos" w:hAnsi="Aptos" w:cs="Aptos"/>
                <w:sz w:val="18"/>
                <w:szCs w:val="18"/>
              </w:rPr>
              <w:t xml:space="preserve">Security  </w:t>
            </w:r>
          </w:p>
        </w:tc>
        <w:tc>
          <w:tcPr>
            <w:tcW w:w="0" w:type="dxa"/>
          </w:tcPr>
          <w:p w14:paraId="37D3F68C" w14:textId="5B2BC3B3" w:rsidR="1C3F3904" w:rsidRDefault="1C3F3904" w:rsidP="1C3F3904">
            <w:pPr>
              <w:spacing w:after="160" w:line="257"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79B266BF">
              <w:rPr>
                <w:rFonts w:ascii="Aptos" w:eastAsia="Aptos" w:hAnsi="Aptos" w:cs="Aptos"/>
                <w:sz w:val="18"/>
                <w:szCs w:val="18"/>
              </w:rPr>
              <w:t xml:space="preserve">6 </w:t>
            </w:r>
          </w:p>
        </w:tc>
        <w:tc>
          <w:tcPr>
            <w:tcW w:w="0" w:type="dxa"/>
          </w:tcPr>
          <w:p w14:paraId="490CC119" w14:textId="3FDF26FD" w:rsidR="1C3F3904" w:rsidRDefault="1C3F3904" w:rsidP="1C3F3904">
            <w:pPr>
              <w:spacing w:after="160" w:line="257"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79B266BF">
              <w:rPr>
                <w:rFonts w:ascii="Aptos" w:eastAsia="Aptos" w:hAnsi="Aptos" w:cs="Aptos"/>
                <w:sz w:val="18"/>
                <w:szCs w:val="18"/>
              </w:rPr>
              <w:t xml:space="preserve">power fluctuation, voltage spike, tpm compromise, replay attack, man in middle, tamper attack. </w:t>
            </w:r>
          </w:p>
        </w:tc>
      </w:tr>
      <w:tr w:rsidR="1C3F3904" w14:paraId="695EC410" w14:textId="77777777" w:rsidTr="005713FD">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0" w:type="dxa"/>
          </w:tcPr>
          <w:p w14:paraId="212D4191" w14:textId="02F169CE" w:rsidR="1C3F3904" w:rsidRDefault="1C3F3904" w:rsidP="1C3F3904">
            <w:pPr>
              <w:spacing w:after="160" w:line="257" w:lineRule="auto"/>
              <w:rPr>
                <w:rFonts w:asciiTheme="minorHAnsi" w:eastAsiaTheme="minorEastAsia" w:hAnsiTheme="minorHAnsi" w:cstheme="minorBidi"/>
                <w:sz w:val="18"/>
                <w:szCs w:val="18"/>
              </w:rPr>
            </w:pPr>
            <w:r w:rsidRPr="79B266BF">
              <w:rPr>
                <w:rFonts w:ascii="Aptos" w:eastAsia="Aptos" w:hAnsi="Aptos" w:cs="Aptos"/>
                <w:sz w:val="18"/>
                <w:szCs w:val="18"/>
              </w:rPr>
              <w:t xml:space="preserve">Power Grid  </w:t>
            </w:r>
          </w:p>
        </w:tc>
        <w:tc>
          <w:tcPr>
            <w:tcW w:w="0" w:type="dxa"/>
          </w:tcPr>
          <w:p w14:paraId="3BAF9A82" w14:textId="3C7EEBDB" w:rsidR="1C3F3904" w:rsidRDefault="1C3F3904" w:rsidP="1C3F3904">
            <w:pPr>
              <w:spacing w:after="160" w:line="257"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79B266BF">
              <w:rPr>
                <w:rFonts w:ascii="Aptos" w:eastAsia="Aptos" w:hAnsi="Aptos" w:cs="Aptos"/>
                <w:sz w:val="18"/>
                <w:szCs w:val="18"/>
              </w:rPr>
              <w:t xml:space="preserve">7 </w:t>
            </w:r>
          </w:p>
        </w:tc>
        <w:tc>
          <w:tcPr>
            <w:tcW w:w="0" w:type="dxa"/>
          </w:tcPr>
          <w:p w14:paraId="52D62496" w14:textId="17756449" w:rsidR="1C3F3904" w:rsidRDefault="1C3F3904" w:rsidP="1C3F3904">
            <w:pPr>
              <w:spacing w:after="160" w:line="257"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79B266BF">
              <w:rPr>
                <w:rFonts w:ascii="Aptos" w:eastAsia="Aptos" w:hAnsi="Aptos" w:cs="Aptos"/>
                <w:sz w:val="18"/>
                <w:szCs w:val="18"/>
              </w:rPr>
              <w:t xml:space="preserve">smart charge, v2g discharge, load shedding, demand response, islanding event, frequency anomaly, grid overload. </w:t>
            </w:r>
          </w:p>
        </w:tc>
      </w:tr>
      <w:tr w:rsidR="1C3F3904" w14:paraId="0F485920" w14:textId="77777777" w:rsidTr="005713FD">
        <w:trPr>
          <w:trHeight w:val="285"/>
        </w:trPr>
        <w:tc>
          <w:tcPr>
            <w:cnfStyle w:val="001000000000" w:firstRow="0" w:lastRow="0" w:firstColumn="1" w:lastColumn="0" w:oddVBand="0" w:evenVBand="0" w:oddHBand="0" w:evenHBand="0" w:firstRowFirstColumn="0" w:firstRowLastColumn="0" w:lastRowFirstColumn="0" w:lastRowLastColumn="0"/>
            <w:tcW w:w="0" w:type="dxa"/>
          </w:tcPr>
          <w:p w14:paraId="64E1E769" w14:textId="6CF941CF" w:rsidR="1C3F3904" w:rsidRDefault="1C3F3904" w:rsidP="1C3F3904">
            <w:pPr>
              <w:spacing w:after="160" w:line="257" w:lineRule="auto"/>
              <w:rPr>
                <w:rFonts w:asciiTheme="minorHAnsi" w:eastAsiaTheme="minorEastAsia" w:hAnsiTheme="minorHAnsi" w:cstheme="minorBidi"/>
                <w:sz w:val="18"/>
                <w:szCs w:val="18"/>
              </w:rPr>
            </w:pPr>
            <w:r w:rsidRPr="79B266BF">
              <w:rPr>
                <w:rFonts w:ascii="Aptos" w:eastAsia="Aptos" w:hAnsi="Aptos" w:cs="Aptos"/>
                <w:sz w:val="18"/>
                <w:szCs w:val="18"/>
                <w:lang w:val="en"/>
              </w:rPr>
              <w:t>EVSE Charging</w:t>
            </w:r>
            <w:r w:rsidRPr="79B266BF">
              <w:rPr>
                <w:rFonts w:ascii="Aptos" w:eastAsia="Aptos" w:hAnsi="Aptos" w:cs="Aptos"/>
                <w:sz w:val="18"/>
                <w:szCs w:val="18"/>
              </w:rPr>
              <w:t xml:space="preserve"> </w:t>
            </w:r>
          </w:p>
        </w:tc>
        <w:tc>
          <w:tcPr>
            <w:tcW w:w="0" w:type="dxa"/>
          </w:tcPr>
          <w:p w14:paraId="466E3A61" w14:textId="2A668B0D" w:rsidR="1C3F3904" w:rsidRDefault="1C3F3904" w:rsidP="1C3F3904">
            <w:pPr>
              <w:spacing w:after="160" w:line="257"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79B266BF">
              <w:rPr>
                <w:rFonts w:ascii="Aptos" w:eastAsia="Aptos" w:hAnsi="Aptos" w:cs="Aptos"/>
                <w:sz w:val="18"/>
                <w:szCs w:val="18"/>
                <w:lang w:val="en"/>
              </w:rPr>
              <w:t xml:space="preserve"> 5</w:t>
            </w:r>
            <w:r w:rsidRPr="79B266BF">
              <w:rPr>
                <w:rFonts w:ascii="Aptos" w:eastAsia="Aptos" w:hAnsi="Aptos" w:cs="Aptos"/>
                <w:sz w:val="18"/>
                <w:szCs w:val="18"/>
              </w:rPr>
              <w:t xml:space="preserve"> </w:t>
            </w:r>
          </w:p>
        </w:tc>
        <w:tc>
          <w:tcPr>
            <w:tcW w:w="0" w:type="dxa"/>
          </w:tcPr>
          <w:p w14:paraId="180100A5" w14:textId="16265D42" w:rsidR="1C3F3904" w:rsidRDefault="1C3F3904" w:rsidP="1C3F3904">
            <w:pPr>
              <w:spacing w:after="160" w:line="257"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79B266BF">
              <w:rPr>
                <w:rFonts w:ascii="Aptos" w:eastAsia="Aptos" w:hAnsi="Aptos" w:cs="Aptos"/>
                <w:sz w:val="18"/>
                <w:szCs w:val="18"/>
                <w:lang w:val="en"/>
              </w:rPr>
              <w:t>pre-conditioning, scheduled charge, session pause, normal charge complete, normal charge start.</w:t>
            </w:r>
            <w:r w:rsidRPr="79B266BF">
              <w:rPr>
                <w:rFonts w:ascii="Aptos" w:eastAsia="Aptos" w:hAnsi="Aptos" w:cs="Aptos"/>
                <w:sz w:val="18"/>
                <w:szCs w:val="18"/>
              </w:rPr>
              <w:t xml:space="preserve"> </w:t>
            </w:r>
          </w:p>
        </w:tc>
      </w:tr>
    </w:tbl>
    <w:p w14:paraId="52CE9CC5" w14:textId="4754CE23" w:rsidR="3F3DF4E1" w:rsidRDefault="3F3DF4E1" w:rsidP="625B0D3D">
      <w:pPr>
        <w:spacing w:after="160" w:line="257" w:lineRule="auto"/>
        <w:rPr>
          <w:rFonts w:asciiTheme="minorHAnsi" w:eastAsiaTheme="minorEastAsia" w:hAnsiTheme="minorHAnsi" w:cstheme="minorBidi"/>
          <w:lang w:val="en-GB"/>
        </w:rPr>
      </w:pPr>
    </w:p>
    <w:p w14:paraId="28A5314B" w14:textId="2E3CC237" w:rsidR="3F3DF4E1" w:rsidRDefault="3F3DF4E1" w:rsidP="625B0D3D">
      <w:pPr>
        <w:spacing w:after="160" w:line="257" w:lineRule="auto"/>
        <w:rPr>
          <w:rFonts w:asciiTheme="minorHAnsi" w:eastAsiaTheme="minorEastAsia" w:hAnsiTheme="minorHAnsi" w:cstheme="minorBidi"/>
          <w:sz w:val="24"/>
          <w:szCs w:val="24"/>
          <w:lang w:val="en-GB"/>
        </w:rPr>
      </w:pPr>
      <w:r w:rsidRPr="541F64B9">
        <w:rPr>
          <w:rFonts w:asciiTheme="minorHAnsi" w:eastAsiaTheme="minorEastAsia" w:hAnsiTheme="minorHAnsi" w:cstheme="minorBidi"/>
          <w:sz w:val="24"/>
          <w:szCs w:val="24"/>
          <w:lang w:val="en-GB"/>
        </w:rPr>
        <w:t xml:space="preserve"> Threat injection mechanisms in the co-simulation framework is demonstrated on different levels as follows:</w:t>
      </w:r>
    </w:p>
    <w:p w14:paraId="57716557" w14:textId="4699A1DB" w:rsidR="3F3DF4E1" w:rsidRDefault="3F3DF4E1" w:rsidP="00846D08">
      <w:pPr>
        <w:pStyle w:val="ListParagraph"/>
        <w:numPr>
          <w:ilvl w:val="0"/>
          <w:numId w:val="61"/>
        </w:numPr>
        <w:spacing w:before="0" w:after="0" w:line="257" w:lineRule="auto"/>
        <w:jc w:val="both"/>
        <w:rPr>
          <w:rFonts w:asciiTheme="minorHAnsi" w:eastAsiaTheme="minorEastAsia" w:hAnsiTheme="minorHAnsi" w:cstheme="minorBidi"/>
          <w:lang w:val="en-GB"/>
        </w:rPr>
      </w:pPr>
      <w:r w:rsidRPr="541F64B9">
        <w:rPr>
          <w:rFonts w:asciiTheme="minorHAnsi" w:eastAsiaTheme="minorEastAsia" w:hAnsiTheme="minorHAnsi" w:cstheme="minorBidi"/>
          <w:lang w:val="en-GB"/>
        </w:rPr>
        <w:t>Firmware level injection: In this level of threat injection, a malicious firmware envelope with revoked signer certificates, incorrect version number, and manipulated signatures are injected through the OCPP firmware update handler as well as POST /api/simulate/tsm-update API of TSM policy enforcement.</w:t>
      </w:r>
    </w:p>
    <w:p w14:paraId="18E27D1F" w14:textId="32BC81AE" w:rsidR="3F3DF4E1" w:rsidRDefault="3F3DF4E1" w:rsidP="00846D08">
      <w:pPr>
        <w:pStyle w:val="ListParagraph"/>
        <w:numPr>
          <w:ilvl w:val="0"/>
          <w:numId w:val="61"/>
        </w:numPr>
        <w:spacing w:before="0" w:after="0" w:line="257" w:lineRule="auto"/>
        <w:jc w:val="both"/>
        <w:rPr>
          <w:rFonts w:asciiTheme="minorHAnsi" w:eastAsiaTheme="minorEastAsia" w:hAnsiTheme="minorHAnsi" w:cstheme="minorBidi"/>
          <w:lang w:val="en-GB"/>
        </w:rPr>
      </w:pPr>
      <w:r w:rsidRPr="541F64B9">
        <w:rPr>
          <w:rFonts w:asciiTheme="minorHAnsi" w:eastAsiaTheme="minorEastAsia" w:hAnsiTheme="minorHAnsi" w:cstheme="minorBidi"/>
          <w:lang w:val="en-GB"/>
        </w:rPr>
        <w:t>Physical level injection: In this level of threat injection, the debug API POST /api/debug/tamper is used for configurable tamper severity and types to record tamper events. The temper types are frequency anomaly, temperature anomaly, voltage glitches, and physical changes.</w:t>
      </w:r>
    </w:p>
    <w:p w14:paraId="5DB8452F" w14:textId="6100B8BE" w:rsidR="3F3DF4E1" w:rsidRDefault="00042B59" w:rsidP="00846D08">
      <w:pPr>
        <w:pStyle w:val="ListParagraph"/>
        <w:numPr>
          <w:ilvl w:val="0"/>
          <w:numId w:val="61"/>
        </w:numPr>
        <w:spacing w:before="0" w:after="0" w:line="257" w:lineRule="auto"/>
        <w:jc w:val="both"/>
        <w:rPr>
          <w:rFonts w:asciiTheme="minorHAnsi" w:eastAsiaTheme="minorEastAsia" w:hAnsiTheme="minorHAnsi" w:cstheme="minorBidi"/>
          <w:lang w:val="en-GB"/>
        </w:rPr>
      </w:pPr>
      <w:r w:rsidRPr="541F64B9">
        <w:rPr>
          <w:rFonts w:asciiTheme="minorHAnsi" w:eastAsiaTheme="minorEastAsia" w:hAnsiTheme="minorHAnsi" w:cstheme="minorBidi"/>
          <w:lang w:val="en-GB"/>
        </w:rPr>
        <w:t>Protocol-level</w:t>
      </w:r>
      <w:r w:rsidR="3F3DF4E1" w:rsidRPr="541F64B9">
        <w:rPr>
          <w:rFonts w:asciiTheme="minorHAnsi" w:eastAsiaTheme="minorEastAsia" w:hAnsiTheme="minorHAnsi" w:cstheme="minorBidi"/>
          <w:lang w:val="en-GB"/>
        </w:rPr>
        <w:t xml:space="preserve"> injection: In this level of threat injection, </w:t>
      </w:r>
      <w:r w:rsidRPr="541F64B9">
        <w:rPr>
          <w:rFonts w:asciiTheme="minorHAnsi" w:eastAsiaTheme="minorEastAsia" w:hAnsiTheme="minorHAnsi" w:cstheme="minorBidi"/>
          <w:lang w:val="en-GB"/>
        </w:rPr>
        <w:t xml:space="preserve">the </w:t>
      </w:r>
      <w:r w:rsidR="3F3DF4E1" w:rsidRPr="541F64B9">
        <w:rPr>
          <w:rFonts w:asciiTheme="minorHAnsi" w:eastAsiaTheme="minorEastAsia" w:hAnsiTheme="minorHAnsi" w:cstheme="minorBidi"/>
          <w:lang w:val="en-GB"/>
        </w:rPr>
        <w:t>scenario API is used for TPM spoofing, replay, and man-in-the-middle attacks to interrupt session integrity and protocol authentication.</w:t>
      </w:r>
    </w:p>
    <w:p w14:paraId="4C14BA51" w14:textId="03FDC051" w:rsidR="3F3DF4E1" w:rsidRDefault="3F3DF4E1" w:rsidP="00846D08">
      <w:pPr>
        <w:pStyle w:val="ListParagraph"/>
        <w:numPr>
          <w:ilvl w:val="0"/>
          <w:numId w:val="61"/>
        </w:numPr>
        <w:spacing w:before="0" w:after="0" w:line="257" w:lineRule="auto"/>
        <w:jc w:val="both"/>
        <w:rPr>
          <w:rFonts w:asciiTheme="minorHAnsi" w:eastAsiaTheme="minorEastAsia" w:hAnsiTheme="minorHAnsi" w:cstheme="minorBidi"/>
          <w:lang w:val="en-GB"/>
        </w:rPr>
      </w:pPr>
      <w:r w:rsidRPr="541F64B9">
        <w:rPr>
          <w:rFonts w:asciiTheme="minorHAnsi" w:eastAsiaTheme="minorEastAsia" w:hAnsiTheme="minorHAnsi" w:cstheme="minorBidi"/>
          <w:lang w:val="en-GB"/>
        </w:rPr>
        <w:t xml:space="preserve">Grid level injection: In this level of injection, the grid disturbances are injected using scenario API, such as islanding operation, grid overloading, frequency disturbances, and voltage fluctuations. </w:t>
      </w:r>
    </w:p>
    <w:p w14:paraId="0CFE6091" w14:textId="005CD912" w:rsidR="3F3DF4E1" w:rsidRDefault="3F3DF4E1" w:rsidP="625B0D3D">
      <w:pPr>
        <w:spacing w:after="160" w:line="257" w:lineRule="auto"/>
        <w:jc w:val="both"/>
        <w:rPr>
          <w:rFonts w:asciiTheme="minorHAnsi" w:eastAsiaTheme="minorEastAsia" w:hAnsiTheme="minorHAnsi" w:cstheme="minorBidi"/>
          <w:lang w:val="en-GB"/>
        </w:rPr>
      </w:pPr>
      <w:r w:rsidRPr="625B0D3D">
        <w:rPr>
          <w:rFonts w:ascii="Aptos" w:eastAsia="Aptos" w:hAnsi="Aptos" w:cs="Aptos"/>
          <w:lang w:val="en-GB"/>
        </w:rPr>
        <w:t xml:space="preserve"> </w:t>
      </w:r>
    </w:p>
    <w:p w14:paraId="3A7E0FC4" w14:textId="0EF66903" w:rsidR="3F3DF4E1" w:rsidRDefault="3F3DF4E1" w:rsidP="625B0D3D">
      <w:pPr>
        <w:pStyle w:val="Heading3"/>
        <w:spacing w:before="160" w:after="80" w:line="257" w:lineRule="auto"/>
        <w:rPr>
          <w:rFonts w:asciiTheme="minorHAnsi" w:eastAsiaTheme="minorEastAsia" w:hAnsiTheme="minorHAnsi" w:cstheme="minorBidi"/>
          <w:sz w:val="28"/>
          <w:szCs w:val="28"/>
          <w:lang w:val="en-GB"/>
        </w:rPr>
      </w:pPr>
      <w:bookmarkStart w:id="315" w:name="_Toc234310831"/>
      <w:r w:rsidRPr="5BDAAB1E">
        <w:rPr>
          <w:rFonts w:ascii="Aptos" w:eastAsia="Aptos" w:hAnsi="Aptos" w:cs="Aptos"/>
          <w:sz w:val="28"/>
          <w:szCs w:val="28"/>
          <w:lang w:val="en-GB"/>
        </w:rPr>
        <w:t>End-to-End Demonstration Design</w:t>
      </w:r>
      <w:bookmarkEnd w:id="315"/>
    </w:p>
    <w:p w14:paraId="097A9EFF" w14:textId="2F0A3FDF" w:rsidR="3F3DF4E1" w:rsidRDefault="3F3DF4E1" w:rsidP="4283FF7E">
      <w:pPr>
        <w:spacing w:after="160" w:line="257" w:lineRule="auto"/>
        <w:jc w:val="both"/>
        <w:rPr>
          <w:rFonts w:asciiTheme="minorHAnsi" w:eastAsiaTheme="minorEastAsia" w:hAnsiTheme="minorHAnsi" w:cstheme="minorBidi"/>
          <w:sz w:val="24"/>
          <w:szCs w:val="24"/>
          <w:lang w:val="en-GB"/>
        </w:rPr>
      </w:pPr>
      <w:r w:rsidRPr="5BDAAB1E">
        <w:rPr>
          <w:rFonts w:asciiTheme="minorHAnsi" w:eastAsiaTheme="minorEastAsia" w:hAnsiTheme="minorHAnsi" w:cstheme="minorBidi"/>
          <w:sz w:val="24"/>
          <w:szCs w:val="24"/>
          <w:lang w:val="en-GB"/>
        </w:rPr>
        <w:t xml:space="preserve">The TSM Enforcement is evaluated on different scenarios and sub-scenarios. The evaluation of the co-simulation model is compared in a paired experimental design to evaluate its behaviour without TSM and with TSM to validate the TSM enforcement policies and functions. </w:t>
      </w:r>
    </w:p>
    <w:p w14:paraId="0CCD247C" w14:textId="2BCE526B" w:rsidR="3F3DF4E1" w:rsidRDefault="3F3DF4E1" w:rsidP="4283FF7E">
      <w:pPr>
        <w:spacing w:after="160" w:line="257" w:lineRule="auto"/>
        <w:jc w:val="both"/>
        <w:rPr>
          <w:rFonts w:asciiTheme="minorHAnsi" w:eastAsiaTheme="minorEastAsia" w:hAnsiTheme="minorHAnsi" w:cstheme="minorBidi"/>
          <w:sz w:val="24"/>
          <w:szCs w:val="24"/>
          <w:lang w:val="en-GB"/>
        </w:rPr>
      </w:pPr>
      <w:r w:rsidRPr="5BDAAB1E">
        <w:rPr>
          <w:rFonts w:asciiTheme="minorHAnsi" w:eastAsiaTheme="minorEastAsia" w:hAnsiTheme="minorHAnsi" w:cstheme="minorBidi"/>
          <w:sz w:val="24"/>
          <w:szCs w:val="24"/>
          <w:lang w:val="en-GB"/>
        </w:rPr>
        <w:t xml:space="preserve">In the bypass mode of TSM, the scenarios of different categories are run directly in the installation handler. For instance, the firmware updates process is directly accepted, having malicious envelopes to enforce excessive charging events, coordinated load attacks, and policy violations to disturb the normal behaviour of the EVSE infrastructure. It impacts grid-level disturbance such as elevated RoCoF, frequency deviations, and voltage excursions. </w:t>
      </w:r>
    </w:p>
    <w:p w14:paraId="69CCC08C" w14:textId="5F16E34E" w:rsidR="3F3DF4E1" w:rsidRDefault="3F3DF4E1" w:rsidP="4283FF7E">
      <w:pPr>
        <w:spacing w:after="160" w:line="257" w:lineRule="auto"/>
        <w:jc w:val="both"/>
        <w:rPr>
          <w:rFonts w:asciiTheme="minorHAnsi" w:eastAsiaTheme="minorEastAsia" w:hAnsiTheme="minorHAnsi" w:cstheme="minorBidi"/>
          <w:sz w:val="24"/>
          <w:szCs w:val="24"/>
          <w:lang w:val="en-GB"/>
        </w:rPr>
      </w:pPr>
      <w:r w:rsidRPr="5BDAAB1E">
        <w:rPr>
          <w:rFonts w:asciiTheme="minorHAnsi" w:eastAsiaTheme="minorEastAsia" w:hAnsiTheme="minorHAnsi" w:cstheme="minorBidi"/>
          <w:sz w:val="24"/>
          <w:szCs w:val="24"/>
          <w:lang w:val="en-GB"/>
        </w:rPr>
        <w:t xml:space="preserve">In the TSM enforcement mode, the scenarios are run by enforcing the TSM trust chain and policies and ensuring safe and stable operation of EVSE infrastructure. For instance, the process of updating firmware, the five-stage trust chain is implemented within the TSM security pipeline. The firmware update process is rejected when TSM-enforced policies are not compliant to ensure the secure and stable operation of EVSE and the power grid. The EVSE infrastructure operates within TSM policy-compliant, ensures grid stability, and operates within GSE boundaries. Figure </w:t>
      </w:r>
      <w:r w:rsidR="4B56C64C" w:rsidRPr="5BDAAB1E">
        <w:rPr>
          <w:rFonts w:asciiTheme="minorHAnsi" w:eastAsiaTheme="minorEastAsia" w:hAnsiTheme="minorHAnsi" w:cstheme="minorBidi"/>
          <w:sz w:val="24"/>
          <w:szCs w:val="24"/>
          <w:lang w:val="en-GB"/>
        </w:rPr>
        <w:t>34</w:t>
      </w:r>
      <w:r w:rsidRPr="5BDAAB1E">
        <w:rPr>
          <w:rFonts w:asciiTheme="minorHAnsi" w:eastAsiaTheme="minorEastAsia" w:hAnsiTheme="minorHAnsi" w:cstheme="minorBidi"/>
          <w:sz w:val="24"/>
          <w:szCs w:val="24"/>
          <w:lang w:val="en-GB"/>
        </w:rPr>
        <w:t xml:space="preserve"> illustrates the comparative architecture of the system without TSM and with TSM modes within the co-simulation environment.</w:t>
      </w:r>
    </w:p>
    <w:p w14:paraId="30BCB176" w14:textId="38C202A2" w:rsidR="3F3DF4E1" w:rsidRDefault="3F3DF4E1" w:rsidP="625B0D3D">
      <w:pPr>
        <w:spacing w:after="160" w:line="257" w:lineRule="auto"/>
        <w:rPr>
          <w:rFonts w:asciiTheme="minorHAnsi" w:eastAsiaTheme="minorEastAsia" w:hAnsiTheme="minorHAnsi" w:cstheme="minorBidi"/>
        </w:rPr>
      </w:pPr>
    </w:p>
    <w:p w14:paraId="14B29902" w14:textId="17E61CF4" w:rsidR="00CA2A8D" w:rsidRDefault="00CA2A8D" w:rsidP="00C9731C">
      <w:pPr>
        <w:spacing w:after="160" w:line="257" w:lineRule="auto"/>
        <w:jc w:val="center"/>
        <w:rPr>
          <w:rFonts w:asciiTheme="minorHAnsi" w:eastAsiaTheme="minorEastAsia" w:hAnsiTheme="minorHAnsi" w:cstheme="minorBidi"/>
        </w:rPr>
      </w:pPr>
      <w:r>
        <w:rPr>
          <w:noProof/>
        </w:rPr>
        <w:drawing>
          <wp:inline distT="0" distB="0" distL="0" distR="0" wp14:anchorId="2E33A34A" wp14:editId="20A76D21">
            <wp:extent cx="6120130" cy="3462655"/>
            <wp:effectExtent l="19050" t="19050" r="13970" b="23495"/>
            <wp:docPr id="202044664" name="Picture 5" descr="A screenshot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44664" name="Picture 5" descr="A screenshot of a diagram&#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20130" cy="3462655"/>
                    </a:xfrm>
                    <a:prstGeom prst="rect">
                      <a:avLst/>
                    </a:prstGeom>
                    <a:noFill/>
                    <a:ln>
                      <a:solidFill>
                        <a:schemeClr val="tx1"/>
                      </a:solidFill>
                    </a:ln>
                  </pic:spPr>
                </pic:pic>
              </a:graphicData>
            </a:graphic>
          </wp:inline>
        </w:drawing>
      </w:r>
    </w:p>
    <w:p w14:paraId="3853F37E" w14:textId="5BBB8F02" w:rsidR="3F3DF4E1" w:rsidRDefault="00450B01" w:rsidP="00450B01">
      <w:pPr>
        <w:pStyle w:val="Caption"/>
        <w:rPr>
          <w:rFonts w:asciiTheme="minorHAnsi" w:eastAsiaTheme="minorEastAsia" w:hAnsiTheme="minorHAnsi" w:cstheme="minorBidi"/>
          <w:i/>
          <w:color w:val="0E2841"/>
          <w:szCs w:val="20"/>
          <w:lang w:val="en-GB"/>
        </w:rPr>
      </w:pPr>
      <w:bookmarkStart w:id="316" w:name="_Toc233112240"/>
      <w:r>
        <w:t xml:space="preserve">Figure </w:t>
      </w:r>
      <w:r w:rsidR="00113348">
        <w:fldChar w:fldCharType="begin"/>
      </w:r>
      <w:r w:rsidR="00113348">
        <w:instrText xml:space="preserve"> SEQ Figure \* ARABIC </w:instrText>
      </w:r>
      <w:r w:rsidR="00113348">
        <w:fldChar w:fldCharType="separate"/>
      </w:r>
      <w:r w:rsidR="00F8092D">
        <w:rPr>
          <w:noProof/>
        </w:rPr>
        <w:t>34</w:t>
      </w:r>
      <w:r w:rsidR="00113348">
        <w:rPr>
          <w:noProof/>
        </w:rPr>
        <w:fldChar w:fldCharType="end"/>
      </w:r>
      <w:r w:rsidR="3F3DF4E1" w:rsidRPr="5BDAAB1E">
        <w:rPr>
          <w:rFonts w:ascii="Aptos" w:eastAsia="Aptos" w:hAnsi="Aptos" w:cs="Aptos"/>
          <w:i/>
          <w:color w:val="0E2841"/>
          <w:szCs w:val="20"/>
          <w:lang w:val="en-GB"/>
        </w:rPr>
        <w:t>: The comparative analysis of scenario running without TSM and with TSM enforcement.</w:t>
      </w:r>
      <w:bookmarkEnd w:id="316"/>
    </w:p>
    <w:p w14:paraId="24D2E866" w14:textId="35C9DF46" w:rsidR="3F3DF4E1" w:rsidRDefault="3F3DF4E1" w:rsidP="625B0D3D">
      <w:pPr>
        <w:spacing w:after="160" w:line="257" w:lineRule="auto"/>
        <w:rPr>
          <w:rFonts w:asciiTheme="minorHAnsi" w:eastAsiaTheme="minorEastAsia" w:hAnsiTheme="minorHAnsi" w:cstheme="minorBidi"/>
          <w:sz w:val="20"/>
          <w:szCs w:val="20"/>
          <w:lang w:val="en-GB"/>
        </w:rPr>
      </w:pPr>
      <w:r w:rsidRPr="5BDAAB1E">
        <w:rPr>
          <w:rFonts w:ascii="Aptos" w:eastAsia="Aptos" w:hAnsi="Aptos" w:cs="Aptos"/>
          <w:sz w:val="20"/>
          <w:szCs w:val="20"/>
          <w:lang w:val="en-GB"/>
        </w:rPr>
        <w:t xml:space="preserve"> </w:t>
      </w:r>
    </w:p>
    <w:p w14:paraId="0AE240EC" w14:textId="109B76C7" w:rsidR="3F3DF4E1" w:rsidRDefault="3F3DF4E1" w:rsidP="4283FF7E">
      <w:pPr>
        <w:spacing w:after="160" w:line="257" w:lineRule="auto"/>
        <w:jc w:val="both"/>
        <w:rPr>
          <w:rFonts w:asciiTheme="minorHAnsi" w:eastAsiaTheme="minorEastAsia" w:hAnsiTheme="minorHAnsi" w:cstheme="minorBidi"/>
          <w:sz w:val="24"/>
          <w:szCs w:val="24"/>
          <w:lang w:val="en-GB"/>
        </w:rPr>
      </w:pPr>
      <w:r w:rsidRPr="5BDAAB1E">
        <w:rPr>
          <w:rFonts w:asciiTheme="minorHAnsi" w:eastAsiaTheme="minorEastAsia" w:hAnsiTheme="minorHAnsi" w:cstheme="minorBidi"/>
          <w:sz w:val="24"/>
          <w:szCs w:val="24"/>
          <w:lang w:val="en-GB"/>
        </w:rPr>
        <w:t xml:space="preserve">The demonstration workflow follows six steps within the co-simulation environment as presented in </w:t>
      </w:r>
      <w:r w:rsidR="00D57441">
        <w:rPr>
          <w:rFonts w:asciiTheme="minorHAnsi" w:eastAsiaTheme="minorEastAsia" w:hAnsiTheme="minorHAnsi" w:cstheme="minorBidi"/>
          <w:sz w:val="24"/>
          <w:szCs w:val="24"/>
          <w:lang w:val="en-GB"/>
        </w:rPr>
        <w:t>f</w:t>
      </w:r>
      <w:r w:rsidRPr="5BDAAB1E">
        <w:rPr>
          <w:rFonts w:asciiTheme="minorHAnsi" w:eastAsiaTheme="minorEastAsia" w:hAnsiTheme="minorHAnsi" w:cstheme="minorBidi"/>
          <w:sz w:val="24"/>
          <w:szCs w:val="24"/>
          <w:lang w:val="en-GB"/>
        </w:rPr>
        <w:t xml:space="preserve">igure </w:t>
      </w:r>
      <w:r w:rsidR="620411F6" w:rsidRPr="5BDAAB1E">
        <w:rPr>
          <w:rFonts w:asciiTheme="minorHAnsi" w:eastAsiaTheme="minorEastAsia" w:hAnsiTheme="minorHAnsi" w:cstheme="minorBidi"/>
          <w:sz w:val="24"/>
          <w:szCs w:val="24"/>
          <w:lang w:val="en-GB"/>
        </w:rPr>
        <w:t>35</w:t>
      </w:r>
      <w:r w:rsidRPr="5BDAAB1E">
        <w:rPr>
          <w:rFonts w:asciiTheme="minorHAnsi" w:eastAsiaTheme="minorEastAsia" w:hAnsiTheme="minorHAnsi" w:cstheme="minorBidi"/>
          <w:sz w:val="24"/>
          <w:szCs w:val="24"/>
          <w:lang w:val="en-GB"/>
        </w:rPr>
        <w:t>.  The details of the steps involved in the demonstration process are:</w:t>
      </w:r>
    </w:p>
    <w:p w14:paraId="24139C21" w14:textId="389DD8C6" w:rsidR="3F3DF4E1" w:rsidRDefault="3F3DF4E1" w:rsidP="4283FF7E">
      <w:pPr>
        <w:pStyle w:val="ListParagraph"/>
        <w:numPr>
          <w:ilvl w:val="0"/>
          <w:numId w:val="60"/>
        </w:numPr>
        <w:spacing w:before="0" w:after="0" w:line="257" w:lineRule="auto"/>
        <w:jc w:val="both"/>
        <w:rPr>
          <w:rFonts w:asciiTheme="minorHAnsi" w:eastAsiaTheme="minorEastAsia" w:hAnsiTheme="minorHAnsi" w:cstheme="minorBidi"/>
          <w:lang w:val="en-GB"/>
        </w:rPr>
      </w:pPr>
      <w:r w:rsidRPr="5BDAAB1E">
        <w:rPr>
          <w:rFonts w:asciiTheme="minorHAnsi" w:eastAsiaTheme="minorEastAsia" w:hAnsiTheme="minorHAnsi" w:cstheme="minorBidi"/>
          <w:lang w:val="en-GB"/>
        </w:rPr>
        <w:t>Initialize system: Starting backend and frontend server of the co-simulation platform. Ensure the status of TSM with OPERATIONAL and trust chain enforcement with healthy.</w:t>
      </w:r>
    </w:p>
    <w:p w14:paraId="7AF7E6B6" w14:textId="3568FED1" w:rsidR="3F3DF4E1" w:rsidRDefault="3F3DF4E1" w:rsidP="4283FF7E">
      <w:pPr>
        <w:pStyle w:val="ListParagraph"/>
        <w:numPr>
          <w:ilvl w:val="0"/>
          <w:numId w:val="60"/>
        </w:numPr>
        <w:spacing w:before="0" w:after="0" w:line="257" w:lineRule="auto"/>
        <w:jc w:val="both"/>
        <w:rPr>
          <w:rFonts w:asciiTheme="minorHAnsi" w:eastAsiaTheme="minorEastAsia" w:hAnsiTheme="minorHAnsi" w:cstheme="minorBidi"/>
          <w:lang w:val="en-GB"/>
        </w:rPr>
      </w:pPr>
      <w:r w:rsidRPr="5BDAAB1E">
        <w:rPr>
          <w:rFonts w:asciiTheme="minorHAnsi" w:eastAsiaTheme="minorEastAsia" w:hAnsiTheme="minorHAnsi" w:cstheme="minorBidi"/>
          <w:lang w:val="en-GB"/>
        </w:rPr>
        <w:t xml:space="preserve">Infrastructure Deployment: The EVSE infrastructure can be deployed by adding several charging stations, adding some EVs, selecting appropriate charger types, connectors, type of charging stations, and battery chemistry. </w:t>
      </w:r>
    </w:p>
    <w:p w14:paraId="5B804138" w14:textId="53170DEF" w:rsidR="3F3DF4E1" w:rsidRDefault="3F3DF4E1" w:rsidP="4283FF7E">
      <w:pPr>
        <w:pStyle w:val="ListParagraph"/>
        <w:numPr>
          <w:ilvl w:val="0"/>
          <w:numId w:val="60"/>
        </w:numPr>
        <w:spacing w:before="0" w:after="0" w:line="257" w:lineRule="auto"/>
        <w:jc w:val="both"/>
        <w:rPr>
          <w:rFonts w:asciiTheme="minorHAnsi" w:eastAsiaTheme="minorEastAsia" w:hAnsiTheme="minorHAnsi" w:cstheme="minorBidi"/>
          <w:lang w:val="en-GB"/>
        </w:rPr>
      </w:pPr>
      <w:r w:rsidRPr="5BDAAB1E">
        <w:rPr>
          <w:rFonts w:asciiTheme="minorHAnsi" w:eastAsiaTheme="minorEastAsia" w:hAnsiTheme="minorHAnsi" w:cstheme="minorBidi"/>
          <w:lang w:val="en-GB"/>
        </w:rPr>
        <w:t xml:space="preserve">Charging session establishment: The charging process is started by clicking </w:t>
      </w:r>
      <w:r w:rsidRPr="5BDAAB1E">
        <w:rPr>
          <w:rFonts w:asciiTheme="minorHAnsi" w:eastAsiaTheme="minorEastAsia" w:hAnsiTheme="minorHAnsi" w:cstheme="minorBidi"/>
          <w:b/>
          <w:lang w:val="en-GB"/>
        </w:rPr>
        <w:t>Run</w:t>
      </w:r>
      <w:r w:rsidRPr="5BDAAB1E">
        <w:rPr>
          <w:rFonts w:asciiTheme="minorHAnsi" w:eastAsiaTheme="minorEastAsia" w:hAnsiTheme="minorHAnsi" w:cstheme="minorBidi"/>
          <w:lang w:val="en-GB"/>
        </w:rPr>
        <w:t xml:space="preserve"> to initiate the simulation process. It shows active sessions, total power delivered, average SoC, temperature, and uptime. The fleet can be selected to establish charging sessions. </w:t>
      </w:r>
    </w:p>
    <w:p w14:paraId="081CD38A" w14:textId="1A78366D" w:rsidR="3F3DF4E1" w:rsidRDefault="3F3DF4E1" w:rsidP="4283FF7E">
      <w:pPr>
        <w:pStyle w:val="ListParagraph"/>
        <w:numPr>
          <w:ilvl w:val="0"/>
          <w:numId w:val="60"/>
        </w:numPr>
        <w:spacing w:before="0" w:after="0" w:line="257" w:lineRule="auto"/>
        <w:jc w:val="both"/>
        <w:rPr>
          <w:rFonts w:asciiTheme="minorHAnsi" w:eastAsiaTheme="minorEastAsia" w:hAnsiTheme="minorHAnsi" w:cstheme="minorBidi"/>
          <w:lang w:val="en-GB"/>
        </w:rPr>
      </w:pPr>
      <w:r w:rsidRPr="5BDAAB1E">
        <w:rPr>
          <w:rFonts w:asciiTheme="minorHAnsi" w:eastAsiaTheme="minorEastAsia" w:hAnsiTheme="minorHAnsi" w:cstheme="minorBidi"/>
          <w:lang w:val="en-GB"/>
        </w:rPr>
        <w:t>Inject firmware threat: In the meantime, the firmware update scenario is run to observe the malicious firmware update with invalid OEM signatures, missing ASD signatures, revoked signers, and anti-rollback attacks.</w:t>
      </w:r>
    </w:p>
    <w:p w14:paraId="31391398" w14:textId="12F4F1E1" w:rsidR="3F3DF4E1" w:rsidRDefault="3F3DF4E1" w:rsidP="4283FF7E">
      <w:pPr>
        <w:pStyle w:val="ListParagraph"/>
        <w:numPr>
          <w:ilvl w:val="0"/>
          <w:numId w:val="60"/>
        </w:numPr>
        <w:spacing w:before="0" w:after="0" w:line="257" w:lineRule="auto"/>
        <w:jc w:val="both"/>
        <w:rPr>
          <w:rFonts w:asciiTheme="minorHAnsi" w:eastAsiaTheme="minorEastAsia" w:hAnsiTheme="minorHAnsi" w:cstheme="minorBidi"/>
          <w:lang w:val="en-GB"/>
        </w:rPr>
      </w:pPr>
      <w:r w:rsidRPr="5BDAAB1E">
        <w:rPr>
          <w:rFonts w:asciiTheme="minorHAnsi" w:eastAsiaTheme="minorEastAsia" w:hAnsiTheme="minorHAnsi" w:cstheme="minorBidi"/>
          <w:lang w:val="en-GB"/>
        </w:rPr>
        <w:t>Observe TSM response: The TSM enforces the OPERATIONAL state for each scenario, permitting valid firmware updates while rejecting all malicious variants. The system successfully detects the invalid_signature attack, triggering the FAIL_SAFE operation, and subsequently resumes normal operation of the EVSE infrastructure.</w:t>
      </w:r>
    </w:p>
    <w:p w14:paraId="3036C495" w14:textId="2C1CBE3E" w:rsidR="3F3DF4E1" w:rsidRDefault="3F3DF4E1" w:rsidP="4283FF7E">
      <w:pPr>
        <w:pStyle w:val="ListParagraph"/>
        <w:numPr>
          <w:ilvl w:val="0"/>
          <w:numId w:val="60"/>
        </w:numPr>
        <w:spacing w:before="0" w:after="0" w:line="257" w:lineRule="auto"/>
        <w:jc w:val="both"/>
        <w:rPr>
          <w:rFonts w:asciiTheme="minorHAnsi" w:eastAsiaTheme="minorEastAsia" w:hAnsiTheme="minorHAnsi" w:cstheme="minorBidi"/>
          <w:lang w:val="en-GB"/>
        </w:rPr>
      </w:pPr>
      <w:r w:rsidRPr="5BDAAB1E">
        <w:rPr>
          <w:rFonts w:asciiTheme="minorHAnsi" w:eastAsiaTheme="minorEastAsia" w:hAnsiTheme="minorHAnsi" w:cstheme="minorBidi"/>
          <w:lang w:val="en-GB"/>
        </w:rPr>
        <w:t xml:space="preserve">Measure grid impact: The grid impact is measured in TSM bypass and TSM enforced modes. The grid stability is maintained within GSE boundaries due to TSM enforcement trust chain pipeline. </w:t>
      </w:r>
    </w:p>
    <w:p w14:paraId="7BCBA08D" w14:textId="3E343A00" w:rsidR="6A9E576F" w:rsidRDefault="6A9E576F" w:rsidP="65AFEC89">
      <w:pPr>
        <w:spacing w:after="0" w:line="257" w:lineRule="auto"/>
        <w:ind w:left="360"/>
        <w:rPr>
          <w:rFonts w:asciiTheme="minorHAnsi" w:eastAsiaTheme="minorEastAsia" w:hAnsiTheme="minorHAnsi" w:cstheme="minorBidi"/>
          <w:lang w:val="en-GB"/>
        </w:rPr>
      </w:pPr>
    </w:p>
    <w:p w14:paraId="22F21DE3" w14:textId="37287920" w:rsidR="0075413B" w:rsidRDefault="0075413B" w:rsidP="0075413B">
      <w:pPr>
        <w:spacing w:after="160" w:line="257" w:lineRule="auto"/>
        <w:ind w:left="360"/>
        <w:rPr>
          <w:rFonts w:asciiTheme="minorHAnsi" w:eastAsiaTheme="minorEastAsia" w:hAnsiTheme="minorHAnsi" w:cstheme="minorBidi"/>
        </w:rPr>
      </w:pPr>
    </w:p>
    <w:p w14:paraId="09788AF7" w14:textId="4A0AA352" w:rsidR="0075413B" w:rsidRDefault="0075413B" w:rsidP="00C9731C">
      <w:pPr>
        <w:spacing w:after="160" w:line="257" w:lineRule="auto"/>
        <w:ind w:left="360"/>
        <w:jc w:val="center"/>
        <w:rPr>
          <w:rFonts w:asciiTheme="minorHAnsi" w:eastAsiaTheme="minorEastAsia" w:hAnsiTheme="minorHAnsi" w:cstheme="minorBidi"/>
        </w:rPr>
      </w:pPr>
      <w:r>
        <w:rPr>
          <w:noProof/>
        </w:rPr>
        <w:drawing>
          <wp:inline distT="0" distB="0" distL="0" distR="0" wp14:anchorId="2A025219" wp14:editId="6C972608">
            <wp:extent cx="6120130" cy="2637155"/>
            <wp:effectExtent l="19050" t="19050" r="13970" b="10795"/>
            <wp:docPr id="655381453" name="Picture 6" descr="A diagram of a software pro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381453" name="Picture 6" descr="A diagram of a software project&#10;&#10;AI-generated content may be incorrect."/>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20130" cy="2637155"/>
                    </a:xfrm>
                    <a:prstGeom prst="rect">
                      <a:avLst/>
                    </a:prstGeom>
                    <a:noFill/>
                    <a:ln>
                      <a:solidFill>
                        <a:schemeClr val="tx1"/>
                      </a:solidFill>
                    </a:ln>
                  </pic:spPr>
                </pic:pic>
              </a:graphicData>
            </a:graphic>
          </wp:inline>
        </w:drawing>
      </w:r>
    </w:p>
    <w:p w14:paraId="7CB687C0" w14:textId="7FC0E544" w:rsidR="3F3DF4E1" w:rsidRDefault="00450B01" w:rsidP="00450B01">
      <w:pPr>
        <w:pStyle w:val="Caption"/>
        <w:rPr>
          <w:rFonts w:asciiTheme="minorHAnsi" w:eastAsiaTheme="minorEastAsia" w:hAnsiTheme="minorHAnsi" w:cstheme="minorBidi"/>
          <w:i/>
          <w:color w:val="0E2841"/>
          <w:szCs w:val="20"/>
          <w:lang w:val="en-GB"/>
        </w:rPr>
      </w:pPr>
      <w:bookmarkStart w:id="317" w:name="_Toc233112241"/>
      <w:r>
        <w:t xml:space="preserve">Figure </w:t>
      </w:r>
      <w:r w:rsidR="00113348">
        <w:fldChar w:fldCharType="begin"/>
      </w:r>
      <w:r w:rsidR="00113348">
        <w:instrText xml:space="preserve"> SEQ Figure \* ARABIC </w:instrText>
      </w:r>
      <w:r w:rsidR="00113348">
        <w:fldChar w:fldCharType="separate"/>
      </w:r>
      <w:r w:rsidR="00F8092D">
        <w:rPr>
          <w:noProof/>
        </w:rPr>
        <w:t>35</w:t>
      </w:r>
      <w:r w:rsidR="00113348">
        <w:rPr>
          <w:noProof/>
        </w:rPr>
        <w:fldChar w:fldCharType="end"/>
      </w:r>
      <w:r>
        <w:rPr>
          <w:rFonts w:ascii="Aptos" w:eastAsia="Aptos" w:hAnsi="Aptos" w:cs="Aptos"/>
          <w:i/>
          <w:color w:val="0E2841"/>
          <w:szCs w:val="20"/>
          <w:lang w:val="en-GB"/>
        </w:rPr>
        <w:t>:</w:t>
      </w:r>
      <w:r w:rsidR="3F3DF4E1" w:rsidRPr="5BDAAB1E">
        <w:rPr>
          <w:rFonts w:ascii="Aptos" w:eastAsia="Aptos" w:hAnsi="Aptos" w:cs="Aptos"/>
          <w:i/>
          <w:color w:val="0E2841"/>
          <w:szCs w:val="20"/>
          <w:lang w:val="en-GB"/>
        </w:rPr>
        <w:t>The sequence of six steps demonstration flow for running simulation scenarios.</w:t>
      </w:r>
      <w:bookmarkEnd w:id="317"/>
    </w:p>
    <w:p w14:paraId="4E041CE4" w14:textId="675057B6" w:rsidR="3F3DF4E1" w:rsidRDefault="3F3DF4E1" w:rsidP="625B0D3D">
      <w:pPr>
        <w:spacing w:after="160" w:line="257" w:lineRule="auto"/>
        <w:rPr>
          <w:rFonts w:asciiTheme="minorHAnsi" w:eastAsiaTheme="minorEastAsia" w:hAnsiTheme="minorHAnsi" w:cstheme="minorBidi"/>
          <w:sz w:val="20"/>
          <w:szCs w:val="20"/>
          <w:lang w:val="en-GB"/>
        </w:rPr>
      </w:pPr>
      <w:r w:rsidRPr="5BDAAB1E">
        <w:rPr>
          <w:rFonts w:ascii="Aptos" w:eastAsia="Aptos" w:hAnsi="Aptos" w:cs="Aptos"/>
          <w:sz w:val="20"/>
          <w:szCs w:val="20"/>
          <w:lang w:val="en-GB"/>
        </w:rPr>
        <w:t xml:space="preserve"> </w:t>
      </w:r>
    </w:p>
    <w:p w14:paraId="7B3D9C25" w14:textId="3CDF8753" w:rsidR="3F3DF4E1" w:rsidRDefault="3F3DF4E1" w:rsidP="625B0D3D">
      <w:pPr>
        <w:pStyle w:val="Heading4"/>
        <w:spacing w:before="80" w:after="40" w:line="257" w:lineRule="auto"/>
        <w:rPr>
          <w:rFonts w:asciiTheme="minorHAnsi" w:eastAsiaTheme="minorEastAsia" w:hAnsiTheme="minorHAnsi" w:cstheme="minorBidi"/>
          <w:i/>
          <w:color w:val="auto"/>
          <w:lang w:val="en-GB"/>
        </w:rPr>
      </w:pPr>
      <w:r w:rsidRPr="355BB8CA">
        <w:rPr>
          <w:rFonts w:ascii="Aptos" w:eastAsia="Aptos" w:hAnsi="Aptos" w:cs="Aptos"/>
          <w:i/>
          <w:color w:val="auto"/>
          <w:szCs w:val="24"/>
          <w:lang w:val="en-GB"/>
        </w:rPr>
        <w:t>3.5.7.1. Demonstrated Firmware Update Scenarios</w:t>
      </w:r>
    </w:p>
    <w:p w14:paraId="265DB25A" w14:textId="4F163D79" w:rsidR="3F3DF4E1" w:rsidRDefault="3F3DF4E1" w:rsidP="7A7826E1">
      <w:pPr>
        <w:spacing w:after="160" w:line="257" w:lineRule="auto"/>
        <w:jc w:val="both"/>
        <w:rPr>
          <w:rFonts w:asciiTheme="minorHAnsi" w:eastAsiaTheme="minorEastAsia" w:hAnsiTheme="minorHAnsi" w:cstheme="minorBidi"/>
          <w:sz w:val="24"/>
          <w:szCs w:val="24"/>
          <w:lang w:val="en-GB"/>
        </w:rPr>
      </w:pPr>
      <w:r w:rsidRPr="355BB8CA">
        <w:rPr>
          <w:rFonts w:asciiTheme="minorHAnsi" w:eastAsiaTheme="minorEastAsia" w:hAnsiTheme="minorHAnsi" w:cstheme="minorBidi"/>
          <w:sz w:val="24"/>
          <w:szCs w:val="24"/>
          <w:lang w:val="en-GB"/>
        </w:rPr>
        <w:t xml:space="preserve">In the demonstration of firmware update scenarios, five sub-scenarios are considered to evaluate the successful enforcement of TSM policies and the trust chain. </w:t>
      </w:r>
    </w:p>
    <w:p w14:paraId="49024EA3" w14:textId="0D327746" w:rsidR="3F3DF4E1" w:rsidRDefault="3F3DF4E1" w:rsidP="7A7826E1">
      <w:pPr>
        <w:spacing w:after="160" w:line="257" w:lineRule="auto"/>
        <w:jc w:val="both"/>
        <w:rPr>
          <w:rFonts w:asciiTheme="minorHAnsi" w:eastAsiaTheme="minorEastAsia" w:hAnsiTheme="minorHAnsi" w:cstheme="minorBidi"/>
          <w:sz w:val="24"/>
          <w:szCs w:val="24"/>
          <w:lang w:val="en-GB"/>
        </w:rPr>
      </w:pPr>
      <w:r w:rsidRPr="355BB8CA">
        <w:rPr>
          <w:rFonts w:asciiTheme="minorHAnsi" w:eastAsiaTheme="minorEastAsia" w:hAnsiTheme="minorHAnsi" w:cstheme="minorBidi"/>
          <w:b/>
          <w:sz w:val="24"/>
          <w:szCs w:val="24"/>
          <w:lang w:val="en-GB"/>
        </w:rPr>
        <w:t xml:space="preserve">Scenario 1 </w:t>
      </w:r>
      <w:r w:rsidR="0F5EEEDA" w:rsidRPr="355BB8CA">
        <w:rPr>
          <w:rFonts w:asciiTheme="minorHAnsi" w:eastAsiaTheme="minorEastAsia" w:hAnsiTheme="minorHAnsi" w:cstheme="minorBidi"/>
          <w:b/>
          <w:sz w:val="24"/>
          <w:szCs w:val="24"/>
        </w:rPr>
        <w:t>—</w:t>
      </w:r>
      <w:r w:rsidRPr="355BB8CA">
        <w:rPr>
          <w:rFonts w:asciiTheme="minorHAnsi" w:eastAsiaTheme="minorEastAsia" w:hAnsiTheme="minorHAnsi" w:cstheme="minorBidi"/>
          <w:b/>
          <w:sz w:val="24"/>
          <w:szCs w:val="24"/>
          <w:lang w:val="en-GB"/>
        </w:rPr>
        <w:t xml:space="preserve"> TSM-enabled Firmware Update:</w:t>
      </w:r>
      <w:r w:rsidRPr="355BB8CA">
        <w:rPr>
          <w:rFonts w:asciiTheme="minorHAnsi" w:eastAsiaTheme="minorEastAsia" w:hAnsiTheme="minorHAnsi" w:cstheme="minorBidi"/>
          <w:sz w:val="24"/>
          <w:szCs w:val="24"/>
          <w:lang w:val="en-GB"/>
        </w:rPr>
        <w:t xml:space="preserve"> The TSM enforcement firmware update process allows legitimate firmware version 2.1.0 having valid OEM signatures, ASD counter signatures, version counting policies, hash matching, and validating trust chain complaints. The TSM enforcement checks and validates the process and updates firmware by executing the  TSM-enabled security pipeline and ensure TSM state is OPERATIONAL. </w:t>
      </w:r>
    </w:p>
    <w:p w14:paraId="19649A38" w14:textId="093B8167" w:rsidR="3F3DF4E1" w:rsidRDefault="3F3DF4E1" w:rsidP="7A7826E1">
      <w:pPr>
        <w:spacing w:after="160" w:line="257" w:lineRule="auto"/>
        <w:jc w:val="both"/>
        <w:rPr>
          <w:rFonts w:asciiTheme="minorHAnsi" w:eastAsiaTheme="minorEastAsia" w:hAnsiTheme="minorHAnsi" w:cstheme="minorBidi"/>
          <w:sz w:val="24"/>
          <w:szCs w:val="24"/>
          <w:lang w:val="en-GB"/>
        </w:rPr>
      </w:pPr>
      <w:r w:rsidRPr="355BB8CA">
        <w:rPr>
          <w:rFonts w:asciiTheme="minorHAnsi" w:eastAsiaTheme="minorEastAsia" w:hAnsiTheme="minorHAnsi" w:cstheme="minorBidi"/>
          <w:b/>
          <w:sz w:val="24"/>
          <w:szCs w:val="24"/>
          <w:lang w:val="en-GB"/>
        </w:rPr>
        <w:t>Experimental result:</w:t>
      </w:r>
      <w:r w:rsidRPr="355BB8CA">
        <w:rPr>
          <w:rFonts w:asciiTheme="minorHAnsi" w:eastAsiaTheme="minorEastAsia" w:hAnsiTheme="minorHAnsi" w:cstheme="minorBidi"/>
          <w:sz w:val="24"/>
          <w:szCs w:val="24"/>
          <w:lang w:val="en-GB"/>
        </w:rPr>
        <w:t xml:space="preserve"> The TSM  enforcement allows the process of firmware update, the trace ID TRACE-000013 is generated, and the whole telemetry and events are recorded.</w:t>
      </w:r>
    </w:p>
    <w:p w14:paraId="3CAD7820" w14:textId="47B8522D" w:rsidR="3F3DF4E1" w:rsidRDefault="3F3DF4E1" w:rsidP="7A7826E1">
      <w:pPr>
        <w:spacing w:after="160" w:line="257" w:lineRule="auto"/>
        <w:jc w:val="both"/>
        <w:rPr>
          <w:rFonts w:asciiTheme="minorHAnsi" w:eastAsiaTheme="minorEastAsia" w:hAnsiTheme="minorHAnsi" w:cstheme="minorBidi"/>
          <w:sz w:val="24"/>
          <w:szCs w:val="24"/>
          <w:lang w:val="en-GB"/>
        </w:rPr>
      </w:pPr>
      <w:r w:rsidRPr="355BB8CA">
        <w:rPr>
          <w:rFonts w:asciiTheme="minorHAnsi" w:eastAsiaTheme="minorEastAsia" w:hAnsiTheme="minorHAnsi" w:cstheme="minorBidi"/>
          <w:sz w:val="24"/>
          <w:szCs w:val="24"/>
          <w:lang w:val="en-GB"/>
        </w:rPr>
        <w:t xml:space="preserve"> </w:t>
      </w:r>
    </w:p>
    <w:p w14:paraId="731DCCCE" w14:textId="6A0B5A27" w:rsidR="3F3DF4E1" w:rsidRDefault="3F3DF4E1" w:rsidP="7A7826E1">
      <w:pPr>
        <w:spacing w:after="160" w:line="257" w:lineRule="auto"/>
        <w:jc w:val="both"/>
        <w:rPr>
          <w:rFonts w:asciiTheme="minorHAnsi" w:eastAsiaTheme="minorEastAsia" w:hAnsiTheme="minorHAnsi" w:cstheme="minorBidi"/>
          <w:sz w:val="24"/>
          <w:szCs w:val="24"/>
        </w:rPr>
      </w:pPr>
      <w:r w:rsidRPr="355BB8CA">
        <w:rPr>
          <w:rFonts w:asciiTheme="minorHAnsi" w:eastAsiaTheme="minorEastAsia" w:hAnsiTheme="minorHAnsi" w:cstheme="minorBidi"/>
          <w:b/>
          <w:sz w:val="24"/>
          <w:szCs w:val="24"/>
        </w:rPr>
        <w:t>Scenario 2 — Missing ASD Counter Signature:</w:t>
      </w:r>
      <w:r w:rsidRPr="355BB8CA">
        <w:rPr>
          <w:rFonts w:asciiTheme="minorHAnsi" w:eastAsiaTheme="minorEastAsia" w:hAnsiTheme="minorHAnsi" w:cstheme="minorBidi"/>
          <w:sz w:val="24"/>
          <w:szCs w:val="24"/>
        </w:rPr>
        <w:t xml:space="preserve"> In this scenario, the firmware image is signed only by the OEM and requires a sovereign authority to provide a </w:t>
      </w:r>
      <w:bookmarkStart w:id="318" w:name="_Int_oT5WVHtd"/>
      <w:r w:rsidRPr="355BB8CA">
        <w:rPr>
          <w:rFonts w:asciiTheme="minorHAnsi" w:eastAsiaTheme="minorEastAsia" w:hAnsiTheme="minorHAnsi" w:cstheme="minorBidi"/>
          <w:sz w:val="24"/>
          <w:szCs w:val="24"/>
        </w:rPr>
        <w:t>counter-signature</w:t>
      </w:r>
      <w:bookmarkEnd w:id="318"/>
      <w:r w:rsidRPr="355BB8CA">
        <w:rPr>
          <w:rFonts w:asciiTheme="minorHAnsi" w:eastAsiaTheme="minorEastAsia" w:hAnsiTheme="minorHAnsi" w:cstheme="minorBidi"/>
          <w:sz w:val="24"/>
          <w:szCs w:val="24"/>
        </w:rPr>
        <w:t>. When the ASD counter-signature is missing, the external validation trust anchor fails, breaking the trust chain.</w:t>
      </w:r>
    </w:p>
    <w:p w14:paraId="3956987F" w14:textId="29338F01" w:rsidR="3F3DF4E1" w:rsidRDefault="3F3DF4E1" w:rsidP="7A7826E1">
      <w:pPr>
        <w:spacing w:after="160" w:line="257" w:lineRule="auto"/>
        <w:jc w:val="both"/>
        <w:rPr>
          <w:rFonts w:asciiTheme="minorHAnsi" w:eastAsiaTheme="minorEastAsia" w:hAnsiTheme="minorHAnsi" w:cstheme="minorBidi"/>
          <w:sz w:val="24"/>
          <w:szCs w:val="24"/>
        </w:rPr>
      </w:pPr>
      <w:r w:rsidRPr="355BB8CA">
        <w:rPr>
          <w:rFonts w:asciiTheme="minorHAnsi" w:eastAsiaTheme="minorEastAsia" w:hAnsiTheme="minorHAnsi" w:cstheme="minorBidi"/>
          <w:b/>
          <w:sz w:val="24"/>
          <w:szCs w:val="24"/>
        </w:rPr>
        <w:t xml:space="preserve">Experimental result: </w:t>
      </w:r>
      <w:r w:rsidRPr="355BB8CA">
        <w:rPr>
          <w:rFonts w:asciiTheme="minorHAnsi" w:eastAsiaTheme="minorEastAsia" w:hAnsiTheme="minorHAnsi" w:cstheme="minorBidi"/>
          <w:sz w:val="24"/>
          <w:szCs w:val="24"/>
        </w:rPr>
        <w:t>The firmware update process is denied, all protocol-related interactions are captured, and the relevant events are recorded.</w:t>
      </w:r>
    </w:p>
    <w:p w14:paraId="2A1D442A" w14:textId="5E2E2C21" w:rsidR="3F3DF4E1" w:rsidRDefault="3F3DF4E1" w:rsidP="7A7826E1">
      <w:pPr>
        <w:spacing w:after="160" w:line="257" w:lineRule="auto"/>
        <w:jc w:val="both"/>
        <w:rPr>
          <w:rFonts w:asciiTheme="minorHAnsi" w:eastAsiaTheme="minorEastAsia" w:hAnsiTheme="minorHAnsi" w:cstheme="minorBidi"/>
          <w:sz w:val="24"/>
          <w:szCs w:val="24"/>
        </w:rPr>
      </w:pPr>
      <w:r w:rsidRPr="355BB8CA">
        <w:rPr>
          <w:rFonts w:asciiTheme="minorHAnsi" w:eastAsiaTheme="minorEastAsia" w:hAnsiTheme="minorHAnsi" w:cstheme="minorBidi"/>
          <w:sz w:val="24"/>
          <w:szCs w:val="24"/>
        </w:rPr>
        <w:t xml:space="preserve"> </w:t>
      </w:r>
    </w:p>
    <w:p w14:paraId="2167490C" w14:textId="402DB762" w:rsidR="3F3DF4E1" w:rsidRDefault="3F3DF4E1" w:rsidP="7A7826E1">
      <w:pPr>
        <w:spacing w:after="160" w:line="257" w:lineRule="auto"/>
        <w:jc w:val="both"/>
        <w:rPr>
          <w:rFonts w:asciiTheme="minorHAnsi" w:eastAsiaTheme="minorEastAsia" w:hAnsiTheme="minorHAnsi" w:cstheme="minorBidi"/>
          <w:sz w:val="24"/>
          <w:szCs w:val="24"/>
        </w:rPr>
      </w:pPr>
      <w:r w:rsidRPr="355BB8CA">
        <w:rPr>
          <w:rFonts w:asciiTheme="minorHAnsi" w:eastAsiaTheme="minorEastAsia" w:hAnsiTheme="minorHAnsi" w:cstheme="minorBidi"/>
          <w:b/>
          <w:sz w:val="24"/>
          <w:szCs w:val="24"/>
        </w:rPr>
        <w:t>Scenario 3 — Firmware Rollback Attack:</w:t>
      </w:r>
      <w:r w:rsidRPr="355BB8CA">
        <w:rPr>
          <w:rFonts w:asciiTheme="minorHAnsi" w:eastAsiaTheme="minorEastAsia" w:hAnsiTheme="minorHAnsi" w:cstheme="minorBidi"/>
          <w:sz w:val="24"/>
          <w:szCs w:val="24"/>
        </w:rPr>
        <w:t xml:space="preserve"> In this scenario, an attacker attempts to install an older, vulnerable firmware version. The golden hash is computed, and the anti-rollback counter detects the discrepancy. The update process fails within the secure boot trust chain, resulting in rejection of the firmware update.</w:t>
      </w:r>
    </w:p>
    <w:p w14:paraId="6EDA6203" w14:textId="40CEE663" w:rsidR="3F3DF4E1" w:rsidRDefault="3F3DF4E1" w:rsidP="7A7826E1">
      <w:pPr>
        <w:spacing w:after="160" w:line="257" w:lineRule="auto"/>
        <w:jc w:val="both"/>
        <w:rPr>
          <w:rFonts w:asciiTheme="minorHAnsi" w:eastAsiaTheme="minorEastAsia" w:hAnsiTheme="minorHAnsi" w:cstheme="minorBidi"/>
          <w:sz w:val="24"/>
          <w:szCs w:val="24"/>
        </w:rPr>
      </w:pPr>
      <w:r w:rsidRPr="355BB8CA">
        <w:rPr>
          <w:rFonts w:asciiTheme="minorHAnsi" w:eastAsiaTheme="minorEastAsia" w:hAnsiTheme="minorHAnsi" w:cstheme="minorBidi"/>
          <w:b/>
          <w:sz w:val="24"/>
          <w:szCs w:val="24"/>
        </w:rPr>
        <w:t xml:space="preserve">Experimental result: </w:t>
      </w:r>
      <w:r w:rsidRPr="355BB8CA">
        <w:rPr>
          <w:rFonts w:asciiTheme="minorHAnsi" w:eastAsiaTheme="minorEastAsia" w:hAnsiTheme="minorHAnsi" w:cstheme="minorBidi"/>
          <w:sz w:val="24"/>
          <w:szCs w:val="24"/>
        </w:rPr>
        <w:t>Anti-rollback policies are triggered, and the Update TSM enforces anti-rollback measures to restore the previous, secure firmware version.</w:t>
      </w:r>
    </w:p>
    <w:p w14:paraId="544E4428" w14:textId="5D4A7509" w:rsidR="3F3DF4E1" w:rsidRDefault="3F3DF4E1" w:rsidP="7A7826E1">
      <w:pPr>
        <w:spacing w:after="160" w:line="257" w:lineRule="auto"/>
        <w:jc w:val="both"/>
        <w:rPr>
          <w:rFonts w:asciiTheme="minorHAnsi" w:eastAsiaTheme="minorEastAsia" w:hAnsiTheme="minorHAnsi" w:cstheme="minorBidi"/>
          <w:sz w:val="24"/>
          <w:szCs w:val="24"/>
        </w:rPr>
      </w:pPr>
      <w:r w:rsidRPr="355BB8CA">
        <w:rPr>
          <w:rFonts w:asciiTheme="minorHAnsi" w:eastAsiaTheme="minorEastAsia" w:hAnsiTheme="minorHAnsi" w:cstheme="minorBidi"/>
          <w:sz w:val="24"/>
          <w:szCs w:val="24"/>
        </w:rPr>
        <w:t xml:space="preserve"> </w:t>
      </w:r>
    </w:p>
    <w:p w14:paraId="563B595F" w14:textId="3EA92715" w:rsidR="3F3DF4E1" w:rsidRDefault="3F3DF4E1" w:rsidP="7A7826E1">
      <w:pPr>
        <w:spacing w:after="160" w:line="257" w:lineRule="auto"/>
        <w:jc w:val="both"/>
        <w:rPr>
          <w:rFonts w:asciiTheme="minorHAnsi" w:eastAsiaTheme="minorEastAsia" w:hAnsiTheme="minorHAnsi" w:cstheme="minorBidi"/>
          <w:sz w:val="24"/>
          <w:szCs w:val="24"/>
        </w:rPr>
      </w:pPr>
      <w:r w:rsidRPr="355BB8CA">
        <w:rPr>
          <w:rFonts w:asciiTheme="minorHAnsi" w:eastAsiaTheme="minorEastAsia" w:hAnsiTheme="minorHAnsi" w:cstheme="minorBidi"/>
          <w:b/>
          <w:sz w:val="24"/>
          <w:szCs w:val="24"/>
        </w:rPr>
        <w:t xml:space="preserve">Scenario 4 — Invalid OEM Signatures: </w:t>
      </w:r>
      <w:r w:rsidRPr="355BB8CA">
        <w:rPr>
          <w:rFonts w:asciiTheme="minorHAnsi" w:eastAsiaTheme="minorEastAsia" w:hAnsiTheme="minorHAnsi" w:cstheme="minorBidi"/>
          <w:sz w:val="24"/>
          <w:szCs w:val="24"/>
        </w:rPr>
        <w:t>In this scenario, the OEM signature is forged or corrupted during a firmware update request. Within the TSM security pipeline, the trust chain is activated, and the ECDSA-P256 verification fails at the secure boot stage. The TSM enforces the FAIL_SAFE state.</w:t>
      </w:r>
    </w:p>
    <w:p w14:paraId="6E46E991" w14:textId="51026B83" w:rsidR="3F3DF4E1" w:rsidRDefault="3F3DF4E1" w:rsidP="7A7826E1">
      <w:pPr>
        <w:spacing w:after="160" w:line="257" w:lineRule="auto"/>
        <w:jc w:val="both"/>
        <w:rPr>
          <w:rFonts w:asciiTheme="minorHAnsi" w:eastAsiaTheme="minorEastAsia" w:hAnsiTheme="minorHAnsi" w:cstheme="minorBidi"/>
          <w:sz w:val="24"/>
          <w:szCs w:val="24"/>
        </w:rPr>
      </w:pPr>
      <w:r w:rsidRPr="355BB8CA">
        <w:rPr>
          <w:rFonts w:asciiTheme="minorHAnsi" w:eastAsiaTheme="minorEastAsia" w:hAnsiTheme="minorHAnsi" w:cstheme="minorBidi"/>
          <w:b/>
          <w:sz w:val="24"/>
          <w:szCs w:val="24"/>
        </w:rPr>
        <w:t>Experimental result:</w:t>
      </w:r>
      <w:r w:rsidRPr="355BB8CA">
        <w:rPr>
          <w:rFonts w:asciiTheme="minorHAnsi" w:eastAsiaTheme="minorEastAsia" w:hAnsiTheme="minorHAnsi" w:cstheme="minorBidi"/>
          <w:sz w:val="24"/>
          <w:szCs w:val="24"/>
        </w:rPr>
        <w:t xml:space="preserve"> The charging process is suspended, and the contactors are opened due to the TSM being in the FAIL_SAFE state.</w:t>
      </w:r>
    </w:p>
    <w:p w14:paraId="1A3E7C3D" w14:textId="47AC8C68" w:rsidR="3F3DF4E1" w:rsidRDefault="3F3DF4E1" w:rsidP="7A7826E1">
      <w:pPr>
        <w:spacing w:after="160" w:line="257" w:lineRule="auto"/>
        <w:jc w:val="both"/>
        <w:rPr>
          <w:rFonts w:asciiTheme="minorHAnsi" w:eastAsiaTheme="minorEastAsia" w:hAnsiTheme="minorHAnsi" w:cstheme="minorBidi"/>
          <w:sz w:val="24"/>
          <w:szCs w:val="24"/>
        </w:rPr>
      </w:pPr>
      <w:r w:rsidRPr="355BB8CA">
        <w:rPr>
          <w:rFonts w:asciiTheme="minorHAnsi" w:eastAsiaTheme="minorEastAsia" w:hAnsiTheme="minorHAnsi" w:cstheme="minorBidi"/>
          <w:b/>
          <w:sz w:val="24"/>
          <w:szCs w:val="24"/>
        </w:rPr>
        <w:t xml:space="preserve">Scenario 5 — Revoked Signer Certificate: </w:t>
      </w:r>
      <w:r w:rsidRPr="355BB8CA">
        <w:rPr>
          <w:rFonts w:asciiTheme="minorHAnsi" w:eastAsiaTheme="minorEastAsia" w:hAnsiTheme="minorHAnsi" w:cstheme="minorBidi"/>
          <w:sz w:val="24"/>
          <w:szCs w:val="24"/>
        </w:rPr>
        <w:t>In this scenario, the firmware image is signed with an ASD key that has been compromised and listed in the CRL. Verification against the revocation list fails, and the firmware update process is denied.</w:t>
      </w:r>
    </w:p>
    <w:p w14:paraId="00D86681" w14:textId="1367710F" w:rsidR="3F3DF4E1" w:rsidRDefault="3F3DF4E1" w:rsidP="7A7826E1">
      <w:pPr>
        <w:spacing w:after="160" w:line="257" w:lineRule="auto"/>
        <w:jc w:val="both"/>
        <w:rPr>
          <w:rFonts w:asciiTheme="minorHAnsi" w:eastAsiaTheme="minorEastAsia" w:hAnsiTheme="minorHAnsi" w:cstheme="minorBidi"/>
          <w:sz w:val="24"/>
          <w:szCs w:val="24"/>
        </w:rPr>
      </w:pPr>
      <w:r w:rsidRPr="355BB8CA">
        <w:rPr>
          <w:rFonts w:asciiTheme="minorHAnsi" w:eastAsiaTheme="minorEastAsia" w:hAnsiTheme="minorHAnsi" w:cstheme="minorBidi"/>
          <w:sz w:val="24"/>
          <w:szCs w:val="24"/>
        </w:rPr>
        <w:t>Experimental result: The TSM enforces the trust chain and maintains the OPERATIONAL state within the co-simulation platform.</w:t>
      </w:r>
    </w:p>
    <w:p w14:paraId="1A1AC3CC" w14:textId="5FEDD352" w:rsidR="3F3DF4E1" w:rsidRDefault="3F3DF4E1" w:rsidP="625B0D3D">
      <w:pPr>
        <w:spacing w:after="160" w:line="257" w:lineRule="auto"/>
        <w:rPr>
          <w:rFonts w:asciiTheme="minorHAnsi" w:eastAsiaTheme="minorEastAsia" w:hAnsiTheme="minorHAnsi" w:cstheme="minorBidi"/>
        </w:rPr>
      </w:pPr>
      <w:r w:rsidRPr="625B0D3D">
        <w:rPr>
          <w:rFonts w:ascii="Aptos" w:eastAsia="Aptos" w:hAnsi="Aptos" w:cs="Aptos"/>
        </w:rPr>
        <w:t xml:space="preserve"> </w:t>
      </w:r>
    </w:p>
    <w:p w14:paraId="3CFB1643" w14:textId="02A29DE7" w:rsidR="489D292A" w:rsidRDefault="489D292A" w:rsidP="2F2148CE">
      <w:pPr>
        <w:pStyle w:val="Heading3"/>
        <w:spacing w:before="160" w:after="80" w:line="257" w:lineRule="auto"/>
        <w:rPr>
          <w:rFonts w:asciiTheme="minorHAnsi" w:eastAsiaTheme="minorEastAsia" w:hAnsiTheme="minorHAnsi" w:cstheme="minorBidi"/>
          <w:sz w:val="28"/>
          <w:szCs w:val="28"/>
          <w:lang w:val="en-GB"/>
        </w:rPr>
      </w:pPr>
      <w:bookmarkStart w:id="319" w:name="_Toc234310832"/>
      <w:r w:rsidRPr="2F2148CE">
        <w:rPr>
          <w:rFonts w:ascii="Aptos" w:eastAsia="Aptos" w:hAnsi="Aptos" w:cs="Aptos"/>
          <w:sz w:val="28"/>
          <w:szCs w:val="28"/>
          <w:lang w:val="en-GB"/>
        </w:rPr>
        <w:t>Evaluation and Results</w:t>
      </w:r>
      <w:bookmarkEnd w:id="319"/>
      <w:r w:rsidRPr="2F2148CE">
        <w:rPr>
          <w:rFonts w:ascii="Aptos" w:eastAsia="Aptos" w:hAnsi="Aptos" w:cs="Aptos"/>
          <w:sz w:val="28"/>
          <w:szCs w:val="28"/>
          <w:lang w:val="en-GB"/>
        </w:rPr>
        <w:t xml:space="preserve"> </w:t>
      </w:r>
    </w:p>
    <w:p w14:paraId="300F0B75" w14:textId="342B0448" w:rsidR="3F3DF4E1" w:rsidRDefault="3F3DF4E1" w:rsidP="7A7826E1">
      <w:pPr>
        <w:spacing w:after="160" w:line="257" w:lineRule="auto"/>
        <w:jc w:val="both"/>
        <w:rPr>
          <w:rFonts w:asciiTheme="minorHAnsi" w:eastAsiaTheme="minorEastAsia" w:hAnsiTheme="minorHAnsi" w:cstheme="minorBidi"/>
          <w:sz w:val="24"/>
          <w:szCs w:val="24"/>
          <w:lang w:val="en-GB"/>
        </w:rPr>
      </w:pPr>
      <w:r w:rsidRPr="465346B2">
        <w:rPr>
          <w:rFonts w:asciiTheme="minorHAnsi" w:eastAsiaTheme="minorEastAsia" w:hAnsiTheme="minorHAnsi" w:cstheme="minorBidi"/>
          <w:sz w:val="24"/>
          <w:szCs w:val="24"/>
          <w:lang w:val="en-GB"/>
        </w:rPr>
        <w:t>The results evaluation is conducted using the co-simulation environment described in deployment Section. The experimental setup consists of the following components:</w:t>
      </w:r>
    </w:p>
    <w:p w14:paraId="02228196" w14:textId="5830EE7D" w:rsidR="3F3DF4E1" w:rsidRDefault="3F3DF4E1" w:rsidP="7A7826E1">
      <w:pPr>
        <w:pStyle w:val="ListParagraph"/>
        <w:numPr>
          <w:ilvl w:val="0"/>
          <w:numId w:val="59"/>
        </w:numPr>
        <w:spacing w:before="0" w:after="0" w:line="257" w:lineRule="auto"/>
        <w:jc w:val="both"/>
        <w:rPr>
          <w:rFonts w:asciiTheme="minorHAnsi" w:eastAsiaTheme="minorEastAsia" w:hAnsiTheme="minorHAnsi" w:cstheme="minorBidi"/>
          <w:lang w:val="en-GB"/>
        </w:rPr>
      </w:pPr>
      <w:r w:rsidRPr="465346B2">
        <w:rPr>
          <w:rFonts w:asciiTheme="minorHAnsi" w:eastAsiaTheme="minorEastAsia" w:hAnsiTheme="minorHAnsi" w:cstheme="minorBidi"/>
          <w:b/>
          <w:lang w:val="en-GB"/>
        </w:rPr>
        <w:t>Infrastructure:</w:t>
      </w:r>
      <w:r w:rsidRPr="465346B2">
        <w:rPr>
          <w:rFonts w:asciiTheme="minorHAnsi" w:eastAsiaTheme="minorEastAsia" w:hAnsiTheme="minorHAnsi" w:cstheme="minorBidi"/>
          <w:lang w:val="en-GB"/>
        </w:rPr>
        <w:t xml:space="preserve"> The EVSE infrastructure is scalable, allowing the addition of varying numbers and types of charging stations, as well as multiple EVs with diverse charging connectors. The EVs are based on different OEMs, including Nissan, Ford, Hyundai, and Tesla. Battery chemistry types can be selected, and the initial state of charge (SoC) ranges from 10% to 55%.</w:t>
      </w:r>
    </w:p>
    <w:p w14:paraId="2C4C29EC" w14:textId="5F3B4AFE" w:rsidR="3F3DF4E1" w:rsidRDefault="3F3DF4E1" w:rsidP="7A7826E1">
      <w:pPr>
        <w:pStyle w:val="ListParagraph"/>
        <w:numPr>
          <w:ilvl w:val="0"/>
          <w:numId w:val="59"/>
        </w:numPr>
        <w:spacing w:before="0" w:after="0" w:line="257" w:lineRule="auto"/>
        <w:jc w:val="both"/>
        <w:rPr>
          <w:rFonts w:asciiTheme="minorHAnsi" w:eastAsiaTheme="minorEastAsia" w:hAnsiTheme="minorHAnsi" w:cstheme="minorBidi"/>
          <w:lang w:val="en-GB"/>
        </w:rPr>
      </w:pPr>
      <w:r w:rsidRPr="465346B2">
        <w:rPr>
          <w:rFonts w:asciiTheme="minorHAnsi" w:eastAsiaTheme="minorEastAsia" w:hAnsiTheme="minorHAnsi" w:cstheme="minorBidi"/>
          <w:b/>
          <w:lang w:val="en-GB"/>
        </w:rPr>
        <w:t>Grid configuration:</w:t>
      </w:r>
      <w:r w:rsidRPr="465346B2">
        <w:rPr>
          <w:rFonts w:asciiTheme="minorHAnsi" w:eastAsiaTheme="minorEastAsia" w:hAnsiTheme="minorHAnsi" w:cstheme="minorBidi"/>
          <w:lang w:val="en-GB"/>
        </w:rPr>
        <w:t xml:space="preserve"> The distribution power grid is modeled using an IEEE 13-bus network with a base voltage of 12.47 kV, a transformer rated at 10 MVA, and a nominal grid frequency of 50 Hz.</w:t>
      </w:r>
    </w:p>
    <w:p w14:paraId="2556AC55" w14:textId="5E0A449B" w:rsidR="3F3DF4E1" w:rsidRDefault="3F3DF4E1" w:rsidP="7A7826E1">
      <w:pPr>
        <w:pStyle w:val="ListParagraph"/>
        <w:numPr>
          <w:ilvl w:val="0"/>
          <w:numId w:val="59"/>
        </w:numPr>
        <w:spacing w:before="0" w:after="0" w:line="257" w:lineRule="auto"/>
        <w:jc w:val="both"/>
        <w:rPr>
          <w:rFonts w:asciiTheme="minorHAnsi" w:eastAsiaTheme="minorEastAsia" w:hAnsiTheme="minorHAnsi" w:cstheme="minorBidi"/>
          <w:lang w:val="en-GB"/>
        </w:rPr>
      </w:pPr>
      <w:r w:rsidRPr="465346B2">
        <w:rPr>
          <w:rFonts w:asciiTheme="minorHAnsi" w:eastAsiaTheme="minorEastAsia" w:hAnsiTheme="minorHAnsi" w:cstheme="minorBidi"/>
          <w:b/>
          <w:lang w:val="en-GB"/>
        </w:rPr>
        <w:t>TSM configuration:</w:t>
      </w:r>
      <w:r w:rsidRPr="465346B2">
        <w:rPr>
          <w:rFonts w:asciiTheme="minorHAnsi" w:eastAsiaTheme="minorEastAsia" w:hAnsiTheme="minorHAnsi" w:cstheme="minorBidi"/>
          <w:lang w:val="en-GB"/>
        </w:rPr>
        <w:t xml:space="preserve"> The TSM trust chain policies are enabled, and the grid safety envelope is activated.</w:t>
      </w:r>
    </w:p>
    <w:p w14:paraId="19DAA063" w14:textId="32734DD8" w:rsidR="3F3DF4E1" w:rsidRDefault="3F3DF4E1" w:rsidP="7A7826E1">
      <w:pPr>
        <w:pStyle w:val="ListParagraph"/>
        <w:numPr>
          <w:ilvl w:val="0"/>
          <w:numId w:val="59"/>
        </w:numPr>
        <w:spacing w:before="0" w:after="0" w:line="257" w:lineRule="auto"/>
        <w:jc w:val="both"/>
        <w:rPr>
          <w:rFonts w:asciiTheme="minorHAnsi" w:eastAsiaTheme="minorEastAsia" w:hAnsiTheme="minorHAnsi" w:cstheme="minorBidi"/>
          <w:lang w:val="en-GB"/>
        </w:rPr>
      </w:pPr>
      <w:r w:rsidRPr="465346B2">
        <w:rPr>
          <w:rFonts w:asciiTheme="minorHAnsi" w:eastAsiaTheme="minorEastAsia" w:hAnsiTheme="minorHAnsi" w:cstheme="minorBidi"/>
          <w:b/>
          <w:lang w:val="en-GB"/>
        </w:rPr>
        <w:t>Instrumentation:</w:t>
      </w:r>
      <w:r w:rsidRPr="465346B2">
        <w:rPr>
          <w:rFonts w:asciiTheme="minorHAnsi" w:eastAsiaTheme="minorEastAsia" w:hAnsiTheme="minorHAnsi" w:cstheme="minorBidi"/>
          <w:lang w:val="en-GB"/>
        </w:rPr>
        <w:t xml:space="preserve"> The co-simulation platform instrumentation is enabled to capture TSM decision audit trails, record all protocol messages, log JSONL metrics, and collect SSE telemetry for all events.</w:t>
      </w:r>
    </w:p>
    <w:p w14:paraId="6913ADC6" w14:textId="0A7C35DF" w:rsidR="3F3DF4E1" w:rsidRDefault="3F3DF4E1" w:rsidP="7A7826E1">
      <w:pPr>
        <w:spacing w:after="160" w:line="257" w:lineRule="auto"/>
        <w:jc w:val="both"/>
        <w:rPr>
          <w:rFonts w:asciiTheme="minorHAnsi" w:eastAsiaTheme="minorEastAsia" w:hAnsiTheme="minorHAnsi" w:cstheme="minorBidi"/>
          <w:sz w:val="24"/>
          <w:szCs w:val="24"/>
        </w:rPr>
      </w:pPr>
      <w:r w:rsidRPr="465346B2">
        <w:rPr>
          <w:rFonts w:asciiTheme="minorHAnsi" w:eastAsiaTheme="minorEastAsia" w:hAnsiTheme="minorHAnsi" w:cstheme="minorBidi"/>
          <w:sz w:val="24"/>
          <w:szCs w:val="24"/>
        </w:rPr>
        <w:t>The execution of all scenarios and sub-scenarios to record events, metrics, and protocol interactions with TSM verification tracing and audit trails.</w:t>
      </w:r>
    </w:p>
    <w:p w14:paraId="1CFDE62D" w14:textId="59D3C5B5" w:rsidR="3F3DF4E1" w:rsidRDefault="3F3DF4E1" w:rsidP="7A7826E1">
      <w:pPr>
        <w:spacing w:after="160" w:line="257" w:lineRule="auto"/>
        <w:jc w:val="both"/>
        <w:rPr>
          <w:rFonts w:asciiTheme="minorHAnsi" w:eastAsiaTheme="minorEastAsia" w:hAnsiTheme="minorHAnsi" w:cstheme="minorBidi"/>
          <w:sz w:val="24"/>
          <w:szCs w:val="24"/>
          <w:lang w:val="en-GB"/>
        </w:rPr>
      </w:pPr>
      <w:r w:rsidRPr="465346B2">
        <w:rPr>
          <w:rFonts w:asciiTheme="minorHAnsi" w:eastAsiaTheme="minorEastAsia" w:hAnsiTheme="minorHAnsi" w:cstheme="minorBidi"/>
          <w:b/>
          <w:sz w:val="24"/>
          <w:szCs w:val="24"/>
          <w:lang w:val="en-GB"/>
        </w:rPr>
        <w:t>Layer 1: Cybersecurity Enforcement Results:</w:t>
      </w:r>
      <w:r w:rsidRPr="465346B2">
        <w:rPr>
          <w:rFonts w:asciiTheme="minorHAnsi" w:eastAsiaTheme="minorEastAsia" w:hAnsiTheme="minorHAnsi" w:cstheme="minorBidi"/>
          <w:sz w:val="24"/>
          <w:szCs w:val="24"/>
          <w:lang w:val="en-GB"/>
        </w:rPr>
        <w:t xml:space="preserve"> The outcomes of the firmware update scenarios are summarized as follows:</w:t>
      </w:r>
    </w:p>
    <w:p w14:paraId="3847EE14" w14:textId="7BCBF501" w:rsidR="3F3DF4E1" w:rsidRDefault="3F3DF4E1" w:rsidP="7A7826E1">
      <w:pPr>
        <w:spacing w:after="160" w:line="257" w:lineRule="auto"/>
        <w:jc w:val="both"/>
        <w:rPr>
          <w:rFonts w:asciiTheme="minorHAnsi" w:eastAsiaTheme="minorEastAsia" w:hAnsiTheme="minorHAnsi" w:cstheme="minorBidi"/>
          <w:sz w:val="24"/>
          <w:szCs w:val="24"/>
        </w:rPr>
      </w:pPr>
      <w:r w:rsidRPr="465346B2">
        <w:rPr>
          <w:rFonts w:asciiTheme="minorHAnsi" w:eastAsiaTheme="minorEastAsia" w:hAnsiTheme="minorHAnsi" w:cstheme="minorBidi"/>
          <w:sz w:val="24"/>
          <w:szCs w:val="24"/>
        </w:rPr>
        <w:t>The main observations from the firmware update scenarios are:</w:t>
      </w:r>
    </w:p>
    <w:p w14:paraId="186FC997" w14:textId="5E4BC32F" w:rsidR="3F3DF4E1" w:rsidRDefault="3F3DF4E1" w:rsidP="7A7826E1">
      <w:pPr>
        <w:pStyle w:val="ListParagraph"/>
        <w:numPr>
          <w:ilvl w:val="0"/>
          <w:numId w:val="58"/>
        </w:numPr>
        <w:spacing w:before="0" w:after="0" w:line="257" w:lineRule="auto"/>
        <w:jc w:val="both"/>
        <w:rPr>
          <w:rFonts w:asciiTheme="minorHAnsi" w:eastAsiaTheme="minorEastAsia" w:hAnsiTheme="minorHAnsi" w:cstheme="minorBidi"/>
        </w:rPr>
      </w:pPr>
      <w:r w:rsidRPr="465346B2">
        <w:rPr>
          <w:rFonts w:asciiTheme="minorHAnsi" w:eastAsiaTheme="minorEastAsia" w:hAnsiTheme="minorHAnsi" w:cstheme="minorBidi"/>
        </w:rPr>
        <w:t>False Accept Rate (FAR) is 0% during the firmware update scenarios due to TSM policy enforcement, ensuring that no malicious firmware is installed or allowed to progress.</w:t>
      </w:r>
    </w:p>
    <w:p w14:paraId="0147A9F2" w14:textId="70C5079D" w:rsidR="3F3DF4E1" w:rsidRDefault="3F3DF4E1" w:rsidP="7A7826E1">
      <w:pPr>
        <w:pStyle w:val="ListParagraph"/>
        <w:numPr>
          <w:ilvl w:val="0"/>
          <w:numId w:val="58"/>
        </w:numPr>
        <w:spacing w:before="0" w:after="0" w:line="257" w:lineRule="auto"/>
        <w:jc w:val="both"/>
        <w:rPr>
          <w:rFonts w:asciiTheme="minorHAnsi" w:eastAsiaTheme="minorEastAsia" w:hAnsiTheme="minorHAnsi" w:cstheme="minorBidi"/>
        </w:rPr>
      </w:pPr>
      <w:r w:rsidRPr="465346B2">
        <w:rPr>
          <w:rFonts w:asciiTheme="minorHAnsi" w:eastAsiaTheme="minorEastAsia" w:hAnsiTheme="minorHAnsi" w:cstheme="minorBidi"/>
        </w:rPr>
        <w:t>False Reject Rate (FRR) is also 0%, as the TSM-enforced trust chain guarantees that legitimate firmware updates are applied correctly.</w:t>
      </w:r>
    </w:p>
    <w:p w14:paraId="52B18FD5" w14:textId="4EF0069A" w:rsidR="3F3DF4E1" w:rsidRDefault="3F3DF4E1" w:rsidP="7A7826E1">
      <w:pPr>
        <w:pStyle w:val="ListParagraph"/>
        <w:numPr>
          <w:ilvl w:val="0"/>
          <w:numId w:val="58"/>
        </w:numPr>
        <w:spacing w:before="0" w:after="0" w:line="257" w:lineRule="auto"/>
        <w:jc w:val="both"/>
        <w:rPr>
          <w:rFonts w:asciiTheme="minorHAnsi" w:eastAsiaTheme="minorEastAsia" w:hAnsiTheme="minorHAnsi" w:cstheme="minorBidi"/>
        </w:rPr>
      </w:pPr>
      <w:r w:rsidRPr="465346B2">
        <w:rPr>
          <w:rFonts w:asciiTheme="minorHAnsi" w:eastAsiaTheme="minorEastAsia" w:hAnsiTheme="minorHAnsi" w:cstheme="minorBidi"/>
        </w:rPr>
        <w:t>In the invalid OEM signature scenario, triggered by invalid_OEM_signature, the EVSE system responded with the most severe action, entering the FAIL_SAFE state.</w:t>
      </w:r>
    </w:p>
    <w:p w14:paraId="43A6384F" w14:textId="1A10E323" w:rsidR="3F3DF4E1" w:rsidRDefault="3F3DF4E1" w:rsidP="7A7826E1">
      <w:pPr>
        <w:spacing w:after="160" w:line="257" w:lineRule="auto"/>
        <w:jc w:val="both"/>
        <w:rPr>
          <w:rFonts w:asciiTheme="minorHAnsi" w:eastAsiaTheme="minorEastAsia" w:hAnsiTheme="minorHAnsi" w:cstheme="minorBidi"/>
          <w:sz w:val="24"/>
          <w:szCs w:val="24"/>
          <w:lang w:val="en-GB"/>
        </w:rPr>
      </w:pPr>
      <w:r w:rsidRPr="465346B2">
        <w:rPr>
          <w:rFonts w:asciiTheme="minorHAnsi" w:eastAsiaTheme="minorEastAsia" w:hAnsiTheme="minorHAnsi" w:cstheme="minorBidi"/>
          <w:sz w:val="24"/>
          <w:szCs w:val="24"/>
          <w:lang w:val="en-GB"/>
        </w:rPr>
        <w:t xml:space="preserve">The overall results of cybersecurity enforcement are presented in </w:t>
      </w:r>
      <w:r w:rsidR="00D57441">
        <w:rPr>
          <w:rFonts w:asciiTheme="minorHAnsi" w:eastAsiaTheme="minorEastAsia" w:hAnsiTheme="minorHAnsi" w:cstheme="minorBidi"/>
          <w:sz w:val="24"/>
          <w:szCs w:val="24"/>
          <w:lang w:val="en-GB"/>
        </w:rPr>
        <w:t>f</w:t>
      </w:r>
      <w:r w:rsidRPr="465346B2">
        <w:rPr>
          <w:rFonts w:asciiTheme="minorHAnsi" w:eastAsiaTheme="minorEastAsia" w:hAnsiTheme="minorHAnsi" w:cstheme="minorBidi"/>
          <w:sz w:val="24"/>
          <w:szCs w:val="24"/>
          <w:lang w:val="en-GB"/>
        </w:rPr>
        <w:t xml:space="preserve">igure </w:t>
      </w:r>
      <w:r w:rsidR="3D35C28D" w:rsidRPr="465346B2">
        <w:rPr>
          <w:rFonts w:asciiTheme="minorHAnsi" w:eastAsiaTheme="minorEastAsia" w:hAnsiTheme="minorHAnsi" w:cstheme="minorBidi"/>
          <w:sz w:val="24"/>
          <w:szCs w:val="24"/>
          <w:lang w:val="en-GB"/>
        </w:rPr>
        <w:t>36</w:t>
      </w:r>
      <w:r w:rsidRPr="465346B2">
        <w:rPr>
          <w:rFonts w:asciiTheme="minorHAnsi" w:eastAsiaTheme="minorEastAsia" w:hAnsiTheme="minorHAnsi" w:cstheme="minorBidi"/>
          <w:sz w:val="24"/>
          <w:szCs w:val="24"/>
          <w:lang w:val="en-GB"/>
        </w:rPr>
        <w:t>, illustrating scenario verification, key performance metrics, and scenario-based decision latencies. These results validate the sovereign firmware mediation hypothesis (H1), confirming its effectiveness in preventing malicious firmware updates and mitigating associated adversarial conditions.</w:t>
      </w:r>
    </w:p>
    <w:p w14:paraId="4B863825" w14:textId="67022719" w:rsidR="3F3DF4E1" w:rsidRDefault="3F3DF4E1" w:rsidP="625B0D3D">
      <w:pPr>
        <w:spacing w:after="160" w:line="257" w:lineRule="auto"/>
        <w:rPr>
          <w:rFonts w:asciiTheme="minorHAnsi" w:eastAsiaTheme="minorEastAsia" w:hAnsiTheme="minorHAnsi" w:cstheme="minorBidi"/>
        </w:rPr>
      </w:pPr>
      <w:r w:rsidRPr="625B0D3D">
        <w:rPr>
          <w:rFonts w:ascii="Aptos" w:eastAsia="Aptos" w:hAnsi="Aptos" w:cs="Aptos"/>
        </w:rPr>
        <w:t xml:space="preserve"> </w:t>
      </w:r>
    </w:p>
    <w:p w14:paraId="5038A3BD" w14:textId="7CF9ED2F" w:rsidR="006B5738" w:rsidRDefault="006B5738" w:rsidP="00C9731C">
      <w:pPr>
        <w:spacing w:after="160" w:line="257" w:lineRule="auto"/>
        <w:jc w:val="center"/>
        <w:rPr>
          <w:rFonts w:asciiTheme="minorHAnsi" w:eastAsiaTheme="minorEastAsia" w:hAnsiTheme="minorHAnsi" w:cstheme="minorBidi"/>
        </w:rPr>
      </w:pPr>
      <w:r>
        <w:rPr>
          <w:noProof/>
        </w:rPr>
        <w:drawing>
          <wp:inline distT="0" distB="0" distL="0" distR="0" wp14:anchorId="7719716E" wp14:editId="674D447C">
            <wp:extent cx="6120130" cy="3753485"/>
            <wp:effectExtent l="0" t="0" r="0" b="0"/>
            <wp:docPr id="1211859841" name="Picture 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859841" name="Picture 7" descr="A screenshot of a computer&#10;&#10;AI-generated content may be incorrect."/>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20130" cy="3753485"/>
                    </a:xfrm>
                    <a:prstGeom prst="rect">
                      <a:avLst/>
                    </a:prstGeom>
                    <a:noFill/>
                    <a:ln>
                      <a:noFill/>
                    </a:ln>
                  </pic:spPr>
                </pic:pic>
              </a:graphicData>
            </a:graphic>
          </wp:inline>
        </w:drawing>
      </w:r>
    </w:p>
    <w:p w14:paraId="7CD4F687" w14:textId="5B9C3B83" w:rsidR="3F3DF4E1" w:rsidRDefault="00450B01" w:rsidP="00450B01">
      <w:pPr>
        <w:pStyle w:val="Caption"/>
        <w:rPr>
          <w:rFonts w:asciiTheme="minorHAnsi" w:eastAsiaTheme="minorEastAsia" w:hAnsiTheme="minorHAnsi" w:cstheme="minorBidi"/>
          <w:i/>
          <w:color w:val="0E2841"/>
          <w:lang w:val="en-GB"/>
        </w:rPr>
      </w:pPr>
      <w:bookmarkStart w:id="320" w:name="_Toc233112242"/>
      <w:r>
        <w:t xml:space="preserve">Figure </w:t>
      </w:r>
      <w:r w:rsidR="00113348">
        <w:fldChar w:fldCharType="begin"/>
      </w:r>
      <w:r w:rsidR="00113348">
        <w:instrText xml:space="preserve"> SEQ Figure \* ARABIC </w:instrText>
      </w:r>
      <w:r w:rsidR="00113348">
        <w:fldChar w:fldCharType="separate"/>
      </w:r>
      <w:r w:rsidR="00F8092D">
        <w:rPr>
          <w:noProof/>
        </w:rPr>
        <w:t>36</w:t>
      </w:r>
      <w:r w:rsidR="00113348">
        <w:rPr>
          <w:noProof/>
        </w:rPr>
        <w:fldChar w:fldCharType="end"/>
      </w:r>
      <w:r w:rsidR="3F3DF4E1" w:rsidRPr="465346B2">
        <w:rPr>
          <w:rFonts w:ascii="Aptos" w:eastAsia="Aptos" w:hAnsi="Aptos" w:cs="Aptos"/>
          <w:i/>
          <w:color w:val="0E2841"/>
          <w:szCs w:val="20"/>
          <w:lang w:val="en-GB"/>
        </w:rPr>
        <w:t>: The results of Layer 1: key performance metrics, decision latencies for each scenario, and firmware update verification scenarios.</w:t>
      </w:r>
      <w:bookmarkEnd w:id="320"/>
    </w:p>
    <w:p w14:paraId="69A96A16" w14:textId="5AC8F5B5" w:rsidR="3F3DF4E1" w:rsidRDefault="3F3DF4E1" w:rsidP="7A7826E1">
      <w:pPr>
        <w:spacing w:after="160" w:line="257" w:lineRule="auto"/>
        <w:jc w:val="both"/>
        <w:rPr>
          <w:rFonts w:asciiTheme="minorHAnsi" w:eastAsiaTheme="minorEastAsia" w:hAnsiTheme="minorHAnsi" w:cstheme="minorBidi"/>
          <w:sz w:val="24"/>
          <w:szCs w:val="24"/>
          <w:lang w:val="en-GB"/>
        </w:rPr>
      </w:pPr>
      <w:r w:rsidRPr="465346B2">
        <w:rPr>
          <w:rFonts w:asciiTheme="minorHAnsi" w:eastAsiaTheme="minorEastAsia" w:hAnsiTheme="minorHAnsi" w:cstheme="minorBidi"/>
          <w:sz w:val="24"/>
          <w:szCs w:val="24"/>
          <w:lang w:val="en-GB"/>
        </w:rPr>
        <w:t xml:space="preserve">Firmware update and various security attack scenarios were executed successfully within the co-simulation platform. Tampered attack scenarios triggered the FAIL_SAFE state, opening contactors, after which the system transitioned to recovery mode via FORCE_OPERATIONAL, ultimately restoring the OPERATIONAL state. Other attacks, including MiTM and TPM spoofing, were also successfully detected, while the TSM security pipeline maintained the OPERATIONAL state. Details of these security scenarios, along with TSM trust chain and policy enforcement, are illustrated in </w:t>
      </w:r>
      <w:r w:rsidR="0055610B">
        <w:rPr>
          <w:rFonts w:asciiTheme="minorHAnsi" w:eastAsiaTheme="minorEastAsia" w:hAnsiTheme="minorHAnsi" w:cstheme="minorBidi"/>
          <w:sz w:val="24"/>
          <w:szCs w:val="24"/>
          <w:lang w:val="en-GB"/>
        </w:rPr>
        <w:t>f</w:t>
      </w:r>
      <w:r w:rsidRPr="465346B2">
        <w:rPr>
          <w:rFonts w:asciiTheme="minorHAnsi" w:eastAsiaTheme="minorEastAsia" w:hAnsiTheme="minorHAnsi" w:cstheme="minorBidi"/>
          <w:sz w:val="24"/>
          <w:szCs w:val="24"/>
          <w:lang w:val="en-GB"/>
        </w:rPr>
        <w:t xml:space="preserve">igure </w:t>
      </w:r>
      <w:r w:rsidR="56C3957A" w:rsidRPr="465346B2">
        <w:rPr>
          <w:rFonts w:asciiTheme="minorHAnsi" w:eastAsiaTheme="minorEastAsia" w:hAnsiTheme="minorHAnsi" w:cstheme="minorBidi"/>
          <w:sz w:val="24"/>
          <w:szCs w:val="24"/>
          <w:lang w:val="en-GB"/>
        </w:rPr>
        <w:t>37</w:t>
      </w:r>
      <w:r w:rsidR="4723A0D2" w:rsidRPr="465346B2">
        <w:rPr>
          <w:rFonts w:asciiTheme="minorHAnsi" w:eastAsiaTheme="minorEastAsia" w:hAnsiTheme="minorHAnsi" w:cstheme="minorBidi"/>
          <w:sz w:val="24"/>
          <w:szCs w:val="24"/>
          <w:lang w:val="en-GB"/>
        </w:rPr>
        <w:t xml:space="preserve"> and </w:t>
      </w:r>
      <w:r w:rsidR="0055610B">
        <w:rPr>
          <w:rFonts w:asciiTheme="minorHAnsi" w:eastAsiaTheme="minorEastAsia" w:hAnsiTheme="minorHAnsi" w:cstheme="minorBidi"/>
          <w:sz w:val="24"/>
          <w:szCs w:val="24"/>
          <w:lang w:val="en-GB"/>
        </w:rPr>
        <w:t>t</w:t>
      </w:r>
      <w:r w:rsidR="4723A0D2" w:rsidRPr="465346B2">
        <w:rPr>
          <w:rFonts w:asciiTheme="minorHAnsi" w:eastAsiaTheme="minorEastAsia" w:hAnsiTheme="minorHAnsi" w:cstheme="minorBidi"/>
          <w:sz w:val="24"/>
          <w:szCs w:val="24"/>
          <w:lang w:val="en-GB"/>
        </w:rPr>
        <w:t>able 18</w:t>
      </w:r>
      <w:r w:rsidRPr="465346B2">
        <w:rPr>
          <w:rFonts w:asciiTheme="minorHAnsi" w:eastAsiaTheme="minorEastAsia" w:hAnsiTheme="minorHAnsi" w:cstheme="minorBidi"/>
          <w:sz w:val="24"/>
          <w:szCs w:val="24"/>
          <w:lang w:val="en-GB"/>
        </w:rPr>
        <w:t>.</w:t>
      </w:r>
    </w:p>
    <w:p w14:paraId="77C8A7AD" w14:textId="6A86F5DF" w:rsidR="3F3DF4E1" w:rsidRDefault="3F3DF4E1" w:rsidP="625B0D3D">
      <w:pPr>
        <w:spacing w:after="160" w:line="257" w:lineRule="auto"/>
        <w:rPr>
          <w:rFonts w:asciiTheme="minorHAnsi" w:eastAsiaTheme="minorEastAsia" w:hAnsiTheme="minorHAnsi" w:cstheme="minorBidi"/>
        </w:rPr>
      </w:pPr>
    </w:p>
    <w:p w14:paraId="20D0036B" w14:textId="46EC49F4" w:rsidR="006F2C38" w:rsidRDefault="006F2C38" w:rsidP="00C9731C">
      <w:pPr>
        <w:spacing w:after="160" w:line="257" w:lineRule="auto"/>
        <w:jc w:val="center"/>
        <w:rPr>
          <w:rFonts w:asciiTheme="minorHAnsi" w:eastAsiaTheme="minorEastAsia" w:hAnsiTheme="minorHAnsi" w:cstheme="minorBidi"/>
        </w:rPr>
      </w:pPr>
      <w:r>
        <w:rPr>
          <w:noProof/>
        </w:rPr>
        <w:drawing>
          <wp:inline distT="0" distB="0" distL="0" distR="0" wp14:anchorId="0E448970" wp14:editId="5F634A84">
            <wp:extent cx="6120130" cy="3491230"/>
            <wp:effectExtent l="0" t="0" r="0" b="0"/>
            <wp:docPr id="1043953506" name="Picture 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953506" name="Picture 8" descr="A screenshot of a computer&#10;&#10;AI-generated content may be incorrect."/>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20130" cy="3491230"/>
                    </a:xfrm>
                    <a:prstGeom prst="rect">
                      <a:avLst/>
                    </a:prstGeom>
                    <a:noFill/>
                    <a:ln>
                      <a:noFill/>
                    </a:ln>
                  </pic:spPr>
                </pic:pic>
              </a:graphicData>
            </a:graphic>
          </wp:inline>
        </w:drawing>
      </w:r>
    </w:p>
    <w:p w14:paraId="00AA4682" w14:textId="2D5EABB5" w:rsidR="3F3DF4E1" w:rsidRDefault="00716B37" w:rsidP="00716B37">
      <w:pPr>
        <w:pStyle w:val="Caption"/>
        <w:rPr>
          <w:rFonts w:asciiTheme="minorHAnsi" w:eastAsiaTheme="minorEastAsia" w:hAnsiTheme="minorHAnsi" w:cstheme="minorBidi"/>
          <w:i/>
          <w:color w:val="0E2841"/>
          <w:szCs w:val="20"/>
          <w:lang w:val="en-GB"/>
        </w:rPr>
      </w:pPr>
      <w:bookmarkStart w:id="321" w:name="_Toc233112243"/>
      <w:r>
        <w:t xml:space="preserve">Figure </w:t>
      </w:r>
      <w:r w:rsidR="00113348">
        <w:fldChar w:fldCharType="begin"/>
      </w:r>
      <w:r w:rsidR="00113348">
        <w:instrText xml:space="preserve"> SEQ Figure \* ARABIC </w:instrText>
      </w:r>
      <w:r w:rsidR="00113348">
        <w:fldChar w:fldCharType="separate"/>
      </w:r>
      <w:r w:rsidR="00F8092D">
        <w:rPr>
          <w:noProof/>
        </w:rPr>
        <w:t>37</w:t>
      </w:r>
      <w:r w:rsidR="00113348">
        <w:rPr>
          <w:noProof/>
        </w:rPr>
        <w:fldChar w:fldCharType="end"/>
      </w:r>
      <w:r w:rsidR="3F3DF4E1" w:rsidRPr="465346B2">
        <w:rPr>
          <w:rFonts w:ascii="Aptos" w:eastAsia="Aptos" w:hAnsi="Aptos" w:cs="Aptos"/>
          <w:i/>
          <w:color w:val="0E2841"/>
          <w:szCs w:val="20"/>
          <w:lang w:val="en-GB"/>
        </w:rPr>
        <w:t>: TSM policies enforcement and trust chain for decision latencies, cascade failure analysis of TSM policy enforcement, and decision metrics analysis for different attack scenarios.</w:t>
      </w:r>
      <w:bookmarkEnd w:id="321"/>
    </w:p>
    <w:p w14:paraId="4721EFAE" w14:textId="44C218A6" w:rsidR="3F3DF4E1" w:rsidRDefault="3F3DF4E1" w:rsidP="625B0D3D">
      <w:pPr>
        <w:spacing w:after="160" w:line="257" w:lineRule="auto"/>
        <w:rPr>
          <w:rFonts w:asciiTheme="minorHAnsi" w:eastAsiaTheme="minorEastAsia" w:hAnsiTheme="minorHAnsi" w:cstheme="minorBidi"/>
          <w:sz w:val="20"/>
          <w:szCs w:val="20"/>
          <w:lang w:val="en-GB"/>
        </w:rPr>
      </w:pPr>
      <w:r w:rsidRPr="465346B2">
        <w:rPr>
          <w:rFonts w:ascii="Aptos" w:eastAsia="Aptos" w:hAnsi="Aptos" w:cs="Aptos"/>
          <w:sz w:val="20"/>
          <w:szCs w:val="20"/>
          <w:lang w:val="en-GB"/>
        </w:rPr>
        <w:t xml:space="preserve"> </w:t>
      </w:r>
    </w:p>
    <w:p w14:paraId="58F6A5BC" w14:textId="06B8A057" w:rsidR="3F3DF4E1" w:rsidRDefault="00C335B5" w:rsidP="00C335B5">
      <w:pPr>
        <w:pStyle w:val="Caption"/>
        <w:rPr>
          <w:rFonts w:asciiTheme="minorHAnsi" w:eastAsiaTheme="minorEastAsia" w:hAnsiTheme="minorHAnsi" w:cstheme="minorBidi"/>
          <w:i/>
          <w:color w:val="0E2841"/>
          <w:szCs w:val="20"/>
          <w:lang w:val="en-GB"/>
        </w:rPr>
      </w:pPr>
      <w:bookmarkStart w:id="322" w:name="_Toc233112272"/>
      <w:r>
        <w:t xml:space="preserve">Table </w:t>
      </w:r>
      <w:r w:rsidR="00113348">
        <w:fldChar w:fldCharType="begin"/>
      </w:r>
      <w:r w:rsidR="00113348">
        <w:instrText xml:space="preserve"> SEQ Table \* ARABIC </w:instrText>
      </w:r>
      <w:r w:rsidR="00113348">
        <w:fldChar w:fldCharType="separate"/>
      </w:r>
      <w:r w:rsidR="00F8092D">
        <w:rPr>
          <w:noProof/>
        </w:rPr>
        <w:t>18</w:t>
      </w:r>
      <w:r w:rsidR="00113348">
        <w:rPr>
          <w:noProof/>
        </w:rPr>
        <w:fldChar w:fldCharType="end"/>
      </w:r>
      <w:r w:rsidR="3F3DF4E1" w:rsidRPr="465346B2">
        <w:rPr>
          <w:rFonts w:ascii="Aptos" w:eastAsia="Aptos" w:hAnsi="Aptos" w:cs="Aptos"/>
          <w:i/>
          <w:color w:val="0E2841"/>
          <w:szCs w:val="20"/>
          <w:lang w:val="en-GB"/>
        </w:rPr>
        <w:t>: The summarization of attack scenarios and their impact on TSM enforced trust chain</w:t>
      </w:r>
      <w:bookmarkEnd w:id="322"/>
    </w:p>
    <w:tbl>
      <w:tblPr>
        <w:tblStyle w:val="TableCSIRO"/>
        <w:tblW w:w="9705" w:type="dxa"/>
        <w:tblLook w:val="04A0" w:firstRow="1" w:lastRow="0" w:firstColumn="1" w:lastColumn="0" w:noHBand="0" w:noVBand="1"/>
      </w:tblPr>
      <w:tblGrid>
        <w:gridCol w:w="2187"/>
        <w:gridCol w:w="1996"/>
        <w:gridCol w:w="1779"/>
        <w:gridCol w:w="2176"/>
        <w:gridCol w:w="1567"/>
      </w:tblGrid>
      <w:tr w:rsidR="425F871F" w14:paraId="6A4CEFC5" w14:textId="77777777" w:rsidTr="005713FD">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0" w:type="dxa"/>
          </w:tcPr>
          <w:p w14:paraId="679EBADE" w14:textId="04F57D10" w:rsidR="425F871F" w:rsidRDefault="425F871F" w:rsidP="0ABEE279">
            <w:pPr>
              <w:spacing w:after="160" w:line="257" w:lineRule="auto"/>
              <w:rPr>
                <w:rFonts w:asciiTheme="minorHAnsi" w:eastAsiaTheme="minorEastAsia" w:hAnsiTheme="minorHAnsi" w:cstheme="minorBidi"/>
                <w:color w:val="FFFFFF" w:themeColor="background2"/>
                <w:sz w:val="18"/>
                <w:szCs w:val="18"/>
              </w:rPr>
            </w:pPr>
            <w:r w:rsidRPr="0ABEE279">
              <w:rPr>
                <w:rFonts w:ascii="Aptos" w:eastAsia="Aptos" w:hAnsi="Aptos" w:cs="Aptos"/>
                <w:color w:val="FFFFFF" w:themeColor="background2"/>
                <w:lang w:val="en-GB"/>
              </w:rPr>
              <w:t>Scenarios</w:t>
            </w:r>
            <w:r w:rsidRPr="0ABEE279">
              <w:rPr>
                <w:rFonts w:ascii="Aptos" w:eastAsia="Aptos" w:hAnsi="Aptos" w:cs="Aptos"/>
                <w:color w:val="FFFFFF" w:themeColor="background2"/>
              </w:rPr>
              <w:t xml:space="preserve"> </w:t>
            </w:r>
          </w:p>
        </w:tc>
        <w:tc>
          <w:tcPr>
            <w:tcW w:w="0" w:type="dxa"/>
          </w:tcPr>
          <w:p w14:paraId="23E61986" w14:textId="40EE0599" w:rsidR="425F871F" w:rsidRDefault="425F871F" w:rsidP="0ABEE279">
            <w:pPr>
              <w:spacing w:after="160" w:line="257" w:lineRule="auto"/>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2"/>
                <w:sz w:val="18"/>
                <w:szCs w:val="18"/>
              </w:rPr>
            </w:pPr>
            <w:r w:rsidRPr="0ABEE279">
              <w:rPr>
                <w:rFonts w:ascii="Aptos" w:eastAsia="Aptos" w:hAnsi="Aptos" w:cs="Aptos"/>
                <w:color w:val="FFFFFF" w:themeColor="background2"/>
                <w:lang w:val="en-GB"/>
              </w:rPr>
              <w:t>Attack Vectors</w:t>
            </w:r>
            <w:r w:rsidRPr="0ABEE279">
              <w:rPr>
                <w:rFonts w:ascii="Aptos" w:eastAsia="Aptos" w:hAnsi="Aptos" w:cs="Aptos"/>
                <w:color w:val="FFFFFF" w:themeColor="background2"/>
              </w:rPr>
              <w:t xml:space="preserve"> </w:t>
            </w:r>
          </w:p>
        </w:tc>
        <w:tc>
          <w:tcPr>
            <w:tcW w:w="0" w:type="dxa"/>
          </w:tcPr>
          <w:p w14:paraId="26CBE1A8" w14:textId="009BC208" w:rsidR="425F871F" w:rsidRDefault="425F871F" w:rsidP="0ABEE279">
            <w:pPr>
              <w:spacing w:after="160" w:line="257" w:lineRule="auto"/>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2"/>
                <w:sz w:val="18"/>
                <w:szCs w:val="18"/>
              </w:rPr>
            </w:pPr>
            <w:r w:rsidRPr="0ABEE279">
              <w:rPr>
                <w:rFonts w:ascii="Aptos" w:eastAsia="Aptos" w:hAnsi="Aptos" w:cs="Aptos"/>
                <w:color w:val="FFFFFF" w:themeColor="background2"/>
                <w:lang w:val="en-GB"/>
              </w:rPr>
              <w:t>TSM Responses</w:t>
            </w:r>
            <w:r w:rsidRPr="0ABEE279">
              <w:rPr>
                <w:rFonts w:ascii="Aptos" w:eastAsia="Aptos" w:hAnsi="Aptos" w:cs="Aptos"/>
                <w:color w:val="FFFFFF" w:themeColor="background2"/>
              </w:rPr>
              <w:t xml:space="preserve"> </w:t>
            </w:r>
          </w:p>
        </w:tc>
        <w:tc>
          <w:tcPr>
            <w:tcW w:w="0" w:type="dxa"/>
          </w:tcPr>
          <w:p w14:paraId="744E5F71" w14:textId="6CBB478E" w:rsidR="425F871F" w:rsidRDefault="425F871F" w:rsidP="0ABEE279">
            <w:pPr>
              <w:spacing w:after="160" w:line="257" w:lineRule="auto"/>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2"/>
                <w:sz w:val="18"/>
                <w:szCs w:val="18"/>
              </w:rPr>
            </w:pPr>
            <w:r w:rsidRPr="0ABEE279">
              <w:rPr>
                <w:rFonts w:ascii="Aptos" w:eastAsia="Aptos" w:hAnsi="Aptos" w:cs="Aptos"/>
                <w:color w:val="FFFFFF" w:themeColor="background2"/>
                <w:lang w:val="en-GB"/>
              </w:rPr>
              <w:t>Post State</w:t>
            </w:r>
            <w:r w:rsidRPr="0ABEE279">
              <w:rPr>
                <w:rFonts w:ascii="Aptos" w:eastAsia="Aptos" w:hAnsi="Aptos" w:cs="Aptos"/>
                <w:color w:val="FFFFFF" w:themeColor="background2"/>
              </w:rPr>
              <w:t xml:space="preserve"> </w:t>
            </w:r>
          </w:p>
        </w:tc>
        <w:tc>
          <w:tcPr>
            <w:tcW w:w="0" w:type="dxa"/>
          </w:tcPr>
          <w:p w14:paraId="19496CF8" w14:textId="5A510AC1" w:rsidR="425F871F" w:rsidRDefault="425F871F" w:rsidP="0ABEE279">
            <w:pPr>
              <w:spacing w:after="160" w:line="257" w:lineRule="auto"/>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2"/>
                <w:sz w:val="18"/>
                <w:szCs w:val="18"/>
              </w:rPr>
            </w:pPr>
            <w:r w:rsidRPr="0ABEE279">
              <w:rPr>
                <w:rFonts w:ascii="Aptos" w:eastAsia="Aptos" w:hAnsi="Aptos" w:cs="Aptos"/>
                <w:color w:val="FFFFFF" w:themeColor="background2"/>
                <w:lang w:val="en-GB"/>
              </w:rPr>
              <w:t>Chain Impact</w:t>
            </w:r>
            <w:r w:rsidRPr="0ABEE279">
              <w:rPr>
                <w:rFonts w:ascii="Aptos" w:eastAsia="Aptos" w:hAnsi="Aptos" w:cs="Aptos"/>
                <w:color w:val="FFFFFF" w:themeColor="background2"/>
              </w:rPr>
              <w:t xml:space="preserve"> </w:t>
            </w:r>
          </w:p>
        </w:tc>
      </w:tr>
      <w:tr w:rsidR="425F871F" w14:paraId="1CFD9BAA" w14:textId="77777777" w:rsidTr="005713FD">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0" w:type="dxa"/>
          </w:tcPr>
          <w:p w14:paraId="767934A9" w14:textId="51F7F7EC" w:rsidR="425F871F" w:rsidRDefault="425F871F" w:rsidP="0ABEE279">
            <w:pPr>
              <w:spacing w:after="160" w:line="257" w:lineRule="auto"/>
              <w:rPr>
                <w:rFonts w:asciiTheme="minorHAnsi" w:eastAsiaTheme="minorEastAsia" w:hAnsiTheme="minorHAnsi" w:cstheme="minorBidi"/>
                <w:sz w:val="18"/>
                <w:szCs w:val="18"/>
              </w:rPr>
            </w:pPr>
            <w:r w:rsidRPr="0ABEE279">
              <w:rPr>
                <w:rFonts w:ascii="Aptos" w:eastAsia="Aptos" w:hAnsi="Aptos" w:cs="Aptos"/>
                <w:lang w:val="en-GB"/>
              </w:rPr>
              <w:t>Invalid signatures</w:t>
            </w:r>
            <w:r w:rsidRPr="0ABEE279">
              <w:rPr>
                <w:rFonts w:ascii="Aptos" w:eastAsia="Aptos" w:hAnsi="Aptos" w:cs="Aptos"/>
              </w:rPr>
              <w:t xml:space="preserve"> </w:t>
            </w:r>
          </w:p>
        </w:tc>
        <w:tc>
          <w:tcPr>
            <w:tcW w:w="0" w:type="dxa"/>
          </w:tcPr>
          <w:p w14:paraId="274614B3" w14:textId="11002858" w:rsidR="425F871F" w:rsidRDefault="425F871F" w:rsidP="0ABEE279">
            <w:pPr>
              <w:spacing w:after="160" w:line="257"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0ABEE279">
              <w:rPr>
                <w:rFonts w:ascii="Aptos" w:eastAsia="Aptos" w:hAnsi="Aptos" w:cs="Aptos"/>
                <w:lang w:val="en-GB"/>
              </w:rPr>
              <w:t>Malicious firmware</w:t>
            </w:r>
            <w:r w:rsidRPr="0ABEE279">
              <w:rPr>
                <w:rFonts w:ascii="Aptos" w:eastAsia="Aptos" w:hAnsi="Aptos" w:cs="Aptos"/>
              </w:rPr>
              <w:t xml:space="preserve"> </w:t>
            </w:r>
          </w:p>
        </w:tc>
        <w:tc>
          <w:tcPr>
            <w:tcW w:w="0" w:type="dxa"/>
          </w:tcPr>
          <w:p w14:paraId="0A6D2FA3" w14:textId="18E3E62E" w:rsidR="425F871F" w:rsidRDefault="425F871F" w:rsidP="0ABEE279">
            <w:pPr>
              <w:spacing w:after="160" w:line="257"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0ABEE279">
              <w:rPr>
                <w:rFonts w:ascii="Aptos" w:eastAsia="Aptos" w:hAnsi="Aptos" w:cs="Aptos"/>
                <w:lang w:val="en-GB"/>
              </w:rPr>
              <w:t>DENY + FAIL_SAFE</w:t>
            </w:r>
            <w:r w:rsidRPr="0ABEE279">
              <w:rPr>
                <w:rFonts w:ascii="Aptos" w:eastAsia="Aptos" w:hAnsi="Aptos" w:cs="Aptos"/>
              </w:rPr>
              <w:t xml:space="preserve"> </w:t>
            </w:r>
          </w:p>
        </w:tc>
        <w:tc>
          <w:tcPr>
            <w:tcW w:w="0" w:type="dxa"/>
          </w:tcPr>
          <w:p w14:paraId="698F0D84" w14:textId="3ACC7DD5" w:rsidR="425F871F" w:rsidRDefault="425F871F" w:rsidP="0ABEE279">
            <w:pPr>
              <w:spacing w:after="160" w:line="257"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0ABEE279">
              <w:rPr>
                <w:rFonts w:ascii="Aptos" w:eastAsia="Aptos" w:hAnsi="Aptos" w:cs="Aptos"/>
                <w:lang w:val="en-GB"/>
              </w:rPr>
              <w:t>fail_safe</w:t>
            </w:r>
            <w:r w:rsidRPr="0ABEE279">
              <w:rPr>
                <w:rFonts w:ascii="Aptos" w:eastAsia="Aptos" w:hAnsi="Aptos" w:cs="Aptos"/>
              </w:rPr>
              <w:t xml:space="preserve"> </w:t>
            </w:r>
          </w:p>
        </w:tc>
        <w:tc>
          <w:tcPr>
            <w:tcW w:w="0" w:type="dxa"/>
          </w:tcPr>
          <w:p w14:paraId="60A9E85D" w14:textId="48C4992D" w:rsidR="425F871F" w:rsidRDefault="425F871F" w:rsidP="0ABEE279">
            <w:pPr>
              <w:spacing w:after="160" w:line="257"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0ABEE279">
              <w:rPr>
                <w:rFonts w:ascii="Aptos" w:eastAsia="Aptos" w:hAnsi="Aptos" w:cs="Aptos"/>
                <w:lang w:val="en-GB"/>
              </w:rPr>
              <w:t>Stage two + BLOCKED</w:t>
            </w:r>
            <w:r w:rsidRPr="0ABEE279">
              <w:rPr>
                <w:rFonts w:ascii="Aptos" w:eastAsia="Aptos" w:hAnsi="Aptos" w:cs="Aptos"/>
              </w:rPr>
              <w:t xml:space="preserve"> </w:t>
            </w:r>
          </w:p>
        </w:tc>
      </w:tr>
      <w:tr w:rsidR="425F871F" w14:paraId="0DBADB36" w14:textId="77777777" w:rsidTr="005713FD">
        <w:trPr>
          <w:trHeight w:val="780"/>
        </w:trPr>
        <w:tc>
          <w:tcPr>
            <w:cnfStyle w:val="001000000000" w:firstRow="0" w:lastRow="0" w:firstColumn="1" w:lastColumn="0" w:oddVBand="0" w:evenVBand="0" w:oddHBand="0" w:evenHBand="0" w:firstRowFirstColumn="0" w:firstRowLastColumn="0" w:lastRowFirstColumn="0" w:lastRowLastColumn="0"/>
            <w:tcW w:w="0" w:type="dxa"/>
          </w:tcPr>
          <w:p w14:paraId="56B247C3" w14:textId="3275FBBF" w:rsidR="425F871F" w:rsidRDefault="425F871F" w:rsidP="0ABEE279">
            <w:pPr>
              <w:spacing w:after="160" w:line="257" w:lineRule="auto"/>
              <w:rPr>
                <w:rFonts w:asciiTheme="minorHAnsi" w:eastAsiaTheme="minorEastAsia" w:hAnsiTheme="minorHAnsi" w:cstheme="minorBidi"/>
                <w:sz w:val="18"/>
                <w:szCs w:val="18"/>
              </w:rPr>
            </w:pPr>
            <w:r w:rsidRPr="0ABEE279">
              <w:rPr>
                <w:rFonts w:ascii="Aptos" w:eastAsia="Aptos" w:hAnsi="Aptos" w:cs="Aptos"/>
                <w:lang w:val="en-GB"/>
              </w:rPr>
              <w:t>TPM compromised</w:t>
            </w:r>
            <w:r w:rsidRPr="0ABEE279">
              <w:rPr>
                <w:rFonts w:ascii="Aptos" w:eastAsia="Aptos" w:hAnsi="Aptos" w:cs="Aptos"/>
              </w:rPr>
              <w:t xml:space="preserve"> </w:t>
            </w:r>
          </w:p>
        </w:tc>
        <w:tc>
          <w:tcPr>
            <w:tcW w:w="0" w:type="dxa"/>
          </w:tcPr>
          <w:p w14:paraId="3AFF578B" w14:textId="5FB117FC" w:rsidR="425F871F" w:rsidRDefault="425F871F" w:rsidP="0ABEE279">
            <w:pPr>
              <w:spacing w:after="160" w:line="257"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0ABEE279">
              <w:rPr>
                <w:rFonts w:ascii="Aptos" w:eastAsia="Aptos" w:hAnsi="Aptos" w:cs="Aptos"/>
                <w:lang w:val="en-GB"/>
              </w:rPr>
              <w:t>Hardware spoofing</w:t>
            </w:r>
            <w:r w:rsidRPr="0ABEE279">
              <w:rPr>
                <w:rFonts w:ascii="Aptos" w:eastAsia="Aptos" w:hAnsi="Aptos" w:cs="Aptos"/>
              </w:rPr>
              <w:t xml:space="preserve"> </w:t>
            </w:r>
          </w:p>
        </w:tc>
        <w:tc>
          <w:tcPr>
            <w:tcW w:w="0" w:type="dxa"/>
          </w:tcPr>
          <w:p w14:paraId="315EC89D" w14:textId="3DC16503" w:rsidR="425F871F" w:rsidRDefault="425F871F" w:rsidP="0ABEE279">
            <w:pPr>
              <w:spacing w:after="160" w:line="257"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0ABEE279">
              <w:rPr>
                <w:rFonts w:ascii="Aptos" w:eastAsia="Aptos" w:hAnsi="Aptos" w:cs="Aptos"/>
                <w:lang w:val="en-GB"/>
              </w:rPr>
              <w:t>DENY + ALERT</w:t>
            </w:r>
            <w:r w:rsidRPr="0ABEE279">
              <w:rPr>
                <w:rFonts w:ascii="Aptos" w:eastAsia="Aptos" w:hAnsi="Aptos" w:cs="Aptos"/>
              </w:rPr>
              <w:t xml:space="preserve"> </w:t>
            </w:r>
          </w:p>
        </w:tc>
        <w:tc>
          <w:tcPr>
            <w:tcW w:w="0" w:type="dxa"/>
          </w:tcPr>
          <w:p w14:paraId="12B4503B" w14:textId="00EDCE63" w:rsidR="425F871F" w:rsidRDefault="425F871F" w:rsidP="0ABEE279">
            <w:pPr>
              <w:spacing w:after="160" w:line="257"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0ABEE279">
              <w:rPr>
                <w:rFonts w:ascii="Aptos" w:eastAsia="Aptos" w:hAnsi="Aptos" w:cs="Aptos"/>
                <w:lang w:val="en-GB"/>
              </w:rPr>
              <w:t>fail_safe</w:t>
            </w:r>
            <w:r w:rsidRPr="0ABEE279">
              <w:rPr>
                <w:rFonts w:ascii="Aptos" w:eastAsia="Aptos" w:hAnsi="Aptos" w:cs="Aptos"/>
              </w:rPr>
              <w:t xml:space="preserve"> </w:t>
            </w:r>
          </w:p>
        </w:tc>
        <w:tc>
          <w:tcPr>
            <w:tcW w:w="0" w:type="dxa"/>
          </w:tcPr>
          <w:p w14:paraId="18FC4C29" w14:textId="5AFCFF41" w:rsidR="425F871F" w:rsidRDefault="425F871F" w:rsidP="0ABEE279">
            <w:pPr>
              <w:spacing w:after="160" w:line="257"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0ABEE279">
              <w:rPr>
                <w:rFonts w:ascii="Aptos" w:eastAsia="Aptos" w:hAnsi="Aptos" w:cs="Aptos"/>
                <w:lang w:val="en-GB"/>
              </w:rPr>
              <w:t>Stage one + BLOCKED</w:t>
            </w:r>
            <w:r w:rsidRPr="0ABEE279">
              <w:rPr>
                <w:rFonts w:ascii="Aptos" w:eastAsia="Aptos" w:hAnsi="Aptos" w:cs="Aptos"/>
              </w:rPr>
              <w:t xml:space="preserve"> </w:t>
            </w:r>
          </w:p>
        </w:tc>
      </w:tr>
      <w:tr w:rsidR="425F871F" w14:paraId="6F25B44C" w14:textId="77777777" w:rsidTr="005713FD">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0" w:type="dxa"/>
          </w:tcPr>
          <w:p w14:paraId="1A6440D5" w14:textId="4CCB4150" w:rsidR="425F871F" w:rsidRDefault="425F871F" w:rsidP="0ABEE279">
            <w:pPr>
              <w:spacing w:after="160" w:line="257" w:lineRule="auto"/>
              <w:rPr>
                <w:rFonts w:asciiTheme="minorHAnsi" w:eastAsiaTheme="minorEastAsia" w:hAnsiTheme="minorHAnsi" w:cstheme="minorBidi"/>
                <w:sz w:val="18"/>
                <w:szCs w:val="18"/>
              </w:rPr>
            </w:pPr>
            <w:r w:rsidRPr="0ABEE279">
              <w:rPr>
                <w:rFonts w:ascii="Aptos" w:eastAsia="Aptos" w:hAnsi="Aptos" w:cs="Aptos"/>
                <w:lang w:val="en-GB"/>
              </w:rPr>
              <w:t>Tampered attack</w:t>
            </w:r>
            <w:r w:rsidRPr="0ABEE279">
              <w:rPr>
                <w:rFonts w:ascii="Aptos" w:eastAsia="Aptos" w:hAnsi="Aptos" w:cs="Aptos"/>
              </w:rPr>
              <w:t xml:space="preserve"> </w:t>
            </w:r>
          </w:p>
        </w:tc>
        <w:tc>
          <w:tcPr>
            <w:tcW w:w="0" w:type="dxa"/>
          </w:tcPr>
          <w:p w14:paraId="2A37E38F" w14:textId="4ACEC5ED" w:rsidR="425F871F" w:rsidRDefault="425F871F" w:rsidP="0ABEE279">
            <w:pPr>
              <w:spacing w:after="160" w:line="257"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0ABEE279">
              <w:rPr>
                <w:rFonts w:ascii="Aptos" w:eastAsia="Aptos" w:hAnsi="Aptos" w:cs="Aptos"/>
                <w:lang w:val="en-GB"/>
              </w:rPr>
              <w:t>Physical intrusions</w:t>
            </w:r>
            <w:r w:rsidRPr="0ABEE279">
              <w:rPr>
                <w:rFonts w:ascii="Aptos" w:eastAsia="Aptos" w:hAnsi="Aptos" w:cs="Aptos"/>
              </w:rPr>
              <w:t xml:space="preserve"> </w:t>
            </w:r>
          </w:p>
        </w:tc>
        <w:tc>
          <w:tcPr>
            <w:tcW w:w="0" w:type="dxa"/>
          </w:tcPr>
          <w:p w14:paraId="00150020" w14:textId="787B1420" w:rsidR="425F871F" w:rsidRDefault="425F871F" w:rsidP="0ABEE279">
            <w:pPr>
              <w:spacing w:after="160" w:line="257"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0ABEE279">
              <w:rPr>
                <w:rFonts w:ascii="Aptos" w:eastAsia="Aptos" w:hAnsi="Aptos" w:cs="Aptos"/>
                <w:lang w:val="en-GB"/>
              </w:rPr>
              <w:t>DENY + FAIL_SAFE</w:t>
            </w:r>
            <w:r w:rsidRPr="0ABEE279">
              <w:rPr>
                <w:rFonts w:ascii="Aptos" w:eastAsia="Aptos" w:hAnsi="Aptos" w:cs="Aptos"/>
              </w:rPr>
              <w:t xml:space="preserve"> </w:t>
            </w:r>
          </w:p>
        </w:tc>
        <w:tc>
          <w:tcPr>
            <w:tcW w:w="0" w:type="dxa"/>
          </w:tcPr>
          <w:p w14:paraId="723AB40C" w14:textId="48B9F3AE" w:rsidR="425F871F" w:rsidRDefault="425F871F" w:rsidP="0ABEE279">
            <w:pPr>
              <w:spacing w:after="160" w:line="257"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0ABEE279">
              <w:rPr>
                <w:rFonts w:ascii="Aptos" w:eastAsia="Aptos" w:hAnsi="Aptos" w:cs="Aptos"/>
                <w:lang w:val="en-GB"/>
              </w:rPr>
              <w:t>fail_safe</w:t>
            </w:r>
            <w:r w:rsidRPr="0ABEE279">
              <w:rPr>
                <w:rFonts w:ascii="Aptos" w:eastAsia="Aptos" w:hAnsi="Aptos" w:cs="Aptos"/>
              </w:rPr>
              <w:t xml:space="preserve"> </w:t>
            </w:r>
          </w:p>
        </w:tc>
        <w:tc>
          <w:tcPr>
            <w:tcW w:w="0" w:type="dxa"/>
          </w:tcPr>
          <w:p w14:paraId="2D5027DE" w14:textId="4F66BE32" w:rsidR="425F871F" w:rsidRDefault="425F871F" w:rsidP="0ABEE279">
            <w:pPr>
              <w:spacing w:after="160" w:line="257"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0ABEE279">
              <w:rPr>
                <w:rFonts w:ascii="Aptos" w:eastAsia="Aptos" w:hAnsi="Aptos" w:cs="Aptos"/>
                <w:lang w:val="en-GB"/>
              </w:rPr>
              <w:t>Stage four + BLOCKED</w:t>
            </w:r>
            <w:r w:rsidRPr="0ABEE279">
              <w:rPr>
                <w:rFonts w:ascii="Aptos" w:eastAsia="Aptos" w:hAnsi="Aptos" w:cs="Aptos"/>
              </w:rPr>
              <w:t xml:space="preserve"> </w:t>
            </w:r>
          </w:p>
        </w:tc>
      </w:tr>
      <w:tr w:rsidR="425F871F" w14:paraId="761BAF1A" w14:textId="77777777" w:rsidTr="005713FD">
        <w:trPr>
          <w:trHeight w:val="780"/>
        </w:trPr>
        <w:tc>
          <w:tcPr>
            <w:cnfStyle w:val="001000000000" w:firstRow="0" w:lastRow="0" w:firstColumn="1" w:lastColumn="0" w:oddVBand="0" w:evenVBand="0" w:oddHBand="0" w:evenHBand="0" w:firstRowFirstColumn="0" w:firstRowLastColumn="0" w:lastRowFirstColumn="0" w:lastRowLastColumn="0"/>
            <w:tcW w:w="0" w:type="dxa"/>
          </w:tcPr>
          <w:p w14:paraId="6FFC6CB7" w14:textId="573A7558" w:rsidR="425F871F" w:rsidRDefault="425F871F" w:rsidP="0ABEE279">
            <w:pPr>
              <w:spacing w:after="160" w:line="257" w:lineRule="auto"/>
              <w:rPr>
                <w:rFonts w:asciiTheme="minorHAnsi" w:eastAsiaTheme="minorEastAsia" w:hAnsiTheme="minorHAnsi" w:cstheme="minorBidi"/>
                <w:sz w:val="18"/>
                <w:szCs w:val="18"/>
              </w:rPr>
            </w:pPr>
            <w:r w:rsidRPr="0ABEE279">
              <w:rPr>
                <w:rFonts w:ascii="Aptos" w:eastAsia="Aptos" w:hAnsi="Aptos" w:cs="Aptos"/>
                <w:lang w:val="en-GB"/>
              </w:rPr>
              <w:t>MiTM attack</w:t>
            </w:r>
            <w:r w:rsidRPr="0ABEE279">
              <w:rPr>
                <w:rFonts w:ascii="Aptos" w:eastAsia="Aptos" w:hAnsi="Aptos" w:cs="Aptos"/>
              </w:rPr>
              <w:t xml:space="preserve"> </w:t>
            </w:r>
          </w:p>
        </w:tc>
        <w:tc>
          <w:tcPr>
            <w:tcW w:w="0" w:type="dxa"/>
          </w:tcPr>
          <w:p w14:paraId="2EDA313E" w14:textId="772E9E92" w:rsidR="425F871F" w:rsidRDefault="425F871F" w:rsidP="0ABEE279">
            <w:pPr>
              <w:spacing w:after="160" w:line="257"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0ABEE279">
              <w:rPr>
                <w:rFonts w:ascii="Aptos" w:eastAsia="Aptos" w:hAnsi="Aptos" w:cs="Aptos"/>
                <w:lang w:val="en-GB"/>
              </w:rPr>
              <w:t>Protocol interceptions</w:t>
            </w:r>
            <w:r w:rsidRPr="0ABEE279">
              <w:rPr>
                <w:rFonts w:ascii="Aptos" w:eastAsia="Aptos" w:hAnsi="Aptos" w:cs="Aptos"/>
              </w:rPr>
              <w:t xml:space="preserve"> </w:t>
            </w:r>
          </w:p>
        </w:tc>
        <w:tc>
          <w:tcPr>
            <w:tcW w:w="0" w:type="dxa"/>
          </w:tcPr>
          <w:p w14:paraId="31EF4230" w14:textId="7236F371" w:rsidR="425F871F" w:rsidRDefault="425F871F" w:rsidP="0ABEE279">
            <w:pPr>
              <w:spacing w:after="160" w:line="257"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0ABEE279">
              <w:rPr>
                <w:rFonts w:ascii="Aptos" w:eastAsia="Aptos" w:hAnsi="Aptos" w:cs="Aptos"/>
                <w:lang w:val="en-GB"/>
              </w:rPr>
              <w:t>DENY + AUDIT</w:t>
            </w:r>
            <w:r w:rsidRPr="0ABEE279">
              <w:rPr>
                <w:rFonts w:ascii="Aptos" w:eastAsia="Aptos" w:hAnsi="Aptos" w:cs="Aptos"/>
              </w:rPr>
              <w:t xml:space="preserve"> </w:t>
            </w:r>
          </w:p>
        </w:tc>
        <w:tc>
          <w:tcPr>
            <w:tcW w:w="0" w:type="dxa"/>
          </w:tcPr>
          <w:p w14:paraId="306D9190" w14:textId="48E20DF1" w:rsidR="425F871F" w:rsidRDefault="425F871F" w:rsidP="0ABEE279">
            <w:pPr>
              <w:spacing w:after="160" w:line="257"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0ABEE279">
              <w:rPr>
                <w:rFonts w:ascii="Aptos" w:eastAsia="Aptos" w:hAnsi="Aptos" w:cs="Aptos"/>
                <w:lang w:val="en-GB"/>
              </w:rPr>
              <w:t>OPERATIONAL</w:t>
            </w:r>
            <w:r w:rsidRPr="0ABEE279">
              <w:rPr>
                <w:rFonts w:ascii="Aptos" w:eastAsia="Aptos" w:hAnsi="Aptos" w:cs="Aptos"/>
              </w:rPr>
              <w:t xml:space="preserve"> </w:t>
            </w:r>
          </w:p>
        </w:tc>
        <w:tc>
          <w:tcPr>
            <w:tcW w:w="0" w:type="dxa"/>
          </w:tcPr>
          <w:p w14:paraId="2D146634" w14:textId="694AB4ED" w:rsidR="425F871F" w:rsidRDefault="425F871F" w:rsidP="0ABEE279">
            <w:pPr>
              <w:spacing w:after="160" w:line="257"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0ABEE279">
              <w:rPr>
                <w:rFonts w:ascii="Aptos" w:eastAsia="Aptos" w:hAnsi="Aptos" w:cs="Aptos"/>
                <w:lang w:val="en-GB"/>
              </w:rPr>
              <w:t>No impact</w:t>
            </w:r>
          </w:p>
        </w:tc>
      </w:tr>
    </w:tbl>
    <w:p w14:paraId="35B50643" w14:textId="30E98259" w:rsidR="3F3DF4E1" w:rsidRDefault="3F3DF4E1" w:rsidP="625B0D3D">
      <w:pPr>
        <w:spacing w:after="160" w:line="257" w:lineRule="auto"/>
        <w:rPr>
          <w:rFonts w:asciiTheme="minorHAnsi" w:eastAsiaTheme="minorEastAsia" w:hAnsiTheme="minorHAnsi" w:cstheme="minorBidi"/>
          <w:lang w:val="en-GB"/>
        </w:rPr>
      </w:pPr>
      <w:r w:rsidRPr="625B0D3D">
        <w:rPr>
          <w:rFonts w:ascii="Aptos" w:eastAsia="Aptos" w:hAnsi="Aptos" w:cs="Aptos"/>
        </w:rPr>
        <w:t xml:space="preserve"> </w:t>
      </w:r>
    </w:p>
    <w:p w14:paraId="6BB618DC" w14:textId="5C54AEB9" w:rsidR="3F3DF4E1" w:rsidRDefault="3F3DF4E1" w:rsidP="41D55304">
      <w:pPr>
        <w:spacing w:after="160" w:line="257" w:lineRule="auto"/>
        <w:jc w:val="both"/>
        <w:rPr>
          <w:rFonts w:asciiTheme="minorHAnsi" w:eastAsiaTheme="minorEastAsia" w:hAnsiTheme="minorHAnsi" w:cstheme="minorBidi"/>
          <w:sz w:val="24"/>
          <w:szCs w:val="24"/>
          <w:lang w:val="en-GB"/>
        </w:rPr>
      </w:pPr>
      <w:r w:rsidRPr="41D55304">
        <w:rPr>
          <w:rFonts w:asciiTheme="minorHAnsi" w:eastAsiaTheme="minorEastAsia" w:hAnsiTheme="minorHAnsi" w:cstheme="minorBidi"/>
          <w:b/>
          <w:lang w:val="en-GB"/>
        </w:rPr>
        <w:t>Layer 2: EVSE and DER Operational Results:</w:t>
      </w:r>
      <w:r w:rsidRPr="41D55304">
        <w:rPr>
          <w:rFonts w:asciiTheme="minorHAnsi" w:eastAsiaTheme="minorEastAsia" w:hAnsiTheme="minorHAnsi" w:cstheme="minorBidi"/>
          <w:lang w:val="en-GB"/>
        </w:rPr>
        <w:t xml:space="preserve"> In Layer 2, the operational performance of EVSE and DER systems is evaluated. A fleet of six EV chargers is connected to the charging station, with all connections established and grid parameters synchronized to ensure a stable power supply. The EV charging profiles track metrics such as target state of charge (SoC) percentage, peak power delivered to each EV, charging status, and active sessions. During operation, nine communication protocols exchange control information concurrently across the EV fleet. A detailed illustration of this setup is provided in </w:t>
      </w:r>
      <w:r w:rsidR="0055610B">
        <w:rPr>
          <w:rFonts w:asciiTheme="minorHAnsi" w:eastAsiaTheme="minorEastAsia" w:hAnsiTheme="minorHAnsi" w:cstheme="minorBidi"/>
          <w:lang w:val="en-GB"/>
        </w:rPr>
        <w:t>f</w:t>
      </w:r>
      <w:r w:rsidRPr="41D55304">
        <w:rPr>
          <w:rFonts w:asciiTheme="minorHAnsi" w:eastAsiaTheme="minorEastAsia" w:hAnsiTheme="minorHAnsi" w:cstheme="minorBidi"/>
          <w:lang w:val="en-GB"/>
        </w:rPr>
        <w:t xml:space="preserve">igure </w:t>
      </w:r>
      <w:r w:rsidR="4AC18766" w:rsidRPr="41D55304">
        <w:rPr>
          <w:rFonts w:asciiTheme="minorHAnsi" w:eastAsiaTheme="minorEastAsia" w:hAnsiTheme="minorHAnsi" w:cstheme="minorBidi"/>
          <w:lang w:val="en-GB"/>
        </w:rPr>
        <w:t>38</w:t>
      </w:r>
      <w:r w:rsidRPr="41D55304">
        <w:rPr>
          <w:rFonts w:asciiTheme="minorHAnsi" w:eastAsiaTheme="minorEastAsia" w:hAnsiTheme="minorHAnsi" w:cstheme="minorBidi"/>
          <w:lang w:val="en-GB"/>
        </w:rPr>
        <w:t xml:space="preserve">, while real-time telemetry of EVSE operations—including total SoC, power delivery, and battery temperature during charging—is shown in </w:t>
      </w:r>
      <w:r w:rsidR="0055610B">
        <w:rPr>
          <w:rFonts w:asciiTheme="minorHAnsi" w:eastAsiaTheme="minorEastAsia" w:hAnsiTheme="minorHAnsi" w:cstheme="minorBidi"/>
          <w:lang w:val="en-GB"/>
        </w:rPr>
        <w:t>f</w:t>
      </w:r>
      <w:r w:rsidRPr="41D55304">
        <w:rPr>
          <w:rFonts w:asciiTheme="minorHAnsi" w:eastAsiaTheme="minorEastAsia" w:hAnsiTheme="minorHAnsi" w:cstheme="minorBidi"/>
          <w:lang w:val="en-GB"/>
        </w:rPr>
        <w:t xml:space="preserve">igure </w:t>
      </w:r>
      <w:r w:rsidR="073FE632" w:rsidRPr="41D55304">
        <w:rPr>
          <w:rFonts w:asciiTheme="minorHAnsi" w:eastAsiaTheme="minorEastAsia" w:hAnsiTheme="minorHAnsi" w:cstheme="minorBidi"/>
          <w:lang w:val="en-GB"/>
        </w:rPr>
        <w:t>39</w:t>
      </w:r>
      <w:r w:rsidRPr="41D55304">
        <w:rPr>
          <w:rFonts w:asciiTheme="minorHAnsi" w:eastAsiaTheme="minorEastAsia" w:hAnsiTheme="minorHAnsi" w:cstheme="minorBidi"/>
          <w:lang w:val="en-GB"/>
        </w:rPr>
        <w:t>.</w:t>
      </w:r>
    </w:p>
    <w:p w14:paraId="688E40C2" w14:textId="37BFC7A0" w:rsidR="3F3DF4E1" w:rsidRDefault="3F3DF4E1" w:rsidP="625B0D3D">
      <w:pPr>
        <w:spacing w:after="160" w:line="257" w:lineRule="auto"/>
        <w:rPr>
          <w:rFonts w:asciiTheme="minorHAnsi" w:eastAsiaTheme="minorEastAsia" w:hAnsiTheme="minorHAnsi" w:cstheme="minorBidi"/>
        </w:rPr>
      </w:pPr>
    </w:p>
    <w:p w14:paraId="46FB1CD8" w14:textId="047B4085" w:rsidR="0091030E" w:rsidRDefault="0091030E" w:rsidP="625B0D3D">
      <w:pPr>
        <w:spacing w:after="160" w:line="257" w:lineRule="auto"/>
        <w:rPr>
          <w:rFonts w:asciiTheme="minorHAnsi" w:eastAsiaTheme="minorEastAsia" w:hAnsiTheme="minorHAnsi" w:cstheme="minorBidi"/>
        </w:rPr>
      </w:pPr>
      <w:r>
        <w:rPr>
          <w:noProof/>
        </w:rPr>
        <w:drawing>
          <wp:inline distT="0" distB="0" distL="0" distR="0" wp14:anchorId="51FA9C78" wp14:editId="455DFF59">
            <wp:extent cx="6120130" cy="4788535"/>
            <wp:effectExtent l="0" t="0" r="0" b="0"/>
            <wp:docPr id="1927684555" name="Picture 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684555" name="Picture 9" descr="A screenshot of a computer&#10;&#10;AI-generated content may be incorrect."/>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20130" cy="4788535"/>
                    </a:xfrm>
                    <a:prstGeom prst="rect">
                      <a:avLst/>
                    </a:prstGeom>
                    <a:noFill/>
                    <a:ln>
                      <a:noFill/>
                    </a:ln>
                  </pic:spPr>
                </pic:pic>
              </a:graphicData>
            </a:graphic>
          </wp:inline>
        </w:drawing>
      </w:r>
    </w:p>
    <w:p w14:paraId="0575D317" w14:textId="11730ADD" w:rsidR="3F3DF4E1" w:rsidRDefault="00716B37" w:rsidP="00716B37">
      <w:pPr>
        <w:pStyle w:val="Caption"/>
        <w:rPr>
          <w:rFonts w:asciiTheme="minorHAnsi" w:eastAsiaTheme="minorEastAsia" w:hAnsiTheme="minorHAnsi" w:cstheme="minorBidi"/>
          <w:i/>
          <w:color w:val="0E2841"/>
          <w:szCs w:val="20"/>
          <w:lang w:val="en-GB"/>
        </w:rPr>
      </w:pPr>
      <w:bookmarkStart w:id="323" w:name="_Toc233112244"/>
      <w:r>
        <w:t xml:space="preserve">Figure </w:t>
      </w:r>
      <w:r w:rsidR="00113348">
        <w:fldChar w:fldCharType="begin"/>
      </w:r>
      <w:r w:rsidR="00113348">
        <w:instrText xml:space="preserve"> SEQ Figure \* ARABIC </w:instrText>
      </w:r>
      <w:r w:rsidR="00113348">
        <w:fldChar w:fldCharType="separate"/>
      </w:r>
      <w:r w:rsidR="00F8092D">
        <w:rPr>
          <w:noProof/>
        </w:rPr>
        <w:t>38</w:t>
      </w:r>
      <w:r w:rsidR="00113348">
        <w:rPr>
          <w:noProof/>
        </w:rPr>
        <w:fldChar w:fldCharType="end"/>
      </w:r>
      <w:r w:rsidR="3F3DF4E1" w:rsidRPr="625B0D3D">
        <w:rPr>
          <w:rFonts w:ascii="Aptos" w:eastAsia="Aptos" w:hAnsi="Aptos" w:cs="Aptos"/>
          <w:i/>
          <w:iCs/>
          <w:color w:val="0E2841"/>
          <w:sz w:val="18"/>
          <w:lang w:val="en-GB"/>
        </w:rPr>
        <w:t>:</w:t>
      </w:r>
      <w:r w:rsidR="3F3DF4E1" w:rsidRPr="625B0D3D">
        <w:rPr>
          <w:rFonts w:ascii="Aptos" w:eastAsia="Aptos" w:hAnsi="Aptos" w:cs="Aptos"/>
          <w:i/>
          <w:color w:val="0E2841"/>
          <w:sz w:val="18"/>
          <w:lang w:val="en-GB"/>
        </w:rPr>
        <w:t xml:space="preserve"> Layer 2 results: EV fleet charging profiles and statistics of communication protocols interactions</w:t>
      </w:r>
      <w:bookmarkEnd w:id="323"/>
    </w:p>
    <w:p w14:paraId="259C5684" w14:textId="76BAD50F" w:rsidR="3F3DF4E1" w:rsidRDefault="3F3DF4E1" w:rsidP="625B0D3D">
      <w:pPr>
        <w:spacing w:after="160" w:line="257" w:lineRule="auto"/>
        <w:rPr>
          <w:rFonts w:asciiTheme="minorHAnsi" w:eastAsiaTheme="minorEastAsia" w:hAnsiTheme="minorHAnsi" w:cstheme="minorBidi"/>
          <w:sz w:val="20"/>
          <w:szCs w:val="20"/>
          <w:lang w:val="en-GB"/>
        </w:rPr>
      </w:pPr>
      <w:r w:rsidRPr="625B0D3D">
        <w:rPr>
          <w:rFonts w:ascii="Aptos" w:eastAsia="Aptos" w:hAnsi="Aptos" w:cs="Aptos"/>
          <w:lang w:val="en-GB"/>
        </w:rPr>
        <w:t xml:space="preserve"> </w:t>
      </w:r>
    </w:p>
    <w:p w14:paraId="6CB02984" w14:textId="3ACC2E48" w:rsidR="3F3DF4E1" w:rsidRDefault="3F3DF4E1" w:rsidP="625B0D3D">
      <w:pPr>
        <w:spacing w:after="160" w:line="257" w:lineRule="auto"/>
        <w:rPr>
          <w:rFonts w:asciiTheme="minorHAnsi" w:eastAsiaTheme="minorEastAsia" w:hAnsiTheme="minorHAnsi" w:cstheme="minorBidi"/>
        </w:rPr>
      </w:pPr>
    </w:p>
    <w:p w14:paraId="49F93CDA" w14:textId="151A4C01" w:rsidR="00F82017" w:rsidRDefault="00F82017" w:rsidP="625B0D3D">
      <w:pPr>
        <w:spacing w:after="160" w:line="257" w:lineRule="auto"/>
        <w:rPr>
          <w:rFonts w:asciiTheme="minorHAnsi" w:eastAsiaTheme="minorEastAsia" w:hAnsiTheme="minorHAnsi" w:cstheme="minorBidi"/>
        </w:rPr>
      </w:pPr>
      <w:r>
        <w:rPr>
          <w:noProof/>
        </w:rPr>
        <w:drawing>
          <wp:inline distT="0" distB="0" distL="0" distR="0" wp14:anchorId="74C94CB1" wp14:editId="51BD6546">
            <wp:extent cx="6120130" cy="4283075"/>
            <wp:effectExtent l="0" t="0" r="0" b="3175"/>
            <wp:docPr id="1327422493" name="Picture 10"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422493" name="Picture 10" descr="A screenshot of a graph&#10;&#10;AI-generated content may be incorrect."/>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20130" cy="4283075"/>
                    </a:xfrm>
                    <a:prstGeom prst="rect">
                      <a:avLst/>
                    </a:prstGeom>
                    <a:noFill/>
                    <a:ln>
                      <a:noFill/>
                    </a:ln>
                  </pic:spPr>
                </pic:pic>
              </a:graphicData>
            </a:graphic>
          </wp:inline>
        </w:drawing>
      </w:r>
    </w:p>
    <w:p w14:paraId="2270A673" w14:textId="73CA3102" w:rsidR="3F3DF4E1" w:rsidRDefault="00716B37" w:rsidP="00716B37">
      <w:pPr>
        <w:pStyle w:val="Caption"/>
        <w:rPr>
          <w:rFonts w:asciiTheme="minorHAnsi" w:eastAsiaTheme="minorEastAsia" w:hAnsiTheme="minorHAnsi" w:cstheme="minorBidi"/>
          <w:i/>
          <w:color w:val="0E2841"/>
          <w:szCs w:val="20"/>
          <w:lang w:val="en-GB"/>
        </w:rPr>
      </w:pPr>
      <w:bookmarkStart w:id="324" w:name="_Toc233112245"/>
      <w:r>
        <w:t xml:space="preserve">Figure </w:t>
      </w:r>
      <w:r w:rsidR="00113348">
        <w:fldChar w:fldCharType="begin"/>
      </w:r>
      <w:r w:rsidR="00113348">
        <w:instrText xml:space="preserve"> SEQ Figure \* ARABIC </w:instrText>
      </w:r>
      <w:r w:rsidR="00113348">
        <w:fldChar w:fldCharType="separate"/>
      </w:r>
      <w:r w:rsidR="00F8092D">
        <w:rPr>
          <w:noProof/>
        </w:rPr>
        <w:t>39</w:t>
      </w:r>
      <w:r w:rsidR="00113348">
        <w:rPr>
          <w:noProof/>
        </w:rPr>
        <w:fldChar w:fldCharType="end"/>
      </w:r>
      <w:r w:rsidR="3F3DF4E1" w:rsidRPr="625B0D3D">
        <w:rPr>
          <w:rFonts w:ascii="Aptos" w:eastAsia="Aptos" w:hAnsi="Aptos" w:cs="Aptos"/>
          <w:i/>
          <w:iCs/>
          <w:color w:val="0E2841"/>
          <w:sz w:val="18"/>
          <w:lang w:val="en-GB"/>
        </w:rPr>
        <w:t>:</w:t>
      </w:r>
      <w:r w:rsidR="3F3DF4E1" w:rsidRPr="625B0D3D">
        <w:rPr>
          <w:rFonts w:ascii="Aptos" w:eastAsia="Aptos" w:hAnsi="Aptos" w:cs="Aptos"/>
          <w:i/>
          <w:color w:val="0E2841"/>
          <w:sz w:val="18"/>
          <w:lang w:val="en-GB"/>
        </w:rPr>
        <w:t xml:space="preserve"> Real-time charging profile of EV fleet: the SoC charging profile over sixty minutes, total power delivery to EV fleets, and temperature distribution for individual EV across the EVSE fleet.</w:t>
      </w:r>
      <w:bookmarkEnd w:id="324"/>
    </w:p>
    <w:p w14:paraId="71B13496" w14:textId="5528B04A" w:rsidR="3F3DF4E1" w:rsidRDefault="3F3DF4E1" w:rsidP="625B0D3D">
      <w:pPr>
        <w:spacing w:after="160" w:line="257" w:lineRule="auto"/>
        <w:rPr>
          <w:rFonts w:asciiTheme="minorHAnsi" w:eastAsiaTheme="minorEastAsia" w:hAnsiTheme="minorHAnsi" w:cstheme="minorBidi"/>
          <w:sz w:val="20"/>
          <w:szCs w:val="20"/>
          <w:lang w:val="en-GB"/>
        </w:rPr>
      </w:pPr>
      <w:r w:rsidRPr="625B0D3D">
        <w:rPr>
          <w:rFonts w:ascii="Aptos" w:eastAsia="Aptos" w:hAnsi="Aptos" w:cs="Aptos"/>
          <w:lang w:val="en-GB"/>
        </w:rPr>
        <w:t xml:space="preserve"> </w:t>
      </w:r>
    </w:p>
    <w:p w14:paraId="239AE671" w14:textId="6AB0FE9E" w:rsidR="3F3DF4E1" w:rsidRDefault="3F3DF4E1" w:rsidP="41D55304">
      <w:pPr>
        <w:spacing w:after="160" w:line="257" w:lineRule="auto"/>
        <w:jc w:val="both"/>
        <w:rPr>
          <w:rFonts w:asciiTheme="minorHAnsi" w:eastAsiaTheme="minorEastAsia" w:hAnsiTheme="minorHAnsi" w:cstheme="minorBidi"/>
          <w:sz w:val="24"/>
          <w:szCs w:val="24"/>
        </w:rPr>
      </w:pPr>
      <w:r w:rsidRPr="05F7E01C">
        <w:rPr>
          <w:rFonts w:asciiTheme="minorHAnsi" w:eastAsiaTheme="minorEastAsia" w:hAnsiTheme="minorHAnsi" w:cstheme="minorBidi"/>
          <w:sz w:val="24"/>
          <w:szCs w:val="24"/>
        </w:rPr>
        <w:t>Key findings: The results reveal several important observations:</w:t>
      </w:r>
    </w:p>
    <w:p w14:paraId="3BA48328" w14:textId="1AC67A04" w:rsidR="3F3DF4E1" w:rsidRDefault="3F3DF4E1" w:rsidP="41D55304">
      <w:pPr>
        <w:pStyle w:val="ListParagraph"/>
        <w:numPr>
          <w:ilvl w:val="0"/>
          <w:numId w:val="57"/>
        </w:numPr>
        <w:spacing w:before="0" w:after="0" w:line="257" w:lineRule="auto"/>
        <w:jc w:val="both"/>
        <w:rPr>
          <w:rFonts w:asciiTheme="minorHAnsi" w:eastAsiaTheme="minorEastAsia" w:hAnsiTheme="minorHAnsi" w:cstheme="minorBidi"/>
        </w:rPr>
      </w:pPr>
      <w:r w:rsidRPr="05F7E01C">
        <w:rPr>
          <w:rFonts w:asciiTheme="minorHAnsi" w:eastAsiaTheme="minorEastAsia" w:hAnsiTheme="minorHAnsi" w:cstheme="minorBidi"/>
        </w:rPr>
        <w:t>All EVs in the fleet operate within the limits of charging station capacity, load demand, and battery charging dynamics.</w:t>
      </w:r>
    </w:p>
    <w:p w14:paraId="787A3130" w14:textId="597C34F4" w:rsidR="3F3DF4E1" w:rsidRDefault="3F3DF4E1" w:rsidP="41D55304">
      <w:pPr>
        <w:pStyle w:val="ListParagraph"/>
        <w:numPr>
          <w:ilvl w:val="0"/>
          <w:numId w:val="57"/>
        </w:numPr>
        <w:spacing w:before="0" w:after="0" w:line="257" w:lineRule="auto"/>
        <w:jc w:val="both"/>
        <w:rPr>
          <w:rFonts w:asciiTheme="minorHAnsi" w:eastAsiaTheme="minorEastAsia" w:hAnsiTheme="minorHAnsi" w:cstheme="minorBidi"/>
        </w:rPr>
      </w:pPr>
      <w:r w:rsidRPr="05F7E01C">
        <w:rPr>
          <w:rFonts w:asciiTheme="minorHAnsi" w:eastAsiaTheme="minorEastAsia" w:hAnsiTheme="minorHAnsi" w:cstheme="minorBidi"/>
        </w:rPr>
        <w:t>Active sessions are established for all EVs, ensuring full utilization of EVSE capacity.</w:t>
      </w:r>
    </w:p>
    <w:p w14:paraId="5FB3EC1D" w14:textId="769DBF35" w:rsidR="3F3DF4E1" w:rsidRDefault="3F3DF4E1" w:rsidP="41D55304">
      <w:pPr>
        <w:pStyle w:val="ListParagraph"/>
        <w:numPr>
          <w:ilvl w:val="0"/>
          <w:numId w:val="57"/>
        </w:numPr>
        <w:spacing w:before="0" w:after="0" w:line="257" w:lineRule="auto"/>
        <w:jc w:val="both"/>
        <w:rPr>
          <w:rFonts w:asciiTheme="minorHAnsi" w:eastAsiaTheme="minorEastAsia" w:hAnsiTheme="minorHAnsi" w:cstheme="minorBidi"/>
        </w:rPr>
      </w:pPr>
      <w:r w:rsidRPr="05F7E01C">
        <w:rPr>
          <w:rFonts w:asciiTheme="minorHAnsi" w:eastAsiaTheme="minorEastAsia" w:hAnsiTheme="minorHAnsi" w:cstheme="minorBidi"/>
        </w:rPr>
        <w:t>All EVs maintain stable charging states throughout the operation.</w:t>
      </w:r>
    </w:p>
    <w:p w14:paraId="3737DC5F" w14:textId="27D3BAFB" w:rsidR="3F3DF4E1" w:rsidRDefault="3F3DF4E1" w:rsidP="41D55304">
      <w:pPr>
        <w:pStyle w:val="ListParagraph"/>
        <w:numPr>
          <w:ilvl w:val="0"/>
          <w:numId w:val="57"/>
        </w:numPr>
        <w:spacing w:before="0" w:after="0" w:line="257" w:lineRule="auto"/>
        <w:jc w:val="both"/>
        <w:rPr>
          <w:rFonts w:asciiTheme="minorHAnsi" w:eastAsiaTheme="minorEastAsia" w:hAnsiTheme="minorHAnsi" w:cstheme="minorBidi"/>
        </w:rPr>
      </w:pPr>
      <w:r w:rsidRPr="05F7E01C">
        <w:rPr>
          <w:rFonts w:asciiTheme="minorHAnsi" w:eastAsiaTheme="minorEastAsia" w:hAnsiTheme="minorHAnsi" w:cstheme="minorBidi"/>
        </w:rPr>
        <w:t>TSM policy enforcement successfully governs the entire process, with no violations detected.</w:t>
      </w:r>
    </w:p>
    <w:p w14:paraId="4E23D7FC" w14:textId="738D7494" w:rsidR="3F3DF4E1" w:rsidRDefault="3F3DF4E1" w:rsidP="41D55304">
      <w:pPr>
        <w:spacing w:after="160" w:line="257" w:lineRule="auto"/>
        <w:jc w:val="both"/>
        <w:rPr>
          <w:rFonts w:asciiTheme="minorHAnsi" w:eastAsiaTheme="minorEastAsia" w:hAnsiTheme="minorHAnsi" w:cstheme="minorBidi"/>
          <w:sz w:val="24"/>
          <w:szCs w:val="24"/>
        </w:rPr>
      </w:pPr>
      <w:r w:rsidRPr="05F7E01C">
        <w:rPr>
          <w:rFonts w:asciiTheme="minorHAnsi" w:eastAsiaTheme="minorEastAsia" w:hAnsiTheme="minorHAnsi" w:cstheme="minorBidi"/>
          <w:sz w:val="24"/>
          <w:szCs w:val="24"/>
        </w:rPr>
        <w:t>These findings demonstrate the effective prevention of unsafe EVSE behavior. Furthermore, the results support hypothesis H2, confirming that firmware enforcement constraints successfully prevent risks associated with malicious firmware update attempts.</w:t>
      </w:r>
    </w:p>
    <w:p w14:paraId="3B6A9528" w14:textId="3D4309FB" w:rsidR="3F3DF4E1" w:rsidRDefault="3F3DF4E1" w:rsidP="41D55304">
      <w:pPr>
        <w:spacing w:after="160" w:line="257" w:lineRule="auto"/>
        <w:jc w:val="both"/>
        <w:rPr>
          <w:rFonts w:asciiTheme="minorHAnsi" w:eastAsiaTheme="minorEastAsia" w:hAnsiTheme="minorHAnsi" w:cstheme="minorBidi"/>
          <w:sz w:val="24"/>
          <w:szCs w:val="24"/>
          <w:lang w:val="en-GB"/>
        </w:rPr>
      </w:pPr>
      <w:r w:rsidRPr="05F7E01C">
        <w:rPr>
          <w:rFonts w:asciiTheme="minorHAnsi" w:eastAsiaTheme="minorEastAsia" w:hAnsiTheme="minorHAnsi" w:cstheme="minorBidi"/>
          <w:sz w:val="24"/>
          <w:szCs w:val="24"/>
          <w:lang w:val="en-GB"/>
        </w:rPr>
        <w:t xml:space="preserve"> </w:t>
      </w:r>
    </w:p>
    <w:p w14:paraId="63A2C258" w14:textId="569A6E38" w:rsidR="3F3DF4E1" w:rsidRDefault="3F3DF4E1" w:rsidP="41D55304">
      <w:pPr>
        <w:spacing w:after="160" w:line="257" w:lineRule="auto"/>
        <w:jc w:val="both"/>
        <w:rPr>
          <w:rFonts w:asciiTheme="minorHAnsi" w:eastAsiaTheme="minorEastAsia" w:hAnsiTheme="minorHAnsi" w:cstheme="minorBidi"/>
          <w:sz w:val="24"/>
          <w:szCs w:val="24"/>
        </w:rPr>
      </w:pPr>
      <w:r w:rsidRPr="05F7E01C">
        <w:rPr>
          <w:rFonts w:asciiTheme="minorHAnsi" w:eastAsiaTheme="minorEastAsia" w:hAnsiTheme="minorHAnsi" w:cstheme="minorBidi"/>
          <w:b/>
          <w:sz w:val="24"/>
          <w:szCs w:val="24"/>
        </w:rPr>
        <w:t>Layer 3: Grid Level Impact:</w:t>
      </w:r>
      <w:r w:rsidRPr="05F7E01C">
        <w:rPr>
          <w:rFonts w:asciiTheme="minorHAnsi" w:eastAsiaTheme="minorEastAsia" w:hAnsiTheme="minorHAnsi" w:cstheme="minorBidi"/>
          <w:sz w:val="24"/>
          <w:szCs w:val="24"/>
        </w:rPr>
        <w:t xml:space="preserve"> Grid stability during EV fleet charging is maintained through TSM-enforced policies and the trust chain. Figure </w:t>
      </w:r>
      <w:r w:rsidR="306D0203" w:rsidRPr="05F7E01C">
        <w:rPr>
          <w:rFonts w:asciiTheme="minorHAnsi" w:eastAsiaTheme="minorEastAsia" w:hAnsiTheme="minorHAnsi" w:cstheme="minorBidi"/>
          <w:sz w:val="24"/>
          <w:szCs w:val="24"/>
        </w:rPr>
        <w:t>40</w:t>
      </w:r>
      <w:r w:rsidRPr="05F7E01C">
        <w:rPr>
          <w:rFonts w:asciiTheme="minorHAnsi" w:eastAsiaTheme="minorEastAsia" w:hAnsiTheme="minorHAnsi" w:cstheme="minorBidi"/>
          <w:sz w:val="24"/>
          <w:szCs w:val="24"/>
        </w:rPr>
        <w:t xml:space="preserve"> illustrates frequency and voltage stability during EV fleet charging, demonstrating the effectiveness of TSM policies in preserving power grid stability.</w:t>
      </w:r>
    </w:p>
    <w:p w14:paraId="7654EB15" w14:textId="1ED3F36D" w:rsidR="3F3DF4E1" w:rsidRDefault="3F3DF4E1" w:rsidP="625B0D3D">
      <w:pPr>
        <w:spacing w:after="160" w:line="257" w:lineRule="auto"/>
        <w:rPr>
          <w:rFonts w:asciiTheme="minorHAnsi" w:eastAsiaTheme="minorEastAsia" w:hAnsiTheme="minorHAnsi" w:cstheme="minorBidi"/>
        </w:rPr>
      </w:pPr>
    </w:p>
    <w:p w14:paraId="68BB0C86" w14:textId="4CE3690F" w:rsidR="00F25722" w:rsidRDefault="00F25722" w:rsidP="625B0D3D">
      <w:pPr>
        <w:spacing w:after="160" w:line="257" w:lineRule="auto"/>
        <w:rPr>
          <w:rFonts w:asciiTheme="minorHAnsi" w:eastAsiaTheme="minorEastAsia" w:hAnsiTheme="minorHAnsi" w:cstheme="minorBidi"/>
        </w:rPr>
      </w:pPr>
      <w:r>
        <w:rPr>
          <w:noProof/>
        </w:rPr>
        <w:drawing>
          <wp:inline distT="0" distB="0" distL="0" distR="0" wp14:anchorId="59409FFA" wp14:editId="0F18EE27">
            <wp:extent cx="6120130" cy="4527550"/>
            <wp:effectExtent l="0" t="0" r="0" b="6350"/>
            <wp:docPr id="685975314" name="Picture 1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975314" name="Picture 11" descr="A screenshot of a computer&#10;&#10;AI-generated content may be incorrect."/>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20130" cy="4527550"/>
                    </a:xfrm>
                    <a:prstGeom prst="rect">
                      <a:avLst/>
                    </a:prstGeom>
                    <a:noFill/>
                    <a:ln>
                      <a:noFill/>
                    </a:ln>
                  </pic:spPr>
                </pic:pic>
              </a:graphicData>
            </a:graphic>
          </wp:inline>
        </w:drawing>
      </w:r>
    </w:p>
    <w:p w14:paraId="366D09BC" w14:textId="32569F88" w:rsidR="3F3DF4E1" w:rsidRDefault="00716B37" w:rsidP="00716B37">
      <w:pPr>
        <w:pStyle w:val="Caption"/>
        <w:rPr>
          <w:rFonts w:asciiTheme="minorHAnsi" w:eastAsiaTheme="minorEastAsia" w:hAnsiTheme="minorHAnsi" w:cstheme="minorBidi"/>
          <w:i/>
          <w:color w:val="0E2841"/>
          <w:szCs w:val="20"/>
          <w:lang w:val="en-GB"/>
        </w:rPr>
      </w:pPr>
      <w:bookmarkStart w:id="325" w:name="_Toc233112246"/>
      <w:r>
        <w:t xml:space="preserve">Figure </w:t>
      </w:r>
      <w:r w:rsidR="00113348">
        <w:fldChar w:fldCharType="begin"/>
      </w:r>
      <w:r w:rsidR="00113348">
        <w:instrText xml:space="preserve"> SEQ Figure \* ARABIC </w:instrText>
      </w:r>
      <w:r w:rsidR="00113348">
        <w:fldChar w:fldCharType="separate"/>
      </w:r>
      <w:r w:rsidR="00F8092D">
        <w:rPr>
          <w:noProof/>
        </w:rPr>
        <w:t>40</w:t>
      </w:r>
      <w:r w:rsidR="00113348">
        <w:rPr>
          <w:noProof/>
        </w:rPr>
        <w:fldChar w:fldCharType="end"/>
      </w:r>
      <w:r w:rsidR="3F3DF4E1" w:rsidRPr="05F7E01C">
        <w:rPr>
          <w:rFonts w:ascii="Aptos" w:eastAsia="Aptos" w:hAnsi="Aptos" w:cs="Aptos"/>
          <w:i/>
          <w:color w:val="0E2841"/>
          <w:szCs w:val="20"/>
          <w:lang w:val="en-GB"/>
        </w:rPr>
        <w:t>: Layer 3 results: TSM enforced frequency and voltage stability of power grid.</w:t>
      </w:r>
      <w:bookmarkEnd w:id="325"/>
    </w:p>
    <w:p w14:paraId="600F2CEB" w14:textId="4DBBED3D" w:rsidR="0DF2E6BA" w:rsidRDefault="0DF2E6BA" w:rsidP="0DF2E6BA">
      <w:pPr>
        <w:pStyle w:val="BodyText"/>
        <w:rPr>
          <w:rFonts w:asciiTheme="minorHAnsi" w:eastAsiaTheme="minorEastAsia" w:hAnsiTheme="minorHAnsi" w:cstheme="minorBidi"/>
          <w:sz w:val="20"/>
          <w:szCs w:val="20"/>
        </w:rPr>
      </w:pPr>
    </w:p>
    <w:p w14:paraId="0960F645" w14:textId="07A54DF7" w:rsidR="003B0266" w:rsidRDefault="003B0266" w:rsidP="00B70C00">
      <w:pPr>
        <w:pStyle w:val="Heading2"/>
        <w:rPr>
          <w:rFonts w:asciiTheme="minorHAnsi" w:eastAsiaTheme="minorEastAsia" w:hAnsiTheme="minorHAnsi" w:cstheme="minorBidi"/>
          <w:b/>
        </w:rPr>
      </w:pPr>
      <w:bookmarkStart w:id="326" w:name="_Toc222954515"/>
      <w:bookmarkStart w:id="327" w:name="_Toc223022382"/>
      <w:bookmarkStart w:id="328" w:name="_Toc234310833"/>
      <w:r w:rsidRPr="00B70C00">
        <w:rPr>
          <w:b/>
          <w:bCs w:val="0"/>
        </w:rPr>
        <w:t>TSM Validation Results</w:t>
      </w:r>
      <w:bookmarkEnd w:id="326"/>
      <w:bookmarkEnd w:id="327"/>
      <w:bookmarkEnd w:id="328"/>
    </w:p>
    <w:p w14:paraId="76764F75" w14:textId="2F7782DD" w:rsidR="275BD775" w:rsidRPr="00716B37" w:rsidRDefault="62311416" w:rsidP="00716B37">
      <w:pPr>
        <w:pStyle w:val="BodyText"/>
        <w:rPr>
          <w:rFonts w:asciiTheme="minorHAnsi" w:eastAsiaTheme="minorEastAsia" w:hAnsiTheme="minorHAnsi" w:cstheme="minorBidi"/>
          <w:bCs/>
          <w:lang w:val="en-GB"/>
        </w:rPr>
      </w:pPr>
      <w:r w:rsidRPr="05F7E01C">
        <w:rPr>
          <w:lang w:val="en-GB"/>
        </w:rPr>
        <w:t xml:space="preserve">In this Section, verification and validation (V&amp;V) framework of the TSM framework is discussed and introduces structured threat classes (TC1–TC4) for firmware updates, establishing a scenario model for end-to-end firmware update operations, multiple scenarios for power grid validation, and quantitative security metrics. The V&amp;V approach evaluates the TSM security pipeline across three dimensions: (1) assessing TSM capabilities to block threats, measuring </w:t>
      </w:r>
      <w:r w:rsidRPr="00716B37">
        <w:rPr>
          <w:bCs/>
          <w:lang w:val="en-GB"/>
        </w:rPr>
        <w:t xml:space="preserve">TSM security effectiveness; (2) evaluating system </w:t>
      </w:r>
      <w:r w:rsidR="004B2B91" w:rsidRPr="00716B37">
        <w:rPr>
          <w:bCs/>
          <w:lang w:val="en-GB"/>
        </w:rPr>
        <w:t>behaviour</w:t>
      </w:r>
      <w:r w:rsidRPr="00716B37">
        <w:rPr>
          <w:bCs/>
          <w:lang w:val="en-GB"/>
        </w:rPr>
        <w:t xml:space="preserve"> under attack to determine system resiliency; and (3) analyzing the impact of EVSE-level security to ensure power grid stability.</w:t>
      </w:r>
    </w:p>
    <w:p w14:paraId="66D86C8E" w14:textId="0F011BE2" w:rsidR="3EA19E61" w:rsidRPr="00716B37" w:rsidRDefault="3E6C9FA0" w:rsidP="00716B37">
      <w:pPr>
        <w:pStyle w:val="BodyText"/>
        <w:rPr>
          <w:rFonts w:asciiTheme="minorHAnsi" w:eastAsiaTheme="minorEastAsia" w:hAnsiTheme="minorHAnsi" w:cstheme="minorBidi"/>
          <w:b/>
          <w:bCs/>
          <w:sz w:val="28"/>
          <w:szCs w:val="28"/>
          <w:lang w:val="en-GB"/>
        </w:rPr>
      </w:pPr>
      <w:r w:rsidRPr="00716B37">
        <w:rPr>
          <w:b/>
          <w:bCs/>
          <w:sz w:val="28"/>
          <w:szCs w:val="28"/>
          <w:lang w:val="en-GB"/>
        </w:rPr>
        <w:t>Firmware Update Threat Classes</w:t>
      </w:r>
    </w:p>
    <w:p w14:paraId="0F324A5A" w14:textId="0321C67D" w:rsidR="3EA19E61" w:rsidRDefault="3EA19E61" w:rsidP="00716B37">
      <w:pPr>
        <w:pStyle w:val="BodyText"/>
        <w:rPr>
          <w:rFonts w:asciiTheme="minorHAnsi" w:eastAsiaTheme="minorEastAsia" w:hAnsiTheme="minorHAnsi" w:cstheme="minorBidi"/>
          <w:sz w:val="28"/>
          <w:szCs w:val="28"/>
        </w:rPr>
      </w:pPr>
      <w:r w:rsidRPr="05F7E01C">
        <w:t>The threat model analysis defines four distinct threat classes for firmware update scenarios:</w:t>
      </w:r>
    </w:p>
    <w:p w14:paraId="0133B79C" w14:textId="012165C0" w:rsidR="3EA19E61" w:rsidRDefault="3EA19E61" w:rsidP="00716B37">
      <w:pPr>
        <w:pStyle w:val="BodyText"/>
        <w:rPr>
          <w:rFonts w:asciiTheme="minorHAnsi" w:eastAsiaTheme="minorEastAsia" w:hAnsiTheme="minorHAnsi" w:cstheme="minorBidi"/>
        </w:rPr>
      </w:pPr>
      <w:r w:rsidRPr="05F7E01C">
        <w:rPr>
          <w:b/>
        </w:rPr>
        <w:t>TC1 — Forged/Invalid Firmware:</w:t>
      </w:r>
      <w:r w:rsidRPr="05F7E01C">
        <w:t xml:space="preserve"> An attacker injects a firmware image signed with untrusted keys or tampers with existing signatures. This type of attack is intercepted within the trust chain during ECDSA signature verification, CRL checks, and certificate chain validation.</w:t>
      </w:r>
    </w:p>
    <w:p w14:paraId="7031184E" w14:textId="2392D9F2" w:rsidR="3EA19E61" w:rsidRDefault="3EA19E61" w:rsidP="00716B37">
      <w:pPr>
        <w:pStyle w:val="BodyText"/>
        <w:rPr>
          <w:rFonts w:asciiTheme="minorHAnsi" w:eastAsiaTheme="minorEastAsia" w:hAnsiTheme="minorHAnsi" w:cstheme="minorBidi"/>
        </w:rPr>
      </w:pPr>
      <w:r w:rsidRPr="05F7E01C">
        <w:rPr>
          <w:b/>
        </w:rPr>
        <w:t>TC2 — Malicious but Validly Signed Firmware:</w:t>
      </w:r>
      <w:r w:rsidRPr="05F7E01C">
        <w:t xml:space="preserve"> The attacker provides a validly signed firmware image from the OEM but embeds malicious logic, such as bypassing safety protections, overriding power dynamic limits, or altering EVSE control parameters. This attack passes cryptographic verification but is intercepted by the runtime TSM pipeline enforcement.</w:t>
      </w:r>
    </w:p>
    <w:p w14:paraId="4A19C16E" w14:textId="05C145CC" w:rsidR="3EA19E61" w:rsidRDefault="3EA19E61" w:rsidP="00716B37">
      <w:pPr>
        <w:pStyle w:val="BodyText"/>
        <w:rPr>
          <w:rFonts w:asciiTheme="minorHAnsi" w:eastAsiaTheme="minorEastAsia" w:hAnsiTheme="minorHAnsi" w:cstheme="minorBidi"/>
        </w:rPr>
      </w:pPr>
      <w:r w:rsidRPr="05F7E01C">
        <w:rPr>
          <w:b/>
        </w:rPr>
        <w:t>TC3 — Rollback/Downgrade Attack:</w:t>
      </w:r>
      <w:r w:rsidRPr="05F7E01C">
        <w:t xml:space="preserve"> Here, an attacker attempts to reinstall an older, vulnerable firmware version to degrade system operation. Detection occurs through monotonic version counters, golden hash key matching, and HRoT validation stages, preventing the rollback.</w:t>
      </w:r>
    </w:p>
    <w:p w14:paraId="0C9E1783" w14:textId="5CC22FB8" w:rsidR="3EA19E61" w:rsidRDefault="3EA19E61" w:rsidP="00716B37">
      <w:pPr>
        <w:pStyle w:val="BodyText"/>
        <w:rPr>
          <w:rFonts w:asciiTheme="minorHAnsi" w:eastAsiaTheme="minorEastAsia" w:hAnsiTheme="minorHAnsi" w:cstheme="minorBidi"/>
        </w:rPr>
      </w:pPr>
      <w:r w:rsidRPr="05F7E01C">
        <w:rPr>
          <w:b/>
        </w:rPr>
        <w:t>TC4 — Trust Anchor Compromised:</w:t>
      </w:r>
      <w:r w:rsidRPr="05F7E01C">
        <w:t xml:space="preserve"> This class involves attacks on the hardware root-of-trust, including resetting monotonic counters, modifying golden hashes, replacing secure boot keys, or injecting rogue root certificates. Such attacks are detected and mitigated through remote attestation and runtime TSM validations.</w:t>
      </w:r>
    </w:p>
    <w:p w14:paraId="48C837D6" w14:textId="532472FF" w:rsidR="3EA19E61" w:rsidRDefault="3EA19E61" w:rsidP="00716B37">
      <w:pPr>
        <w:pStyle w:val="BodyText"/>
        <w:rPr>
          <w:rFonts w:asciiTheme="minorHAnsi" w:eastAsiaTheme="minorEastAsia" w:hAnsiTheme="minorHAnsi" w:cstheme="minorBidi"/>
          <w:sz w:val="28"/>
          <w:szCs w:val="28"/>
        </w:rPr>
      </w:pPr>
      <w:r w:rsidRPr="05F7E01C">
        <w:t xml:space="preserve">The escalation of risks follows a predictable cascade model: </w:t>
      </w:r>
      <w:r w:rsidRPr="05F7E01C">
        <w:rPr>
          <w:b/>
        </w:rPr>
        <w:t>Devices</w:t>
      </w:r>
      <w:r w:rsidRPr="05F7E01C">
        <w:t xml:space="preserve"> experience issues during normal charging sessions → </w:t>
      </w:r>
      <w:r w:rsidRPr="05F7E01C">
        <w:rPr>
          <w:b/>
        </w:rPr>
        <w:t>Sites</w:t>
      </w:r>
      <w:r w:rsidRPr="05F7E01C">
        <w:t xml:space="preserve"> are affected by events such as transformer overheating → </w:t>
      </w:r>
      <w:r w:rsidRPr="05F7E01C">
        <w:rPr>
          <w:b/>
        </w:rPr>
        <w:t>Fleet</w:t>
      </w:r>
      <w:r w:rsidRPr="05F7E01C">
        <w:t xml:space="preserve"> experiences coordinated load surges → </w:t>
      </w:r>
      <w:r w:rsidRPr="05F7E01C">
        <w:rPr>
          <w:b/>
        </w:rPr>
        <w:t>Grid</w:t>
      </w:r>
      <w:r w:rsidRPr="05F7E01C">
        <w:t xml:space="preserve"> sees deviations in frequency and voltage. This model illustrates how localized attacks can propagate and impact system-wide operations.</w:t>
      </w:r>
    </w:p>
    <w:p w14:paraId="64731DF8" w14:textId="577C7E66" w:rsidR="3EA19E61" w:rsidRDefault="3EA19E61" w:rsidP="00716B37">
      <w:pPr>
        <w:pStyle w:val="BodyText"/>
        <w:rPr>
          <w:rFonts w:asciiTheme="minorHAnsi" w:eastAsiaTheme="minorEastAsia" w:hAnsiTheme="minorHAnsi" w:cstheme="minorBidi"/>
          <w:szCs w:val="24"/>
        </w:rPr>
      </w:pPr>
      <w:r w:rsidRPr="0FA82DD0">
        <w:t xml:space="preserve"> </w:t>
      </w:r>
      <w:r w:rsidRPr="52D6B39A">
        <w:rPr>
          <w:rFonts w:asciiTheme="minorHAnsi" w:eastAsiaTheme="minorEastAsia" w:hAnsiTheme="minorHAnsi" w:cstheme="minorBidi"/>
          <w:b/>
          <w:szCs w:val="24"/>
        </w:rPr>
        <w:t xml:space="preserve">TC1 — Invalid or Forged Firmware: </w:t>
      </w:r>
      <w:r w:rsidRPr="52D6B39A">
        <w:rPr>
          <w:rFonts w:asciiTheme="minorHAnsi" w:eastAsiaTheme="minorEastAsia" w:hAnsiTheme="minorHAnsi" w:cstheme="minorBidi"/>
          <w:szCs w:val="24"/>
        </w:rPr>
        <w:t xml:space="preserve">Figure </w:t>
      </w:r>
      <w:r w:rsidR="3540A8E1" w:rsidRPr="52D6B39A">
        <w:rPr>
          <w:rFonts w:asciiTheme="minorHAnsi" w:eastAsiaTheme="minorEastAsia" w:hAnsiTheme="minorHAnsi" w:cstheme="minorBidi"/>
          <w:szCs w:val="24"/>
        </w:rPr>
        <w:t>4</w:t>
      </w:r>
      <w:r w:rsidRPr="52D6B39A">
        <w:rPr>
          <w:rFonts w:asciiTheme="minorHAnsi" w:eastAsiaTheme="minorEastAsia" w:hAnsiTheme="minorHAnsi" w:cstheme="minorBidi"/>
          <w:szCs w:val="24"/>
        </w:rPr>
        <w:t>1 illustrates a scenario where an attacker injects a firmware image with an invalid signature into eight EVSE chargers via the OTA channel at (t = 30) sec. The TSM pipeline’s HID intercepts the firmware image and performs sequential validation checks, including ECDSA-P256 signature verification, CRL lookup, and certificate chain validation from leaf → OEM CA → sovereign root. These checks fail for the invalid or forged firmware image, and the TSM rejects the update before it reaches the flash storage writing stage.</w:t>
      </w:r>
    </w:p>
    <w:p w14:paraId="7CCF751C" w14:textId="2C1666E7" w:rsidR="3EA19E61" w:rsidRDefault="3EA19E61" w:rsidP="50BBDF4C">
      <w:pPr>
        <w:spacing w:after="160" w:line="257" w:lineRule="auto"/>
        <w:jc w:val="both"/>
        <w:rPr>
          <w:rFonts w:asciiTheme="minorHAnsi" w:eastAsiaTheme="minorEastAsia" w:hAnsiTheme="minorHAnsi" w:cstheme="minorBidi"/>
          <w:sz w:val="24"/>
          <w:szCs w:val="24"/>
        </w:rPr>
      </w:pPr>
      <w:r w:rsidRPr="52D6B39A">
        <w:rPr>
          <w:rFonts w:asciiTheme="minorHAnsi" w:eastAsiaTheme="minorEastAsia" w:hAnsiTheme="minorHAnsi" w:cstheme="minorBidi"/>
          <w:sz w:val="24"/>
          <w:szCs w:val="24"/>
        </w:rPr>
        <w:t>The top panel shows cumulative firmware update acceptance. In TSM bypass mode, the forged firmware is accepted and installed within 10 sec. In TSM-enabled mode, the count of malicious firmware updates remains zero at all times due to TSM policy enforcement. At (t = 120) sec, two valid firmware updates are injected and successfully processed through the TSM trust chain, demonstrating that legitimate updates pass without restriction.</w:t>
      </w:r>
    </w:p>
    <w:p w14:paraId="2CA7F6DE" w14:textId="5CE9B74D" w:rsidR="3EA19E61" w:rsidRDefault="3EA19E61" w:rsidP="50BBDF4C">
      <w:pPr>
        <w:spacing w:after="160" w:line="257" w:lineRule="auto"/>
        <w:jc w:val="both"/>
        <w:rPr>
          <w:rFonts w:asciiTheme="minorHAnsi" w:eastAsiaTheme="minorEastAsia" w:hAnsiTheme="minorHAnsi" w:cstheme="minorBidi"/>
          <w:sz w:val="24"/>
          <w:szCs w:val="24"/>
        </w:rPr>
      </w:pPr>
      <w:r w:rsidRPr="52D6B39A">
        <w:rPr>
          <w:rFonts w:asciiTheme="minorHAnsi" w:eastAsiaTheme="minorEastAsia" w:hAnsiTheme="minorHAnsi" w:cstheme="minorBidi"/>
          <w:sz w:val="24"/>
          <w:szCs w:val="24"/>
        </w:rPr>
        <w:t>The middle panel depicts the compromised status of the EVSE chargers: in TSM bypass mode, all eight chargers accept the malicious firmware at (t = 70) sec, whereas with TSM enabled, no charger is compromised. The bottom panel compares cryptographic validation scores, showing 98% with TSM enabled versus approximately 15% without TSM, where only a basic checksum is applied.</w:t>
      </w:r>
    </w:p>
    <w:p w14:paraId="7800D545" w14:textId="59CD15AE" w:rsidR="3EA19E61" w:rsidRDefault="3EA19E61" w:rsidP="52D6B39A">
      <w:pPr>
        <w:spacing w:after="160" w:line="257" w:lineRule="auto"/>
        <w:jc w:val="both"/>
        <w:rPr>
          <w:rFonts w:asciiTheme="minorHAnsi" w:eastAsiaTheme="minorEastAsia" w:hAnsiTheme="minorHAnsi" w:cstheme="minorBidi"/>
          <w:b/>
          <w:sz w:val="24"/>
          <w:szCs w:val="24"/>
        </w:rPr>
      </w:pPr>
      <w:r w:rsidRPr="52D6B39A">
        <w:rPr>
          <w:rFonts w:asciiTheme="minorHAnsi" w:eastAsiaTheme="minorEastAsia" w:hAnsiTheme="minorHAnsi" w:cstheme="minorBidi"/>
          <w:b/>
          <w:sz w:val="24"/>
          <w:szCs w:val="24"/>
        </w:rPr>
        <w:t>Key results:</w:t>
      </w:r>
    </w:p>
    <w:p w14:paraId="398822C9" w14:textId="78013B91" w:rsidR="3EA19E61" w:rsidRDefault="3EA19E61" w:rsidP="52D6B39A">
      <w:pPr>
        <w:pStyle w:val="ListParagraph"/>
        <w:numPr>
          <w:ilvl w:val="0"/>
          <w:numId w:val="78"/>
        </w:numPr>
        <w:spacing w:before="0" w:after="0" w:line="257" w:lineRule="auto"/>
        <w:jc w:val="both"/>
        <w:rPr>
          <w:rFonts w:asciiTheme="minorHAnsi" w:eastAsiaTheme="minorEastAsia" w:hAnsiTheme="minorHAnsi" w:cstheme="minorBidi"/>
        </w:rPr>
      </w:pPr>
      <w:r w:rsidRPr="52D6B39A">
        <w:rPr>
          <w:rFonts w:asciiTheme="minorHAnsi" w:eastAsiaTheme="minorEastAsia" w:hAnsiTheme="minorHAnsi" w:cstheme="minorBidi"/>
        </w:rPr>
        <w:t xml:space="preserve">False Reject Rate (FRR) for valid firmware updates = 0.00 </w:t>
      </w:r>
    </w:p>
    <w:p w14:paraId="73D36CA3" w14:textId="5055B61C" w:rsidR="3EA19E61" w:rsidRDefault="3EA19E61" w:rsidP="52D6B39A">
      <w:pPr>
        <w:pStyle w:val="ListParagraph"/>
        <w:numPr>
          <w:ilvl w:val="0"/>
          <w:numId w:val="78"/>
        </w:numPr>
        <w:spacing w:before="0" w:after="0" w:line="257" w:lineRule="auto"/>
        <w:jc w:val="both"/>
        <w:rPr>
          <w:rFonts w:asciiTheme="minorHAnsi" w:eastAsiaTheme="minorEastAsia" w:hAnsiTheme="minorHAnsi" w:cstheme="minorBidi"/>
        </w:rPr>
      </w:pPr>
      <w:r w:rsidRPr="52D6B39A">
        <w:rPr>
          <w:rFonts w:asciiTheme="minorHAnsi" w:eastAsiaTheme="minorEastAsia" w:hAnsiTheme="minorHAnsi" w:cstheme="minorBidi"/>
        </w:rPr>
        <w:t xml:space="preserve">False Accept Rate (FAR) for malicious firmware= 0.00 </w:t>
      </w:r>
    </w:p>
    <w:p w14:paraId="2F18F1BC" w14:textId="3E66772D" w:rsidR="3EA19E61" w:rsidRDefault="3EA19E61" w:rsidP="52D6B39A">
      <w:pPr>
        <w:pStyle w:val="ListParagraph"/>
        <w:numPr>
          <w:ilvl w:val="0"/>
          <w:numId w:val="78"/>
        </w:numPr>
        <w:spacing w:before="0" w:after="0" w:line="257" w:lineRule="auto"/>
        <w:jc w:val="both"/>
        <w:rPr>
          <w:rFonts w:asciiTheme="minorHAnsi" w:eastAsiaTheme="minorEastAsia" w:hAnsiTheme="minorHAnsi" w:cstheme="minorBidi"/>
        </w:rPr>
      </w:pPr>
      <w:r w:rsidRPr="52D6B39A">
        <w:rPr>
          <w:rFonts w:asciiTheme="minorHAnsi" w:eastAsiaTheme="minorEastAsia" w:hAnsiTheme="minorHAnsi" w:cstheme="minorBidi"/>
        </w:rPr>
        <w:t xml:space="preserve">True Positive Rejection Rate (TPR)= 1.00 </w:t>
      </w:r>
    </w:p>
    <w:p w14:paraId="7003BE2E" w14:textId="7AA2DEE0" w:rsidR="3EA19E61" w:rsidRDefault="3EA19E61" w:rsidP="50BBDF4C">
      <w:pPr>
        <w:spacing w:after="160" w:line="257" w:lineRule="auto"/>
        <w:jc w:val="both"/>
        <w:rPr>
          <w:rFonts w:asciiTheme="minorHAnsi" w:eastAsiaTheme="minorEastAsia" w:hAnsiTheme="minorHAnsi" w:cstheme="minorBidi"/>
          <w:sz w:val="24"/>
          <w:szCs w:val="24"/>
        </w:rPr>
      </w:pPr>
      <w:r w:rsidRPr="52D6B39A">
        <w:rPr>
          <w:rFonts w:asciiTheme="minorHAnsi" w:eastAsiaTheme="minorEastAsia" w:hAnsiTheme="minorHAnsi" w:cstheme="minorBidi"/>
          <w:sz w:val="24"/>
          <w:szCs w:val="24"/>
        </w:rPr>
        <w:t>These results confirm that TSM enforcement reliably prevents forged or invalid firmware from being installed while allowing legitimate updates to proceed.</w:t>
      </w:r>
    </w:p>
    <w:p w14:paraId="5EA2F40B" w14:textId="16E41475" w:rsidR="3EA19E61" w:rsidRDefault="3EA19E61" w:rsidP="0FA82DD0">
      <w:pPr>
        <w:spacing w:after="160" w:line="257" w:lineRule="auto"/>
        <w:rPr>
          <w:rFonts w:asciiTheme="minorHAnsi" w:eastAsiaTheme="minorEastAsia" w:hAnsiTheme="minorHAnsi" w:cstheme="minorBidi"/>
        </w:rPr>
      </w:pPr>
    </w:p>
    <w:p w14:paraId="531DCBE6" w14:textId="1A5A7CC6" w:rsidR="004B2B91" w:rsidRDefault="004B2B91" w:rsidP="0FA82DD0">
      <w:pPr>
        <w:spacing w:after="160" w:line="257" w:lineRule="auto"/>
        <w:rPr>
          <w:rFonts w:asciiTheme="minorHAnsi" w:eastAsiaTheme="minorEastAsia" w:hAnsiTheme="minorHAnsi" w:cstheme="minorBidi"/>
        </w:rPr>
      </w:pPr>
      <w:r>
        <w:rPr>
          <w:noProof/>
        </w:rPr>
        <w:drawing>
          <wp:inline distT="0" distB="0" distL="0" distR="0" wp14:anchorId="714CED85" wp14:editId="2AD78675">
            <wp:extent cx="6120130" cy="4457065"/>
            <wp:effectExtent l="0" t="0" r="0" b="635"/>
            <wp:docPr id="730866118" name="Picture 1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866118" name="Picture 12" descr="A screenshot of a graph&#10;&#10;AI-generated content may be incorrect."/>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20130" cy="4457065"/>
                    </a:xfrm>
                    <a:prstGeom prst="rect">
                      <a:avLst/>
                    </a:prstGeom>
                    <a:noFill/>
                    <a:ln>
                      <a:noFill/>
                    </a:ln>
                  </pic:spPr>
                </pic:pic>
              </a:graphicData>
            </a:graphic>
          </wp:inline>
        </w:drawing>
      </w:r>
    </w:p>
    <w:p w14:paraId="68F76E90" w14:textId="67C688E8" w:rsidR="3EA19E61" w:rsidRDefault="00716B37" w:rsidP="00716B37">
      <w:pPr>
        <w:pStyle w:val="Caption"/>
        <w:rPr>
          <w:rFonts w:asciiTheme="minorHAnsi" w:eastAsiaTheme="minorEastAsia" w:hAnsiTheme="minorHAnsi" w:cstheme="minorBidi"/>
          <w:i/>
          <w:color w:val="0E2841"/>
          <w:szCs w:val="20"/>
          <w:lang w:val="en-GB"/>
        </w:rPr>
      </w:pPr>
      <w:bookmarkStart w:id="329" w:name="_Toc233112247"/>
      <w:r>
        <w:t xml:space="preserve">Figure </w:t>
      </w:r>
      <w:r w:rsidR="00113348">
        <w:fldChar w:fldCharType="begin"/>
      </w:r>
      <w:r w:rsidR="00113348">
        <w:instrText xml:space="preserve"> SEQ Figure \* ARABIC </w:instrText>
      </w:r>
      <w:r w:rsidR="00113348">
        <w:fldChar w:fldCharType="separate"/>
      </w:r>
      <w:r w:rsidR="00F8092D">
        <w:rPr>
          <w:noProof/>
        </w:rPr>
        <w:t>41</w:t>
      </w:r>
      <w:r w:rsidR="00113348">
        <w:rPr>
          <w:noProof/>
        </w:rPr>
        <w:fldChar w:fldCharType="end"/>
      </w:r>
      <w:r w:rsidR="3EA19E61" w:rsidRPr="52D6B39A">
        <w:rPr>
          <w:rFonts w:ascii="Aptos" w:eastAsia="Aptos" w:hAnsi="Aptos" w:cs="Aptos"/>
          <w:i/>
          <w:color w:val="0E2841"/>
          <w:szCs w:val="20"/>
          <w:lang w:val="en-GB"/>
        </w:rPr>
        <w:t>: TC1: Injection of invalid firmware image. The TSM enforcement uses a crypto engine to reject all firmware images with invalid keys using ECDSA signatures verification and validating the certificate chain in the trust chain.</w:t>
      </w:r>
      <w:bookmarkEnd w:id="329"/>
    </w:p>
    <w:p w14:paraId="0F4D06F2" w14:textId="67133A3C" w:rsidR="3EA19E61" w:rsidRDefault="3EA19E61" w:rsidP="0FA82DD0">
      <w:pPr>
        <w:spacing w:after="160" w:line="257" w:lineRule="auto"/>
        <w:rPr>
          <w:rFonts w:asciiTheme="minorHAnsi" w:eastAsiaTheme="minorEastAsia" w:hAnsiTheme="minorHAnsi" w:cstheme="minorBidi"/>
          <w:sz w:val="20"/>
          <w:szCs w:val="20"/>
        </w:rPr>
      </w:pPr>
      <w:r w:rsidRPr="52D6B39A">
        <w:rPr>
          <w:rFonts w:ascii="Aptos" w:eastAsia="Aptos" w:hAnsi="Aptos" w:cs="Aptos"/>
          <w:sz w:val="20"/>
          <w:szCs w:val="20"/>
        </w:rPr>
        <w:t xml:space="preserve"> </w:t>
      </w:r>
    </w:p>
    <w:p w14:paraId="7CF64001" w14:textId="6B0CDDA3" w:rsidR="3EA19E61" w:rsidRDefault="3EA19E61" w:rsidP="50BBDF4C">
      <w:pPr>
        <w:spacing w:after="160" w:line="257" w:lineRule="auto"/>
        <w:jc w:val="both"/>
        <w:rPr>
          <w:rFonts w:asciiTheme="minorHAnsi" w:eastAsiaTheme="minorEastAsia" w:hAnsiTheme="minorHAnsi" w:cstheme="minorBidi"/>
          <w:sz w:val="24"/>
          <w:szCs w:val="24"/>
        </w:rPr>
      </w:pPr>
      <w:r w:rsidRPr="52D6B39A">
        <w:rPr>
          <w:rFonts w:ascii="Aptos" w:eastAsia="Aptos" w:hAnsi="Aptos" w:cs="Aptos"/>
          <w:b/>
          <w:sz w:val="24"/>
          <w:szCs w:val="24"/>
        </w:rPr>
        <w:t xml:space="preserve">TC2 — Malicious but Validly Signed Firmware: </w:t>
      </w:r>
      <w:r w:rsidRPr="52D6B39A">
        <w:rPr>
          <w:rFonts w:ascii="Aptos" w:eastAsia="Aptos" w:hAnsi="Aptos" w:cs="Aptos"/>
          <w:sz w:val="24"/>
          <w:szCs w:val="24"/>
        </w:rPr>
        <w:t xml:space="preserve">Figure </w:t>
      </w:r>
      <w:r w:rsidR="7AB1129A" w:rsidRPr="52D6B39A">
        <w:rPr>
          <w:rFonts w:ascii="Aptos" w:eastAsia="Aptos" w:hAnsi="Aptos" w:cs="Aptos"/>
          <w:sz w:val="24"/>
          <w:szCs w:val="24"/>
        </w:rPr>
        <w:t>42</w:t>
      </w:r>
      <w:r w:rsidRPr="52D6B39A">
        <w:rPr>
          <w:rFonts w:ascii="Aptos" w:eastAsia="Aptos" w:hAnsi="Aptos" w:cs="Aptos"/>
          <w:sz w:val="24"/>
          <w:szCs w:val="24"/>
        </w:rPr>
        <w:t xml:space="preserve"> illustrates a critical firmware update threat scenario in which cryptographic checks pass due to valid OEM signatures. The threat arises from an embedded malicious payload that overrides normal EVSE charger behavior, suppresses the safety contactor interlock, and enables unauthorized remote fleet charging. This type of threat is intercepted by the TSM at runtime through behavioral policy enforcement.</w:t>
      </w:r>
    </w:p>
    <w:p w14:paraId="00FF1ECD" w14:textId="0681AB79" w:rsidR="3EA19E61" w:rsidRDefault="3EA19E61" w:rsidP="50BBDF4C">
      <w:pPr>
        <w:spacing w:after="160" w:line="257" w:lineRule="auto"/>
        <w:jc w:val="both"/>
        <w:rPr>
          <w:rFonts w:asciiTheme="minorHAnsi" w:eastAsiaTheme="minorEastAsia" w:hAnsiTheme="minorHAnsi" w:cstheme="minorBidi"/>
          <w:sz w:val="24"/>
          <w:szCs w:val="24"/>
        </w:rPr>
      </w:pPr>
      <w:r w:rsidRPr="52D6B39A">
        <w:rPr>
          <w:rFonts w:ascii="Aptos" w:eastAsia="Aptos" w:hAnsi="Aptos" w:cs="Aptos"/>
          <w:sz w:val="24"/>
          <w:szCs w:val="24"/>
        </w:rPr>
        <w:t>At (t = 40)</w:t>
      </w:r>
      <w:r w:rsidRPr="52D6B39A">
        <w:rPr>
          <w:rFonts w:ascii="Arial" w:eastAsia="Arial" w:hAnsi="Arial" w:cs="Arial"/>
          <w:sz w:val="24"/>
          <w:szCs w:val="24"/>
        </w:rPr>
        <w:t> </w:t>
      </w:r>
      <w:r w:rsidRPr="52D6B39A">
        <w:rPr>
          <w:rFonts w:ascii="Aptos" w:eastAsia="Aptos" w:hAnsi="Aptos" w:cs="Aptos"/>
          <w:sz w:val="24"/>
          <w:szCs w:val="24"/>
        </w:rPr>
        <w:t>sec, a malicious firmware update request is initiated on six EVSE chargers. The panels present the following observations:</w:t>
      </w:r>
    </w:p>
    <w:p w14:paraId="77FA76CC" w14:textId="3CA8996B" w:rsidR="3EA19E61" w:rsidRDefault="3EA19E61" w:rsidP="50BBDF4C">
      <w:pPr>
        <w:pStyle w:val="ListParagraph"/>
        <w:numPr>
          <w:ilvl w:val="0"/>
          <w:numId w:val="77"/>
        </w:numPr>
        <w:spacing w:before="0" w:after="0" w:line="257" w:lineRule="auto"/>
        <w:jc w:val="both"/>
        <w:rPr>
          <w:rFonts w:asciiTheme="minorHAnsi" w:eastAsiaTheme="minorEastAsia" w:hAnsiTheme="minorHAnsi" w:cstheme="minorBidi"/>
        </w:rPr>
      </w:pPr>
      <w:r w:rsidRPr="52D6B39A">
        <w:rPr>
          <w:rFonts w:ascii="Aptos" w:eastAsia="Aptos" w:hAnsi="Aptos" w:cs="Aptos"/>
          <w:b/>
        </w:rPr>
        <w:t>Power draw:</w:t>
      </w:r>
      <w:r w:rsidRPr="52D6B39A">
        <w:rPr>
          <w:rFonts w:ascii="Aptos" w:eastAsia="Aptos" w:hAnsi="Aptos" w:cs="Aptos"/>
        </w:rPr>
        <w:t xml:space="preserve"> In TSM bypass mode, power ramps from 70</w:t>
      </w:r>
      <w:r w:rsidRPr="52D6B39A">
        <w:rPr>
          <w:rFonts w:ascii="Arial" w:eastAsia="Arial" w:hAnsi="Arial" w:cs="Arial"/>
        </w:rPr>
        <w:t> </w:t>
      </w:r>
      <w:r w:rsidRPr="52D6B39A">
        <w:rPr>
          <w:rFonts w:ascii="Aptos" w:eastAsia="Aptos" w:hAnsi="Aptos" w:cs="Aptos"/>
        </w:rPr>
        <w:t>kW to 160</w:t>
      </w:r>
      <w:r w:rsidRPr="52D6B39A">
        <w:rPr>
          <w:rFonts w:ascii="Arial" w:eastAsia="Arial" w:hAnsi="Arial" w:cs="Arial"/>
        </w:rPr>
        <w:t> </w:t>
      </w:r>
      <w:r w:rsidRPr="52D6B39A">
        <w:rPr>
          <w:rFonts w:ascii="Aptos" w:eastAsia="Aptos" w:hAnsi="Aptos" w:cs="Aptos"/>
        </w:rPr>
        <w:t>kW. In TSM-enabled mode, each EVSE charger is clamped back to 80</w:t>
      </w:r>
      <w:r w:rsidRPr="52D6B39A">
        <w:rPr>
          <w:rFonts w:ascii="Arial" w:eastAsia="Arial" w:hAnsi="Arial" w:cs="Arial"/>
        </w:rPr>
        <w:t> </w:t>
      </w:r>
      <w:r w:rsidRPr="52D6B39A">
        <w:rPr>
          <w:rFonts w:ascii="Aptos" w:eastAsia="Aptos" w:hAnsi="Aptos" w:cs="Aptos"/>
        </w:rPr>
        <w:t>kW within 50</w:t>
      </w:r>
      <w:r w:rsidRPr="52D6B39A">
        <w:rPr>
          <w:rFonts w:ascii="Arial" w:eastAsia="Arial" w:hAnsi="Arial" w:cs="Arial"/>
        </w:rPr>
        <w:t> </w:t>
      </w:r>
      <w:r w:rsidRPr="52D6B39A">
        <w:rPr>
          <w:rFonts w:ascii="Aptos" w:eastAsia="Aptos" w:hAnsi="Aptos" w:cs="Aptos"/>
        </w:rPr>
        <w:t>ms, with a short transient peak at 92</w:t>
      </w:r>
      <w:r w:rsidRPr="52D6B39A">
        <w:rPr>
          <w:rFonts w:ascii="Arial" w:eastAsia="Arial" w:hAnsi="Arial" w:cs="Arial"/>
        </w:rPr>
        <w:t> </w:t>
      </w:r>
      <w:r w:rsidRPr="52D6B39A">
        <w:rPr>
          <w:rFonts w:ascii="Aptos" w:eastAsia="Aptos" w:hAnsi="Aptos" w:cs="Aptos"/>
        </w:rPr>
        <w:t>kW.</w:t>
      </w:r>
    </w:p>
    <w:p w14:paraId="261596FA" w14:textId="14D925D1" w:rsidR="3EA19E61" w:rsidRDefault="3EA19E61" w:rsidP="50BBDF4C">
      <w:pPr>
        <w:pStyle w:val="ListParagraph"/>
        <w:numPr>
          <w:ilvl w:val="0"/>
          <w:numId w:val="77"/>
        </w:numPr>
        <w:spacing w:before="0" w:after="0" w:line="257" w:lineRule="auto"/>
        <w:jc w:val="both"/>
        <w:rPr>
          <w:rFonts w:asciiTheme="minorHAnsi" w:eastAsiaTheme="minorEastAsia" w:hAnsiTheme="minorHAnsi" w:cstheme="minorBidi"/>
        </w:rPr>
      </w:pPr>
      <w:r w:rsidRPr="52D6B39A">
        <w:rPr>
          <w:rFonts w:ascii="Aptos" w:eastAsia="Aptos" w:hAnsi="Aptos" w:cs="Aptos"/>
          <w:b/>
        </w:rPr>
        <w:t>Contactor safety score:</w:t>
      </w:r>
      <w:r w:rsidRPr="52D6B39A">
        <w:rPr>
          <w:rFonts w:ascii="Aptos" w:eastAsia="Aptos" w:hAnsi="Aptos" w:cs="Aptos"/>
        </w:rPr>
        <w:t xml:space="preserve"> The safety interlock collapses to ~18/100 in TSM bypass mode, while in TSM-enabled mode it recovers within 2</w:t>
      </w:r>
      <w:r w:rsidRPr="52D6B39A">
        <w:rPr>
          <w:rFonts w:ascii="Arial" w:eastAsia="Arial" w:hAnsi="Arial" w:cs="Arial"/>
        </w:rPr>
        <w:t> </w:t>
      </w:r>
      <w:r w:rsidRPr="52D6B39A">
        <w:rPr>
          <w:rFonts w:ascii="Aptos" w:eastAsia="Aptos" w:hAnsi="Aptos" w:cs="Aptos"/>
        </w:rPr>
        <w:t>sec due to enforcement.</w:t>
      </w:r>
    </w:p>
    <w:p w14:paraId="36414D25" w14:textId="5016170F" w:rsidR="3EA19E61" w:rsidRDefault="3EA19E61" w:rsidP="50BBDF4C">
      <w:pPr>
        <w:pStyle w:val="ListParagraph"/>
        <w:numPr>
          <w:ilvl w:val="0"/>
          <w:numId w:val="77"/>
        </w:numPr>
        <w:spacing w:before="0" w:after="0" w:line="257" w:lineRule="auto"/>
        <w:jc w:val="both"/>
        <w:rPr>
          <w:rFonts w:asciiTheme="minorHAnsi" w:eastAsiaTheme="minorEastAsia" w:hAnsiTheme="minorHAnsi" w:cstheme="minorBidi"/>
        </w:rPr>
      </w:pPr>
      <w:r w:rsidRPr="52D6B39A">
        <w:rPr>
          <w:rFonts w:ascii="Aptos" w:eastAsia="Aptos" w:hAnsi="Aptos" w:cs="Aptos"/>
          <w:b/>
        </w:rPr>
        <w:t>Cumulative policy violations:</w:t>
      </w:r>
      <w:r w:rsidRPr="52D6B39A">
        <w:rPr>
          <w:rFonts w:ascii="Aptos" w:eastAsia="Aptos" w:hAnsi="Aptos" w:cs="Aptos"/>
        </w:rPr>
        <w:t xml:space="preserve"> Without TSM, 52 policy violation events go undetected over 260</w:t>
      </w:r>
      <w:r w:rsidRPr="52D6B39A">
        <w:rPr>
          <w:rFonts w:ascii="Arial" w:eastAsia="Arial" w:hAnsi="Arial" w:cs="Arial"/>
        </w:rPr>
        <w:t> </w:t>
      </w:r>
      <w:r w:rsidRPr="52D6B39A">
        <w:rPr>
          <w:rFonts w:ascii="Aptos" w:eastAsia="Aptos" w:hAnsi="Aptos" w:cs="Aptos"/>
        </w:rPr>
        <w:t>sec; with TSM, only 2 events occur and are mitigated.</w:t>
      </w:r>
    </w:p>
    <w:p w14:paraId="2734FE68" w14:textId="5DA1890D" w:rsidR="3EA19E61" w:rsidRDefault="3EA19E61" w:rsidP="50BBDF4C">
      <w:pPr>
        <w:pStyle w:val="ListParagraph"/>
        <w:numPr>
          <w:ilvl w:val="0"/>
          <w:numId w:val="77"/>
        </w:numPr>
        <w:spacing w:before="0" w:after="0" w:line="257" w:lineRule="auto"/>
        <w:jc w:val="both"/>
        <w:rPr>
          <w:rFonts w:asciiTheme="minorHAnsi" w:eastAsiaTheme="minorEastAsia" w:hAnsiTheme="minorHAnsi" w:cstheme="minorBidi"/>
        </w:rPr>
      </w:pPr>
      <w:r w:rsidRPr="52D6B39A">
        <w:rPr>
          <w:rFonts w:ascii="Aptos" w:eastAsia="Aptos" w:hAnsi="Aptos" w:cs="Aptos"/>
          <w:b/>
        </w:rPr>
        <w:t>Unsafe actuation duration:</w:t>
      </w:r>
      <w:r w:rsidRPr="52D6B39A">
        <w:rPr>
          <w:rFonts w:ascii="Aptos" w:eastAsia="Aptos" w:hAnsi="Aptos" w:cs="Aptos"/>
        </w:rPr>
        <w:t xml:space="preserve"> 260</w:t>
      </w:r>
      <w:r w:rsidRPr="52D6B39A">
        <w:rPr>
          <w:rFonts w:ascii="Arial" w:eastAsia="Arial" w:hAnsi="Arial" w:cs="Arial"/>
        </w:rPr>
        <w:t> </w:t>
      </w:r>
      <w:r w:rsidRPr="52D6B39A">
        <w:rPr>
          <w:rFonts w:ascii="Aptos" w:eastAsia="Aptos" w:hAnsi="Aptos" w:cs="Aptos"/>
        </w:rPr>
        <w:t>sec without TSM versus 0.05</w:t>
      </w:r>
      <w:r w:rsidRPr="52D6B39A">
        <w:rPr>
          <w:rFonts w:ascii="Arial" w:eastAsia="Arial" w:hAnsi="Arial" w:cs="Arial"/>
        </w:rPr>
        <w:t> </w:t>
      </w:r>
      <w:r w:rsidRPr="52D6B39A">
        <w:rPr>
          <w:rFonts w:ascii="Aptos" w:eastAsia="Aptos" w:hAnsi="Aptos" w:cs="Aptos"/>
        </w:rPr>
        <w:t>sec with TSM, reflecting the rapid detection-to-clamping response.</w:t>
      </w:r>
    </w:p>
    <w:p w14:paraId="5812FD2A" w14:textId="065C8097" w:rsidR="3EA19E61" w:rsidRDefault="3EA19E61" w:rsidP="50BBDF4C">
      <w:pPr>
        <w:spacing w:after="160" w:line="257" w:lineRule="auto"/>
        <w:jc w:val="both"/>
        <w:rPr>
          <w:rFonts w:asciiTheme="minorHAnsi" w:eastAsiaTheme="minorEastAsia" w:hAnsiTheme="minorHAnsi" w:cstheme="minorBidi"/>
          <w:b/>
          <w:sz w:val="28"/>
          <w:szCs w:val="28"/>
        </w:rPr>
      </w:pPr>
      <w:r w:rsidRPr="52D6B39A">
        <w:rPr>
          <w:rFonts w:ascii="Aptos" w:eastAsia="Aptos" w:hAnsi="Aptos" w:cs="Aptos"/>
          <w:b/>
          <w:sz w:val="24"/>
          <w:szCs w:val="24"/>
        </w:rPr>
        <w:t>Key results:</w:t>
      </w:r>
    </w:p>
    <w:p w14:paraId="1AD0CEDD" w14:textId="5A4DDEED" w:rsidR="3EA19E61" w:rsidRDefault="3EA19E61" w:rsidP="50BBDF4C">
      <w:pPr>
        <w:pStyle w:val="ListParagraph"/>
        <w:numPr>
          <w:ilvl w:val="0"/>
          <w:numId w:val="76"/>
        </w:numPr>
        <w:spacing w:before="0" w:after="0" w:line="257" w:lineRule="auto"/>
        <w:jc w:val="both"/>
        <w:rPr>
          <w:rFonts w:asciiTheme="minorHAnsi" w:eastAsiaTheme="minorEastAsia" w:hAnsiTheme="minorHAnsi" w:cstheme="minorBidi"/>
        </w:rPr>
      </w:pPr>
      <w:r w:rsidRPr="52D6B39A">
        <w:rPr>
          <w:rFonts w:ascii="Aptos" w:eastAsia="Aptos" w:hAnsi="Aptos" w:cs="Aptos"/>
        </w:rPr>
        <w:t>Policy enforcement latency: &lt; 50</w:t>
      </w:r>
      <w:r w:rsidRPr="52D6B39A">
        <w:rPr>
          <w:rFonts w:ascii="Arial" w:eastAsia="Arial" w:hAnsi="Arial" w:cs="Arial"/>
        </w:rPr>
        <w:t> </w:t>
      </w:r>
      <w:r w:rsidRPr="52D6B39A">
        <w:rPr>
          <w:rFonts w:ascii="Aptos" w:eastAsia="Aptos" w:hAnsi="Aptos" w:cs="Aptos"/>
        </w:rPr>
        <w:t>ms</w:t>
      </w:r>
    </w:p>
    <w:p w14:paraId="67D2B1EF" w14:textId="5ACCBB36" w:rsidR="3EA19E61" w:rsidRDefault="3EA19E61" w:rsidP="50BBDF4C">
      <w:pPr>
        <w:pStyle w:val="ListParagraph"/>
        <w:numPr>
          <w:ilvl w:val="0"/>
          <w:numId w:val="76"/>
        </w:numPr>
        <w:spacing w:before="0" w:after="0" w:line="257" w:lineRule="auto"/>
        <w:jc w:val="both"/>
        <w:rPr>
          <w:rFonts w:asciiTheme="minorHAnsi" w:eastAsiaTheme="minorEastAsia" w:hAnsiTheme="minorHAnsi" w:cstheme="minorBidi"/>
        </w:rPr>
      </w:pPr>
      <w:r w:rsidRPr="52D6B39A">
        <w:rPr>
          <w:rFonts w:ascii="Aptos" w:eastAsia="Aptos" w:hAnsi="Aptos" w:cs="Aptos"/>
        </w:rPr>
        <w:t>Unsafe actuation duration reduced by &gt; 99.98%</w:t>
      </w:r>
    </w:p>
    <w:p w14:paraId="772EA67C" w14:textId="6D9784E6" w:rsidR="3EA19E61" w:rsidRDefault="3EA19E61" w:rsidP="50BBDF4C">
      <w:pPr>
        <w:spacing w:after="160" w:line="257" w:lineRule="auto"/>
        <w:jc w:val="both"/>
        <w:rPr>
          <w:rFonts w:asciiTheme="minorHAnsi" w:eastAsiaTheme="minorEastAsia" w:hAnsiTheme="minorHAnsi" w:cstheme="minorBidi"/>
          <w:sz w:val="24"/>
          <w:szCs w:val="24"/>
        </w:rPr>
      </w:pPr>
      <w:r w:rsidRPr="52D6B39A">
        <w:rPr>
          <w:rFonts w:ascii="Aptos" w:eastAsia="Aptos" w:hAnsi="Aptos" w:cs="Aptos"/>
          <w:sz w:val="24"/>
          <w:szCs w:val="24"/>
        </w:rPr>
        <w:t xml:space="preserve">These results validate hypotheses H1 and H2, demonstrating that cryptographic authenticity alone is insufficient and that runtime </w:t>
      </w:r>
      <w:r w:rsidR="00C97138" w:rsidRPr="52D6B39A">
        <w:rPr>
          <w:rFonts w:ascii="Aptos" w:eastAsia="Aptos" w:hAnsi="Aptos" w:cs="Aptos"/>
          <w:sz w:val="24"/>
          <w:szCs w:val="24"/>
        </w:rPr>
        <w:t>behavioural</w:t>
      </w:r>
      <w:r w:rsidRPr="52D6B39A">
        <w:rPr>
          <w:rFonts w:ascii="Aptos" w:eastAsia="Aptos" w:hAnsi="Aptos" w:cs="Aptos"/>
          <w:sz w:val="24"/>
          <w:szCs w:val="24"/>
        </w:rPr>
        <w:t xml:space="preserve"> enforcement is essential to mitigate TC2 firmware update threats effectively.</w:t>
      </w:r>
    </w:p>
    <w:p w14:paraId="5197606C" w14:textId="68D25AD2" w:rsidR="3EA19E61" w:rsidRDefault="3EA19E61" w:rsidP="0FA82DD0">
      <w:pPr>
        <w:spacing w:after="160" w:line="257" w:lineRule="auto"/>
        <w:rPr>
          <w:rFonts w:asciiTheme="minorHAnsi" w:eastAsiaTheme="minorEastAsia" w:hAnsiTheme="minorHAnsi" w:cstheme="minorBidi"/>
        </w:rPr>
      </w:pPr>
    </w:p>
    <w:p w14:paraId="772CACD9" w14:textId="224A35FE" w:rsidR="00C97138" w:rsidRDefault="00C97138" w:rsidP="0FA82DD0">
      <w:pPr>
        <w:spacing w:after="160" w:line="257" w:lineRule="auto"/>
        <w:rPr>
          <w:rFonts w:asciiTheme="minorHAnsi" w:eastAsiaTheme="minorEastAsia" w:hAnsiTheme="minorHAnsi" w:cstheme="minorBidi"/>
        </w:rPr>
      </w:pPr>
      <w:r>
        <w:rPr>
          <w:noProof/>
        </w:rPr>
        <w:drawing>
          <wp:inline distT="0" distB="0" distL="0" distR="0" wp14:anchorId="260492B0" wp14:editId="14835C8D">
            <wp:extent cx="6120130" cy="4655820"/>
            <wp:effectExtent l="0" t="0" r="0" b="0"/>
            <wp:docPr id="296343893" name="Picture 13"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343893" name="Picture 13" descr="A screenshot of a graph&#10;&#10;AI-generated content may be incorrect."/>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20130" cy="4655820"/>
                    </a:xfrm>
                    <a:prstGeom prst="rect">
                      <a:avLst/>
                    </a:prstGeom>
                    <a:noFill/>
                    <a:ln>
                      <a:noFill/>
                    </a:ln>
                  </pic:spPr>
                </pic:pic>
              </a:graphicData>
            </a:graphic>
          </wp:inline>
        </w:drawing>
      </w:r>
    </w:p>
    <w:p w14:paraId="4D7A844C" w14:textId="3383B561" w:rsidR="3EA19E61" w:rsidRDefault="00716B37" w:rsidP="00716B37">
      <w:pPr>
        <w:pStyle w:val="Caption"/>
        <w:rPr>
          <w:rFonts w:asciiTheme="minorHAnsi" w:eastAsiaTheme="minorEastAsia" w:hAnsiTheme="minorHAnsi" w:cstheme="minorBidi"/>
          <w:i/>
          <w:color w:val="0E2841"/>
          <w:szCs w:val="20"/>
          <w:lang w:val="en-GB"/>
        </w:rPr>
      </w:pPr>
      <w:bookmarkStart w:id="330" w:name="_Toc233112248"/>
      <w:r>
        <w:t xml:space="preserve">Figure </w:t>
      </w:r>
      <w:r w:rsidR="00113348">
        <w:fldChar w:fldCharType="begin"/>
      </w:r>
      <w:r w:rsidR="00113348">
        <w:instrText xml:space="preserve"> SEQ Figure \* ARABIC </w:instrText>
      </w:r>
      <w:r w:rsidR="00113348">
        <w:fldChar w:fldCharType="separate"/>
      </w:r>
      <w:r w:rsidR="00F8092D">
        <w:rPr>
          <w:noProof/>
        </w:rPr>
        <w:t>42</w:t>
      </w:r>
      <w:r w:rsidR="00113348">
        <w:rPr>
          <w:noProof/>
        </w:rPr>
        <w:fldChar w:fldCharType="end"/>
      </w:r>
      <w:r w:rsidR="3EA19E61" w:rsidRPr="52D6B39A">
        <w:rPr>
          <w:rFonts w:ascii="Aptos" w:eastAsia="Aptos" w:hAnsi="Aptos" w:cs="Aptos"/>
          <w:i/>
          <w:color w:val="0E2841"/>
          <w:szCs w:val="20"/>
          <w:lang w:val="en-GB"/>
        </w:rPr>
        <w:t xml:space="preserve">: TC2: Malicious but validly signed firmware. The TSM security pipeline is enforcing a runtime </w:t>
      </w:r>
      <w:r w:rsidR="00B07C2A" w:rsidRPr="52D6B39A">
        <w:rPr>
          <w:rFonts w:ascii="Aptos" w:eastAsia="Aptos" w:hAnsi="Aptos" w:cs="Aptos"/>
          <w:i/>
          <w:color w:val="0E2841"/>
          <w:szCs w:val="20"/>
          <w:lang w:val="en-GB"/>
        </w:rPr>
        <w:t>behavioural</w:t>
      </w:r>
      <w:r w:rsidR="3EA19E61" w:rsidRPr="52D6B39A">
        <w:rPr>
          <w:rFonts w:ascii="Aptos" w:eastAsia="Aptos" w:hAnsi="Aptos" w:cs="Aptos"/>
          <w:i/>
          <w:color w:val="0E2841"/>
          <w:szCs w:val="20"/>
          <w:lang w:val="en-GB"/>
        </w:rPr>
        <w:t xml:space="preserve"> model for the EVSE charger behaviour within 50 ms, while the unsafe duration is 0.05 sec.</w:t>
      </w:r>
      <w:bookmarkEnd w:id="330"/>
    </w:p>
    <w:p w14:paraId="7417FE8B" w14:textId="1592C3D8" w:rsidR="3EA19E61" w:rsidRDefault="3EA19E61" w:rsidP="0FA82DD0">
      <w:pPr>
        <w:spacing w:after="160" w:line="257" w:lineRule="auto"/>
        <w:rPr>
          <w:rFonts w:ascii="Aptos" w:eastAsia="Aptos" w:hAnsi="Aptos" w:cs="Aptos"/>
          <w:sz w:val="20"/>
          <w:szCs w:val="20"/>
        </w:rPr>
      </w:pPr>
      <w:r w:rsidRPr="52D6B39A">
        <w:rPr>
          <w:rFonts w:ascii="Aptos" w:eastAsia="Aptos" w:hAnsi="Aptos" w:cs="Aptos"/>
          <w:sz w:val="20"/>
          <w:szCs w:val="20"/>
        </w:rPr>
        <w:t xml:space="preserve"> </w:t>
      </w:r>
    </w:p>
    <w:p w14:paraId="34B36882" w14:textId="77777777" w:rsidR="0089799C" w:rsidRDefault="0089799C" w:rsidP="0FA82DD0">
      <w:pPr>
        <w:spacing w:after="160" w:line="257" w:lineRule="auto"/>
        <w:rPr>
          <w:rFonts w:ascii="Aptos" w:eastAsia="Aptos" w:hAnsi="Aptos" w:cs="Aptos"/>
          <w:sz w:val="20"/>
          <w:szCs w:val="20"/>
        </w:rPr>
      </w:pPr>
    </w:p>
    <w:p w14:paraId="28F2F0FE" w14:textId="77777777" w:rsidR="0089799C" w:rsidRDefault="0089799C" w:rsidP="0FA82DD0">
      <w:pPr>
        <w:spacing w:after="160" w:line="257" w:lineRule="auto"/>
        <w:rPr>
          <w:rFonts w:asciiTheme="minorHAnsi" w:eastAsiaTheme="minorEastAsia" w:hAnsiTheme="minorHAnsi" w:cstheme="minorBidi"/>
          <w:sz w:val="20"/>
          <w:szCs w:val="20"/>
        </w:rPr>
      </w:pPr>
    </w:p>
    <w:p w14:paraId="00E75276" w14:textId="6C0031DC" w:rsidR="3EA19E61" w:rsidRDefault="3EA19E61" w:rsidP="1E6FFEEE">
      <w:pPr>
        <w:spacing w:after="160" w:line="257" w:lineRule="auto"/>
        <w:jc w:val="both"/>
        <w:rPr>
          <w:rFonts w:asciiTheme="minorHAnsi" w:eastAsiaTheme="minorEastAsia" w:hAnsiTheme="minorHAnsi" w:cstheme="minorBidi"/>
          <w:b/>
          <w:sz w:val="24"/>
          <w:szCs w:val="24"/>
        </w:rPr>
      </w:pPr>
      <w:r w:rsidRPr="1E6FFEEE">
        <w:rPr>
          <w:rFonts w:ascii="Aptos" w:eastAsia="Aptos" w:hAnsi="Aptos" w:cs="Aptos"/>
          <w:b/>
          <w:sz w:val="24"/>
          <w:szCs w:val="24"/>
        </w:rPr>
        <w:t>TC3 — Firmware Rollback / Downgrade Attack</w:t>
      </w:r>
    </w:p>
    <w:p w14:paraId="26BE43D3" w14:textId="4087C9E1" w:rsidR="3EA19E61" w:rsidRDefault="3EA19E61" w:rsidP="38B975DE">
      <w:pPr>
        <w:spacing w:after="160" w:line="257" w:lineRule="auto"/>
        <w:jc w:val="both"/>
        <w:rPr>
          <w:rFonts w:asciiTheme="minorHAnsi" w:eastAsiaTheme="minorEastAsia" w:hAnsiTheme="minorHAnsi" w:cstheme="minorBidi"/>
          <w:sz w:val="24"/>
          <w:szCs w:val="24"/>
        </w:rPr>
      </w:pPr>
      <w:r w:rsidRPr="1E6FFEEE">
        <w:rPr>
          <w:rFonts w:ascii="Aptos" w:eastAsia="Aptos" w:hAnsi="Aptos" w:cs="Aptos"/>
          <w:sz w:val="24"/>
          <w:szCs w:val="24"/>
        </w:rPr>
        <w:t xml:space="preserve">Figure </w:t>
      </w:r>
      <w:r w:rsidR="53E5E5D4" w:rsidRPr="1E6FFEEE">
        <w:rPr>
          <w:rFonts w:ascii="Aptos" w:eastAsia="Aptos" w:hAnsi="Aptos" w:cs="Aptos"/>
          <w:sz w:val="24"/>
          <w:szCs w:val="24"/>
        </w:rPr>
        <w:t>43</w:t>
      </w:r>
      <w:r w:rsidRPr="1E6FFEEE">
        <w:rPr>
          <w:rFonts w:ascii="Aptos" w:eastAsia="Aptos" w:hAnsi="Aptos" w:cs="Aptos"/>
          <w:sz w:val="24"/>
          <w:szCs w:val="24"/>
        </w:rPr>
        <w:t xml:space="preserve"> illustrates a firmware rollback or downgrade attack in which an attacker attempts to revert the firmware from version v3.2.1 to v2.8.0—an outdated version containing vulnerabilities such as telemetry spoofing and bypassed safety logic, which were patched in v3.1.2. The TSM trust chain deterministically blocks this attack using a monotonic counter in the HRoT: the counter value 321 exceeds the target downgrade value 280, and the firmware update is rejected according to anti-rollback policies.</w:t>
      </w:r>
    </w:p>
    <w:p w14:paraId="06EAA86F" w14:textId="07BA62D7" w:rsidR="3EA19E61" w:rsidRDefault="3EA19E61" w:rsidP="1E6FFEEE">
      <w:pPr>
        <w:spacing w:after="160" w:line="257" w:lineRule="auto"/>
        <w:jc w:val="both"/>
        <w:rPr>
          <w:rFonts w:asciiTheme="minorHAnsi" w:eastAsiaTheme="minorEastAsia" w:hAnsiTheme="minorHAnsi" w:cstheme="minorBidi"/>
          <w:sz w:val="24"/>
          <w:szCs w:val="24"/>
        </w:rPr>
      </w:pPr>
      <w:r w:rsidRPr="1E6FFEEE">
        <w:rPr>
          <w:rFonts w:ascii="Aptos" w:eastAsia="Aptos" w:hAnsi="Aptos" w:cs="Aptos"/>
          <w:sz w:val="24"/>
          <w:szCs w:val="24"/>
        </w:rPr>
        <w:t>The panels highlight the following results:</w:t>
      </w:r>
    </w:p>
    <w:p w14:paraId="5C782E0C" w14:textId="0BD1E31D" w:rsidR="3EA19E61" w:rsidRDefault="3EA19E61" w:rsidP="38B975DE">
      <w:pPr>
        <w:pStyle w:val="ListParagraph"/>
        <w:numPr>
          <w:ilvl w:val="0"/>
          <w:numId w:val="75"/>
        </w:numPr>
        <w:spacing w:before="0" w:after="0" w:line="257" w:lineRule="auto"/>
        <w:jc w:val="both"/>
        <w:rPr>
          <w:rFonts w:asciiTheme="minorHAnsi" w:eastAsiaTheme="minorEastAsia" w:hAnsiTheme="minorHAnsi" w:cstheme="minorBidi"/>
        </w:rPr>
      </w:pPr>
      <w:r w:rsidRPr="1E6FFEEE">
        <w:rPr>
          <w:rFonts w:ascii="Aptos" w:eastAsia="Aptos" w:hAnsi="Aptos" w:cs="Aptos"/>
          <w:b/>
        </w:rPr>
        <w:t>Firmware version scale (top panel):</w:t>
      </w:r>
      <w:r w:rsidRPr="1E6FFEEE">
        <w:rPr>
          <w:rFonts w:ascii="Aptos" w:eastAsia="Aptos" w:hAnsi="Aptos" w:cs="Aptos"/>
        </w:rPr>
        <w:t xml:space="preserve"> The current version is normalized to scale 100, while the targeted downgrade is at scale 60. In TSM bypass mode, EVSE chargers’ firmware is downgraded from 100 to 60. With TSM enabled, the version remains at 100, with a brief 2</w:t>
      </w:r>
      <w:r w:rsidRPr="1E6FFEEE">
        <w:rPr>
          <w:rFonts w:ascii="Arial" w:eastAsia="Arial" w:hAnsi="Arial" w:cs="Arial"/>
        </w:rPr>
        <w:t> </w:t>
      </w:r>
      <w:r w:rsidRPr="1E6FFEEE">
        <w:rPr>
          <w:rFonts w:ascii="Aptos" w:eastAsia="Aptos" w:hAnsi="Aptos" w:cs="Aptos"/>
        </w:rPr>
        <w:t>sec processing hold at 98 at (t = 25)</w:t>
      </w:r>
      <w:r w:rsidRPr="1E6FFEEE">
        <w:rPr>
          <w:rFonts w:ascii="Arial" w:eastAsia="Arial" w:hAnsi="Arial" w:cs="Arial"/>
        </w:rPr>
        <w:t> </w:t>
      </w:r>
      <w:r w:rsidRPr="1E6FFEEE">
        <w:rPr>
          <w:rFonts w:ascii="Aptos" w:eastAsia="Aptos" w:hAnsi="Aptos" w:cs="Aptos"/>
        </w:rPr>
        <w:t>sec.</w:t>
      </w:r>
    </w:p>
    <w:p w14:paraId="12D1B67D" w14:textId="5FACC2D2" w:rsidR="3EA19E61" w:rsidRDefault="3EA19E61" w:rsidP="1E6FFEEE">
      <w:pPr>
        <w:pStyle w:val="ListParagraph"/>
        <w:numPr>
          <w:ilvl w:val="0"/>
          <w:numId w:val="75"/>
        </w:numPr>
        <w:spacing w:before="0" w:after="0" w:line="257" w:lineRule="auto"/>
        <w:jc w:val="both"/>
        <w:rPr>
          <w:rFonts w:asciiTheme="minorHAnsi" w:eastAsiaTheme="minorEastAsia" w:hAnsiTheme="minorHAnsi" w:cstheme="minorBidi"/>
        </w:rPr>
      </w:pPr>
      <w:r w:rsidRPr="1E6FFEEE">
        <w:rPr>
          <w:rFonts w:ascii="Aptos" w:eastAsia="Aptos" w:hAnsi="Aptos" w:cs="Aptos"/>
          <w:b/>
        </w:rPr>
        <w:t>Security feature coverage (middle panel):</w:t>
      </w:r>
      <w:r w:rsidRPr="1E6FFEEE">
        <w:rPr>
          <w:rFonts w:ascii="Aptos" w:eastAsia="Aptos" w:hAnsi="Aptos" w:cs="Aptos"/>
        </w:rPr>
        <w:t xml:space="preserve"> In bypass mode, rollback reduces coverage from 95% to 45%, whereas TSM-enabled mode maintains 95% throughout the process.</w:t>
      </w:r>
    </w:p>
    <w:p w14:paraId="7AD88643" w14:textId="07B1DD1A" w:rsidR="3EA19E61" w:rsidRDefault="3EA19E61" w:rsidP="1E6FFEEE">
      <w:pPr>
        <w:pStyle w:val="ListParagraph"/>
        <w:numPr>
          <w:ilvl w:val="0"/>
          <w:numId w:val="75"/>
        </w:numPr>
        <w:spacing w:before="0" w:after="0" w:line="257" w:lineRule="auto"/>
        <w:jc w:val="both"/>
        <w:rPr>
          <w:rFonts w:asciiTheme="minorHAnsi" w:eastAsiaTheme="minorEastAsia" w:hAnsiTheme="minorHAnsi" w:cstheme="minorBidi"/>
        </w:rPr>
      </w:pPr>
      <w:r w:rsidRPr="1E6FFEEE">
        <w:rPr>
          <w:rFonts w:ascii="Aptos" w:eastAsia="Aptos" w:hAnsi="Aptos" w:cs="Aptos"/>
          <w:b/>
        </w:rPr>
        <w:t>Vulnerability exposure (bottom panel):</w:t>
      </w:r>
      <w:r w:rsidRPr="1E6FFEEE">
        <w:rPr>
          <w:rFonts w:ascii="Aptos" w:eastAsia="Aptos" w:hAnsi="Aptos" w:cs="Aptos"/>
        </w:rPr>
        <w:t xml:space="preserve"> Without TSM, rollback reintroduces known vulnerabilities such as compromised safety limits, contactor logic issues, and missing patches. With TSM enforcement, the exposure count remains zero due to trust chain policies.</w:t>
      </w:r>
    </w:p>
    <w:p w14:paraId="701A8855" w14:textId="069861B1" w:rsidR="3EA19E61" w:rsidRDefault="3EA19E61" w:rsidP="1E6FFEEE">
      <w:pPr>
        <w:spacing w:after="160" w:line="257" w:lineRule="auto"/>
        <w:jc w:val="both"/>
        <w:rPr>
          <w:rFonts w:asciiTheme="minorHAnsi" w:eastAsiaTheme="minorEastAsia" w:hAnsiTheme="minorHAnsi" w:cstheme="minorBidi"/>
          <w:sz w:val="24"/>
          <w:szCs w:val="24"/>
        </w:rPr>
      </w:pPr>
      <w:r w:rsidRPr="1E6FFEEE">
        <w:rPr>
          <w:rFonts w:ascii="Aptos" w:eastAsia="Aptos" w:hAnsi="Aptos" w:cs="Aptos"/>
          <w:b/>
          <w:sz w:val="24"/>
          <w:szCs w:val="24"/>
        </w:rPr>
        <w:t>Key results:</w:t>
      </w:r>
      <w:r w:rsidR="6B0A569E" w:rsidRPr="1E6FFEEE">
        <w:rPr>
          <w:rFonts w:ascii="Aptos" w:eastAsia="Aptos" w:hAnsi="Aptos" w:cs="Aptos"/>
          <w:b/>
          <w:sz w:val="24"/>
          <w:szCs w:val="24"/>
        </w:rPr>
        <w:t xml:space="preserve"> </w:t>
      </w:r>
      <w:r w:rsidRPr="1E6FFEEE">
        <w:rPr>
          <w:rFonts w:ascii="Aptos" w:eastAsia="Aptos" w:hAnsi="Aptos" w:cs="Aptos"/>
          <w:sz w:val="24"/>
          <w:szCs w:val="24"/>
        </w:rPr>
        <w:t>Rollback Prevention Rate (RPR)</w:t>
      </w:r>
      <w:r w:rsidR="7C2EE225" w:rsidRPr="1E6FFEEE">
        <w:rPr>
          <w:rFonts w:ascii="Aptos" w:eastAsia="Aptos" w:hAnsi="Aptos" w:cs="Aptos"/>
          <w:sz w:val="24"/>
          <w:szCs w:val="24"/>
        </w:rPr>
        <w:t xml:space="preserve">  is covered </w:t>
      </w:r>
      <w:r w:rsidRPr="1E6FFEEE">
        <w:rPr>
          <w:rFonts w:ascii="Aptos" w:eastAsia="Aptos" w:hAnsi="Aptos" w:cs="Aptos"/>
          <w:sz w:val="24"/>
          <w:szCs w:val="24"/>
        </w:rPr>
        <w:t xml:space="preserve">100% </w:t>
      </w:r>
      <w:r w:rsidR="503ED2F3" w:rsidRPr="1E6FFEEE">
        <w:rPr>
          <w:rFonts w:ascii="Aptos" w:eastAsia="Aptos" w:hAnsi="Aptos" w:cs="Aptos"/>
          <w:sz w:val="24"/>
          <w:szCs w:val="24"/>
        </w:rPr>
        <w:t xml:space="preserve">. </w:t>
      </w:r>
      <w:r w:rsidRPr="1E6FFEEE">
        <w:rPr>
          <w:rFonts w:ascii="Aptos" w:eastAsia="Aptos" w:hAnsi="Aptos" w:cs="Aptos"/>
          <w:sz w:val="24"/>
          <w:szCs w:val="24"/>
        </w:rPr>
        <w:t>Unlike TC1 and TC2, TC3 affects the maturity of security features rather than introducing malicious code. The HRoT monotonic counter effectively prevents rollback and downgrade attacks, validating hypothesis H1 for TC3 scenarios.</w:t>
      </w:r>
    </w:p>
    <w:p w14:paraId="7E70A520" w14:textId="4EFB7E1C" w:rsidR="1DCF52FD" w:rsidRDefault="1DCF52FD" w:rsidP="1DCF52FD">
      <w:pPr>
        <w:spacing w:after="0" w:line="257" w:lineRule="auto"/>
        <w:rPr>
          <w:rFonts w:asciiTheme="minorHAnsi" w:eastAsiaTheme="minorEastAsia" w:hAnsiTheme="minorHAnsi" w:cstheme="minorBidi"/>
        </w:rPr>
      </w:pPr>
    </w:p>
    <w:p w14:paraId="7BC2333A" w14:textId="3895243B" w:rsidR="3EA19E61" w:rsidRDefault="3EA19E61" w:rsidP="0FA82DD0">
      <w:pPr>
        <w:spacing w:after="160" w:line="257" w:lineRule="auto"/>
        <w:rPr>
          <w:rFonts w:asciiTheme="minorHAnsi" w:eastAsiaTheme="minorEastAsia" w:hAnsiTheme="minorHAnsi" w:cstheme="minorBidi"/>
        </w:rPr>
      </w:pPr>
    </w:p>
    <w:p w14:paraId="72EAC066" w14:textId="140414DD" w:rsidR="00B07C2A" w:rsidRDefault="00B07C2A" w:rsidP="0FA82DD0">
      <w:pPr>
        <w:spacing w:after="160" w:line="257" w:lineRule="auto"/>
        <w:rPr>
          <w:rFonts w:asciiTheme="minorHAnsi" w:eastAsiaTheme="minorEastAsia" w:hAnsiTheme="minorHAnsi" w:cstheme="minorBidi"/>
        </w:rPr>
      </w:pPr>
      <w:r>
        <w:rPr>
          <w:noProof/>
        </w:rPr>
        <w:drawing>
          <wp:inline distT="0" distB="0" distL="0" distR="0" wp14:anchorId="45468819" wp14:editId="06BFB4CD">
            <wp:extent cx="6120130" cy="4473575"/>
            <wp:effectExtent l="0" t="0" r="0" b="3175"/>
            <wp:docPr id="134014999" name="Picture 14"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14999" name="Picture 14" descr="A screenshot of a graph&#10;&#10;AI-generated content may be incorrect."/>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20130" cy="4473575"/>
                    </a:xfrm>
                    <a:prstGeom prst="rect">
                      <a:avLst/>
                    </a:prstGeom>
                    <a:noFill/>
                    <a:ln>
                      <a:noFill/>
                    </a:ln>
                  </pic:spPr>
                </pic:pic>
              </a:graphicData>
            </a:graphic>
          </wp:inline>
        </w:drawing>
      </w:r>
    </w:p>
    <w:p w14:paraId="41D77F1D" w14:textId="4012141C" w:rsidR="3EA19E61" w:rsidRDefault="0089799C" w:rsidP="0089799C">
      <w:pPr>
        <w:pStyle w:val="Caption"/>
        <w:rPr>
          <w:rFonts w:asciiTheme="minorHAnsi" w:eastAsiaTheme="minorEastAsia" w:hAnsiTheme="minorHAnsi" w:cstheme="minorBidi"/>
          <w:i/>
          <w:color w:val="0E2841"/>
          <w:szCs w:val="20"/>
          <w:lang w:val="en-GB"/>
        </w:rPr>
      </w:pPr>
      <w:bookmarkStart w:id="331" w:name="_Toc233112249"/>
      <w:r>
        <w:t xml:space="preserve">Figure </w:t>
      </w:r>
      <w:r w:rsidR="00113348">
        <w:fldChar w:fldCharType="begin"/>
      </w:r>
      <w:r w:rsidR="00113348">
        <w:instrText xml:space="preserve"> SEQ Figure \* ARABIC </w:instrText>
      </w:r>
      <w:r w:rsidR="00113348">
        <w:fldChar w:fldCharType="separate"/>
      </w:r>
      <w:r w:rsidR="00F8092D">
        <w:rPr>
          <w:noProof/>
        </w:rPr>
        <w:t>43</w:t>
      </w:r>
      <w:r w:rsidR="00113348">
        <w:rPr>
          <w:noProof/>
        </w:rPr>
        <w:fldChar w:fldCharType="end"/>
      </w:r>
      <w:r w:rsidR="3EA19E61" w:rsidRPr="1E6FFEEE">
        <w:rPr>
          <w:rFonts w:ascii="Aptos" w:eastAsia="Aptos" w:hAnsi="Aptos" w:cs="Aptos"/>
          <w:i/>
          <w:color w:val="0E2841"/>
          <w:szCs w:val="20"/>
          <w:lang w:val="en-GB"/>
        </w:rPr>
        <w:t>: TC3: Firmware rollback attack. TSM-enabled enforcement triggered HRoT monotonic counter to block the older version and maintained full security features with RPR=100%.</w:t>
      </w:r>
      <w:bookmarkEnd w:id="331"/>
    </w:p>
    <w:p w14:paraId="15C3F26D" w14:textId="04623572" w:rsidR="3EA19E61" w:rsidRDefault="3EA19E61" w:rsidP="0FA82DD0">
      <w:pPr>
        <w:spacing w:after="160" w:line="257" w:lineRule="auto"/>
        <w:rPr>
          <w:rFonts w:asciiTheme="minorHAnsi" w:eastAsiaTheme="minorEastAsia" w:hAnsiTheme="minorHAnsi" w:cstheme="minorBidi"/>
        </w:rPr>
      </w:pPr>
      <w:r w:rsidRPr="0FA82DD0">
        <w:rPr>
          <w:rFonts w:ascii="Aptos" w:eastAsia="Aptos" w:hAnsi="Aptos" w:cs="Aptos"/>
        </w:rPr>
        <w:t xml:space="preserve"> </w:t>
      </w:r>
    </w:p>
    <w:p w14:paraId="32C56BE8" w14:textId="4E10E722" w:rsidR="3EA19E61" w:rsidRDefault="3EA19E61" w:rsidP="6AAC60C8">
      <w:pPr>
        <w:spacing w:after="160" w:line="257" w:lineRule="auto"/>
        <w:jc w:val="both"/>
        <w:rPr>
          <w:rFonts w:asciiTheme="minorHAnsi" w:eastAsiaTheme="minorEastAsia" w:hAnsiTheme="minorHAnsi" w:cstheme="minorBidi"/>
          <w:sz w:val="24"/>
          <w:szCs w:val="24"/>
        </w:rPr>
      </w:pPr>
      <w:r w:rsidRPr="6AAC60C8">
        <w:rPr>
          <w:rFonts w:ascii="Aptos" w:eastAsia="Aptos" w:hAnsi="Aptos" w:cs="Aptos"/>
          <w:b/>
          <w:sz w:val="24"/>
          <w:szCs w:val="24"/>
        </w:rPr>
        <w:t>TC4 — Trust Anchor Compromise</w:t>
      </w:r>
      <w:r w:rsidRPr="6AAC60C8">
        <w:rPr>
          <w:rFonts w:ascii="Aptos" w:eastAsia="Aptos" w:hAnsi="Aptos" w:cs="Aptos"/>
          <w:sz w:val="24"/>
          <w:szCs w:val="24"/>
        </w:rPr>
        <w:t>: Figure</w:t>
      </w:r>
      <w:r w:rsidR="7A253224" w:rsidRPr="6AAC60C8">
        <w:rPr>
          <w:rFonts w:ascii="Aptos" w:eastAsia="Aptos" w:hAnsi="Aptos" w:cs="Aptos"/>
          <w:sz w:val="24"/>
          <w:szCs w:val="24"/>
        </w:rPr>
        <w:t xml:space="preserve"> 44</w:t>
      </w:r>
      <w:r w:rsidRPr="6AAC60C8">
        <w:rPr>
          <w:rFonts w:ascii="Aptos" w:eastAsia="Aptos" w:hAnsi="Aptos" w:cs="Aptos"/>
          <w:sz w:val="24"/>
          <w:szCs w:val="24"/>
        </w:rPr>
        <w:t xml:space="preserve"> illustrates the most severe firmware attack scenario, in which an attacker compromises the HRoT of eight EVSE chargers by resetting monotonic counters, modifying golden hashes, replacing secure boot keys, and injecting rogue root certificates. Once the trust anchor is compromised, all security and cryptographic mechanisms in the TSM trust chain are rendered ineffective, and a malicious firmware image could be treated as legitimate. To mitigate this, TSM enforces periodic remote attestation, allowing the CPO and other stakeholders to detect the compromise and associated vulnerabilities.</w:t>
      </w:r>
    </w:p>
    <w:p w14:paraId="0065154A" w14:textId="781349BF" w:rsidR="3EA19E61" w:rsidRDefault="3EA19E61" w:rsidP="6AAC60C8">
      <w:pPr>
        <w:spacing w:after="160" w:line="257" w:lineRule="auto"/>
        <w:jc w:val="both"/>
        <w:rPr>
          <w:rFonts w:asciiTheme="minorHAnsi" w:eastAsiaTheme="minorEastAsia" w:hAnsiTheme="minorHAnsi" w:cstheme="minorBidi"/>
          <w:sz w:val="28"/>
          <w:szCs w:val="28"/>
        </w:rPr>
      </w:pPr>
      <w:r w:rsidRPr="6AAC60C8">
        <w:rPr>
          <w:rFonts w:ascii="Aptos" w:eastAsia="Aptos" w:hAnsi="Aptos" w:cs="Aptos"/>
          <w:sz w:val="24"/>
          <w:szCs w:val="24"/>
        </w:rPr>
        <w:t>During the attack:</w:t>
      </w:r>
    </w:p>
    <w:p w14:paraId="11377B4E" w14:textId="7109EACB" w:rsidR="3EA19E61" w:rsidRDefault="3EA19E61" w:rsidP="6AAC60C8">
      <w:pPr>
        <w:pStyle w:val="ListParagraph"/>
        <w:numPr>
          <w:ilvl w:val="0"/>
          <w:numId w:val="73"/>
        </w:numPr>
        <w:spacing w:before="0" w:after="0" w:line="257" w:lineRule="auto"/>
        <w:jc w:val="both"/>
        <w:rPr>
          <w:rFonts w:asciiTheme="minorHAnsi" w:eastAsiaTheme="minorEastAsia" w:hAnsiTheme="minorHAnsi" w:cstheme="minorBidi"/>
        </w:rPr>
      </w:pPr>
      <w:r w:rsidRPr="6AAC60C8">
        <w:rPr>
          <w:rFonts w:ascii="Aptos" w:eastAsia="Aptos" w:hAnsi="Aptos" w:cs="Aptos"/>
        </w:rPr>
        <w:t>At (t = 20)</w:t>
      </w:r>
      <w:r w:rsidRPr="6AAC60C8">
        <w:rPr>
          <w:rFonts w:ascii="Arial" w:eastAsia="Arial" w:hAnsi="Arial" w:cs="Arial"/>
        </w:rPr>
        <w:t> </w:t>
      </w:r>
      <w:r w:rsidRPr="6AAC60C8">
        <w:rPr>
          <w:rFonts w:ascii="Aptos" w:eastAsia="Aptos" w:hAnsi="Aptos" w:cs="Aptos"/>
        </w:rPr>
        <w:t xml:space="preserve">sec, four EVSE chargers are tampered with HRoT. The </w:t>
      </w:r>
      <w:r w:rsidRPr="6AAC60C8">
        <w:rPr>
          <w:rFonts w:ascii="Aptos" w:eastAsia="Aptos" w:hAnsi="Aptos" w:cs="Aptos"/>
          <w:b/>
        </w:rPr>
        <w:t>first panel</w:t>
      </w:r>
      <w:r w:rsidRPr="6AAC60C8">
        <w:rPr>
          <w:rFonts w:ascii="Aptos" w:eastAsia="Aptos" w:hAnsi="Aptos" w:cs="Aptos"/>
        </w:rPr>
        <w:t xml:space="preserve"> shows trust anchor integrity dropping from 100% to 50% in TSM bypass mode, where no detection occurs. In TSM-enabled mode, the next attestation cycle at (t = 35)</w:t>
      </w:r>
      <w:r w:rsidRPr="6AAC60C8">
        <w:rPr>
          <w:rFonts w:ascii="Arial" w:eastAsia="Arial" w:hAnsi="Arial" w:cs="Arial"/>
        </w:rPr>
        <w:t> </w:t>
      </w:r>
      <w:r w:rsidRPr="6AAC60C8">
        <w:rPr>
          <w:rFonts w:ascii="Aptos" w:eastAsia="Aptos" w:hAnsi="Aptos" w:cs="Aptos"/>
        </w:rPr>
        <w:t>sec identifies the compromise, and the affected chargers are isolated at (t = 45)</w:t>
      </w:r>
      <w:r w:rsidRPr="6AAC60C8">
        <w:rPr>
          <w:rFonts w:ascii="Arial" w:eastAsia="Arial" w:hAnsi="Arial" w:cs="Arial"/>
        </w:rPr>
        <w:t> </w:t>
      </w:r>
      <w:r w:rsidRPr="6AAC60C8">
        <w:rPr>
          <w:rFonts w:ascii="Aptos" w:eastAsia="Aptos" w:hAnsi="Aptos" w:cs="Aptos"/>
        </w:rPr>
        <w:t>sec, maintaining fleet integrity at 100% for healthy chargers.</w:t>
      </w:r>
    </w:p>
    <w:p w14:paraId="16C7B044" w14:textId="1968E47D" w:rsidR="3EA19E61" w:rsidRDefault="3EA19E61" w:rsidP="6AAC60C8">
      <w:pPr>
        <w:pStyle w:val="ListParagraph"/>
        <w:numPr>
          <w:ilvl w:val="0"/>
          <w:numId w:val="73"/>
        </w:numPr>
        <w:spacing w:before="0" w:after="0" w:line="257" w:lineRule="auto"/>
        <w:jc w:val="both"/>
        <w:rPr>
          <w:rFonts w:asciiTheme="minorHAnsi" w:eastAsiaTheme="minorEastAsia" w:hAnsiTheme="minorHAnsi" w:cstheme="minorBidi"/>
        </w:rPr>
      </w:pPr>
      <w:r w:rsidRPr="6AAC60C8">
        <w:rPr>
          <w:rFonts w:ascii="Aptos" w:eastAsia="Aptos" w:hAnsi="Aptos" w:cs="Aptos"/>
        </w:rPr>
        <w:t xml:space="preserve">The </w:t>
      </w:r>
      <w:r w:rsidRPr="6AAC60C8">
        <w:rPr>
          <w:rFonts w:ascii="Aptos" w:eastAsia="Aptos" w:hAnsi="Aptos" w:cs="Aptos"/>
          <w:b/>
        </w:rPr>
        <w:t>second panel</w:t>
      </w:r>
      <w:r w:rsidRPr="6AAC60C8">
        <w:rPr>
          <w:rFonts w:ascii="Aptos" w:eastAsia="Aptos" w:hAnsi="Aptos" w:cs="Aptos"/>
        </w:rPr>
        <w:t xml:space="preserve"> tracks the secure boot chain, which drops from 8 to 4 in both modes. TSM reprovisions the compromised chargers at (t = 120)</w:t>
      </w:r>
      <w:r w:rsidRPr="6AAC60C8">
        <w:rPr>
          <w:rFonts w:ascii="Arial" w:eastAsia="Arial" w:hAnsi="Arial" w:cs="Arial"/>
        </w:rPr>
        <w:t> </w:t>
      </w:r>
      <w:r w:rsidRPr="6AAC60C8">
        <w:rPr>
          <w:rFonts w:ascii="Aptos" w:eastAsia="Aptos" w:hAnsi="Aptos" w:cs="Aptos"/>
        </w:rPr>
        <w:t>sec, restoring the full fleet count to 8.</w:t>
      </w:r>
    </w:p>
    <w:p w14:paraId="300FC389" w14:textId="7CAC4AEA" w:rsidR="3EA19E61" w:rsidRDefault="3EA19E61" w:rsidP="6AAC60C8">
      <w:pPr>
        <w:pStyle w:val="ListParagraph"/>
        <w:numPr>
          <w:ilvl w:val="0"/>
          <w:numId w:val="73"/>
        </w:numPr>
        <w:spacing w:before="0" w:after="0" w:line="257" w:lineRule="auto"/>
        <w:jc w:val="both"/>
        <w:rPr>
          <w:rFonts w:asciiTheme="minorHAnsi" w:eastAsiaTheme="minorEastAsia" w:hAnsiTheme="minorHAnsi" w:cstheme="minorBidi"/>
        </w:rPr>
      </w:pPr>
      <w:r w:rsidRPr="6AAC60C8">
        <w:rPr>
          <w:rFonts w:ascii="Aptos" w:eastAsia="Aptos" w:hAnsi="Aptos" w:cs="Aptos"/>
        </w:rPr>
        <w:t xml:space="preserve">The </w:t>
      </w:r>
      <w:r w:rsidRPr="6AAC60C8">
        <w:rPr>
          <w:rFonts w:ascii="Aptos" w:eastAsia="Aptos" w:hAnsi="Aptos" w:cs="Aptos"/>
          <w:b/>
        </w:rPr>
        <w:t>third panel</w:t>
      </w:r>
      <w:r w:rsidRPr="6AAC60C8">
        <w:rPr>
          <w:rFonts w:ascii="Aptos" w:eastAsia="Aptos" w:hAnsi="Aptos" w:cs="Aptos"/>
        </w:rPr>
        <w:t xml:space="preserve"> shows the attestation success rate: ~5% in TSM bypass mode, 50% in TSM-enabled mode during the detection phase, and 100% after full recovery.</w:t>
      </w:r>
    </w:p>
    <w:p w14:paraId="56826351" w14:textId="0D777C6A" w:rsidR="3EA19E61" w:rsidRDefault="3EA19E61" w:rsidP="6AAC60C8">
      <w:pPr>
        <w:pStyle w:val="ListParagraph"/>
        <w:numPr>
          <w:ilvl w:val="0"/>
          <w:numId w:val="73"/>
        </w:numPr>
        <w:spacing w:before="0" w:after="0" w:line="257" w:lineRule="auto"/>
        <w:jc w:val="both"/>
        <w:rPr>
          <w:rFonts w:asciiTheme="minorHAnsi" w:eastAsiaTheme="minorEastAsia" w:hAnsiTheme="minorHAnsi" w:cstheme="minorBidi"/>
        </w:rPr>
      </w:pPr>
      <w:r w:rsidRPr="6AAC60C8">
        <w:rPr>
          <w:rFonts w:ascii="Aptos" w:eastAsia="Aptos" w:hAnsi="Aptos" w:cs="Aptos"/>
        </w:rPr>
        <w:t xml:space="preserve">The </w:t>
      </w:r>
      <w:r w:rsidRPr="6AAC60C8">
        <w:rPr>
          <w:rFonts w:ascii="Aptos" w:eastAsia="Aptos" w:hAnsi="Aptos" w:cs="Aptos"/>
          <w:b/>
        </w:rPr>
        <w:t>fourth panel</w:t>
      </w:r>
      <w:r w:rsidRPr="6AAC60C8">
        <w:rPr>
          <w:rFonts w:ascii="Aptos" w:eastAsia="Aptos" w:hAnsi="Aptos" w:cs="Aptos"/>
        </w:rPr>
        <w:t xml:space="preserve"> presents the fleet risk score (0 = safe, 100 = critical). In TSM bypass mode, the score peaks at 85 due to the attack. In TSM-enabled mode, it drops from 85 to 45 during detection and stabilizes at 5 after reprovisioning.</w:t>
      </w:r>
    </w:p>
    <w:p w14:paraId="0872EDC8" w14:textId="121C3BA8" w:rsidR="3EA19E61" w:rsidRDefault="3EA19E61" w:rsidP="6AAC60C8">
      <w:pPr>
        <w:spacing w:after="160" w:line="257" w:lineRule="auto"/>
        <w:jc w:val="both"/>
        <w:rPr>
          <w:rFonts w:asciiTheme="minorHAnsi" w:eastAsiaTheme="minorEastAsia" w:hAnsiTheme="minorHAnsi" w:cstheme="minorBidi"/>
          <w:sz w:val="28"/>
          <w:szCs w:val="28"/>
        </w:rPr>
      </w:pPr>
      <w:r w:rsidRPr="6AAC60C8">
        <w:rPr>
          <w:rFonts w:ascii="Aptos" w:eastAsia="Aptos" w:hAnsi="Aptos" w:cs="Aptos"/>
          <w:sz w:val="24"/>
          <w:szCs w:val="24"/>
        </w:rPr>
        <w:t>These results demonstrate that TSM remote attestation and runtime policy enforcement can detect, isolate, and recover from even the most severe trust anchor compromise attacks, preserving fleet integrity and minimizing operational risk.</w:t>
      </w:r>
    </w:p>
    <w:p w14:paraId="3DB90794" w14:textId="345228E4" w:rsidR="3EA19E61" w:rsidRDefault="3EA19E61" w:rsidP="0FA82DD0">
      <w:pPr>
        <w:spacing w:after="160" w:line="257" w:lineRule="auto"/>
        <w:rPr>
          <w:rFonts w:asciiTheme="minorHAnsi" w:eastAsiaTheme="minorEastAsia" w:hAnsiTheme="minorHAnsi" w:cstheme="minorBidi"/>
        </w:rPr>
      </w:pPr>
    </w:p>
    <w:p w14:paraId="2FE5614A" w14:textId="6C603320" w:rsidR="008A1447" w:rsidRDefault="008A1447" w:rsidP="0FA82DD0">
      <w:pPr>
        <w:spacing w:after="160" w:line="257" w:lineRule="auto"/>
        <w:rPr>
          <w:rFonts w:asciiTheme="minorHAnsi" w:eastAsiaTheme="minorEastAsia" w:hAnsiTheme="minorHAnsi" w:cstheme="minorBidi"/>
        </w:rPr>
      </w:pPr>
      <w:r>
        <w:rPr>
          <w:noProof/>
        </w:rPr>
        <w:drawing>
          <wp:inline distT="0" distB="0" distL="0" distR="0" wp14:anchorId="6B57EF04" wp14:editId="30E9AE03">
            <wp:extent cx="6120130" cy="4664710"/>
            <wp:effectExtent l="0" t="0" r="0" b="2540"/>
            <wp:docPr id="1463836750" name="Picture 15"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836750" name="Picture 15" descr="A screenshot of a graph&#10;&#10;AI-generated content may be incorrect."/>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20130" cy="4664710"/>
                    </a:xfrm>
                    <a:prstGeom prst="rect">
                      <a:avLst/>
                    </a:prstGeom>
                    <a:noFill/>
                    <a:ln>
                      <a:noFill/>
                    </a:ln>
                  </pic:spPr>
                </pic:pic>
              </a:graphicData>
            </a:graphic>
          </wp:inline>
        </w:drawing>
      </w:r>
    </w:p>
    <w:p w14:paraId="22A0F5FE" w14:textId="404C522F" w:rsidR="3EA19E61" w:rsidRDefault="0089799C" w:rsidP="0089799C">
      <w:pPr>
        <w:pStyle w:val="Caption"/>
        <w:rPr>
          <w:rFonts w:asciiTheme="minorHAnsi" w:eastAsiaTheme="minorEastAsia" w:hAnsiTheme="minorHAnsi" w:cstheme="minorBidi"/>
          <w:i/>
          <w:color w:val="0E2841"/>
          <w:szCs w:val="20"/>
          <w:lang w:val="en-GB"/>
        </w:rPr>
      </w:pPr>
      <w:bookmarkStart w:id="332" w:name="_Toc233112250"/>
      <w:r>
        <w:t xml:space="preserve">Figure </w:t>
      </w:r>
      <w:r w:rsidR="00113348">
        <w:fldChar w:fldCharType="begin"/>
      </w:r>
      <w:r w:rsidR="00113348">
        <w:instrText xml:space="preserve"> SEQ Figure \* ARABIC </w:instrText>
      </w:r>
      <w:r w:rsidR="00113348">
        <w:fldChar w:fldCharType="separate"/>
      </w:r>
      <w:r w:rsidR="00F8092D">
        <w:rPr>
          <w:noProof/>
        </w:rPr>
        <w:t>44</w:t>
      </w:r>
      <w:r w:rsidR="00113348">
        <w:rPr>
          <w:noProof/>
        </w:rPr>
        <w:fldChar w:fldCharType="end"/>
      </w:r>
      <w:r w:rsidR="3EA19E61" w:rsidRPr="6AAC60C8">
        <w:rPr>
          <w:rFonts w:ascii="Aptos" w:eastAsia="Aptos" w:hAnsi="Aptos" w:cs="Aptos"/>
          <w:i/>
          <w:color w:val="0E2841"/>
          <w:szCs w:val="20"/>
          <w:lang w:val="en-GB"/>
        </w:rPr>
        <w:t>: TC4: Trust anchor compromise. The TSM-enabled enforcement provides remote attestation capabilities to detect HRoT manipulation using attestation cycle and detection latency to isolate the promised EVSE chargers from the fleets and restore EVSE fleet.</w:t>
      </w:r>
      <w:bookmarkEnd w:id="332"/>
    </w:p>
    <w:p w14:paraId="308911E5" w14:textId="7620D9F2" w:rsidR="3EA19E61" w:rsidRDefault="3EA19E61" w:rsidP="0FA82DD0">
      <w:pPr>
        <w:spacing w:after="160" w:line="257" w:lineRule="auto"/>
        <w:rPr>
          <w:rFonts w:asciiTheme="minorHAnsi" w:eastAsiaTheme="minorEastAsia" w:hAnsiTheme="minorHAnsi" w:cstheme="minorBidi"/>
        </w:rPr>
      </w:pPr>
      <w:r w:rsidRPr="0FA82DD0">
        <w:rPr>
          <w:rFonts w:ascii="Aptos" w:eastAsia="Aptos" w:hAnsi="Aptos" w:cs="Aptos"/>
        </w:rPr>
        <w:t xml:space="preserve"> </w:t>
      </w:r>
    </w:p>
    <w:p w14:paraId="617F23FC" w14:textId="16125046" w:rsidR="17E85AA3" w:rsidRDefault="17E85AA3" w:rsidP="3CA9DEE4">
      <w:pPr>
        <w:pStyle w:val="Heading3"/>
        <w:spacing w:before="160" w:after="80" w:line="257" w:lineRule="auto"/>
        <w:rPr>
          <w:rFonts w:asciiTheme="minorHAnsi" w:eastAsiaTheme="minorEastAsia" w:hAnsiTheme="minorHAnsi" w:cstheme="minorBidi"/>
          <w:sz w:val="28"/>
          <w:szCs w:val="28"/>
          <w:lang w:val="en-GB"/>
        </w:rPr>
      </w:pPr>
      <w:bookmarkStart w:id="333" w:name="_Toc234310834"/>
      <w:r w:rsidRPr="3C9A7C0B">
        <w:rPr>
          <w:rFonts w:ascii="Aptos" w:eastAsia="Aptos" w:hAnsi="Aptos" w:cs="Aptos"/>
          <w:sz w:val="28"/>
          <w:szCs w:val="28"/>
          <w:lang w:val="en-GB"/>
        </w:rPr>
        <w:t>F</w:t>
      </w:r>
      <w:r w:rsidR="55A9FFBA" w:rsidRPr="3C9A7C0B">
        <w:rPr>
          <w:rFonts w:ascii="Aptos" w:eastAsia="Aptos" w:hAnsi="Aptos" w:cs="Aptos"/>
          <w:sz w:val="28"/>
          <w:szCs w:val="28"/>
          <w:lang w:val="en-GB"/>
        </w:rPr>
        <w:t>leet-level Impact and Risk Escalation</w:t>
      </w:r>
      <w:bookmarkEnd w:id="333"/>
    </w:p>
    <w:p w14:paraId="3F792852" w14:textId="1044CDF2" w:rsidR="3EA19E61" w:rsidRDefault="3EA19E61" w:rsidP="4EC04811">
      <w:pPr>
        <w:spacing w:after="160" w:line="257" w:lineRule="auto"/>
        <w:jc w:val="both"/>
        <w:rPr>
          <w:rFonts w:asciiTheme="minorHAnsi" w:eastAsiaTheme="minorEastAsia" w:hAnsiTheme="minorHAnsi" w:cstheme="minorBidi"/>
          <w:sz w:val="24"/>
          <w:szCs w:val="24"/>
        </w:rPr>
      </w:pPr>
      <w:r w:rsidRPr="6AAC60C8">
        <w:rPr>
          <w:rFonts w:asciiTheme="minorHAnsi" w:eastAsiaTheme="minorEastAsia" w:hAnsiTheme="minorHAnsi" w:cstheme="minorBidi"/>
          <w:sz w:val="24"/>
          <w:szCs w:val="24"/>
        </w:rPr>
        <w:t>The individual threat classes TC1–TC4 are first evaluated at the device level. In real-world scenarios, combined attack vectors can be initiated at the fleet level to observe their impact on the distribution grid and to follow the escalation pathway from EVSE devices to the grid.</w:t>
      </w:r>
    </w:p>
    <w:p w14:paraId="2C96254B" w14:textId="5B900B0D" w:rsidR="3EA19E61" w:rsidRDefault="3EA19E61" w:rsidP="0FA82DD0">
      <w:pPr>
        <w:spacing w:after="160" w:line="257" w:lineRule="auto"/>
        <w:rPr>
          <w:rFonts w:asciiTheme="minorHAnsi" w:eastAsiaTheme="minorEastAsia" w:hAnsiTheme="minorHAnsi" w:cstheme="minorBidi"/>
          <w:b/>
          <w:sz w:val="24"/>
          <w:szCs w:val="24"/>
        </w:rPr>
      </w:pPr>
      <w:r w:rsidRPr="6AAC60C8">
        <w:rPr>
          <w:rFonts w:asciiTheme="minorHAnsi" w:eastAsiaTheme="minorEastAsia" w:hAnsiTheme="minorHAnsi" w:cstheme="minorBidi"/>
          <w:b/>
          <w:sz w:val="24"/>
          <w:szCs w:val="24"/>
        </w:rPr>
        <w:t>Coordinated Fleet Attack</w:t>
      </w:r>
    </w:p>
    <w:p w14:paraId="0F9299D0" w14:textId="17ED2F02" w:rsidR="3EA19E61" w:rsidRDefault="3EA19E61" w:rsidP="4EC04811">
      <w:pPr>
        <w:spacing w:after="160" w:line="257" w:lineRule="auto"/>
        <w:jc w:val="both"/>
        <w:rPr>
          <w:rFonts w:asciiTheme="minorHAnsi" w:eastAsiaTheme="minorEastAsia" w:hAnsiTheme="minorHAnsi" w:cstheme="minorBidi"/>
          <w:sz w:val="24"/>
          <w:szCs w:val="24"/>
        </w:rPr>
      </w:pPr>
      <w:r w:rsidRPr="6AAC60C8">
        <w:rPr>
          <w:rFonts w:asciiTheme="minorHAnsi" w:eastAsiaTheme="minorEastAsia" w:hAnsiTheme="minorHAnsi" w:cstheme="minorBidi"/>
          <w:sz w:val="24"/>
          <w:szCs w:val="24"/>
        </w:rPr>
        <w:t xml:space="preserve">Figure </w:t>
      </w:r>
      <w:r w:rsidR="6F26A896" w:rsidRPr="6AAC60C8">
        <w:rPr>
          <w:rFonts w:asciiTheme="minorHAnsi" w:eastAsiaTheme="minorEastAsia" w:hAnsiTheme="minorHAnsi" w:cstheme="minorBidi"/>
          <w:sz w:val="24"/>
          <w:szCs w:val="24"/>
        </w:rPr>
        <w:t>45</w:t>
      </w:r>
      <w:r w:rsidRPr="6AAC60C8">
        <w:rPr>
          <w:rFonts w:asciiTheme="minorHAnsi" w:eastAsiaTheme="minorEastAsia" w:hAnsiTheme="minorHAnsi" w:cstheme="minorBidi"/>
          <w:sz w:val="24"/>
          <w:szCs w:val="24"/>
        </w:rPr>
        <w:t xml:space="preserve"> illustrates a TC2 scenario where a malicious simultaneous firmware update is injected across a fleet of 20 EVSE chargers connected to a 2 MW distribution feeder. The compromised chargers override their power limits from 80 kW to 150 kW, producing an aggregated demand of 3.0 MW—150% of the feeder’s rated capacity, thereby exceeding thermal limits.</w:t>
      </w:r>
    </w:p>
    <w:p w14:paraId="0CEBF68C" w14:textId="6239DBBB" w:rsidR="3EA19E61" w:rsidRDefault="3EA19E61" w:rsidP="4EC04811">
      <w:pPr>
        <w:spacing w:after="160" w:line="257" w:lineRule="auto"/>
        <w:jc w:val="both"/>
        <w:rPr>
          <w:rFonts w:asciiTheme="minorHAnsi" w:eastAsiaTheme="minorEastAsia" w:hAnsiTheme="minorHAnsi" w:cstheme="minorBidi"/>
          <w:sz w:val="24"/>
          <w:szCs w:val="24"/>
        </w:rPr>
      </w:pPr>
      <w:r w:rsidRPr="6AAC60C8">
        <w:rPr>
          <w:rFonts w:asciiTheme="minorHAnsi" w:eastAsiaTheme="minorEastAsia" w:hAnsiTheme="minorHAnsi" w:cstheme="minorBidi"/>
          <w:sz w:val="24"/>
          <w:szCs w:val="24"/>
        </w:rPr>
        <w:t>Observations from the panels:</w:t>
      </w:r>
    </w:p>
    <w:p w14:paraId="71B10B8A" w14:textId="24BAFBF1" w:rsidR="3EA19E61" w:rsidRDefault="3EA19E61" w:rsidP="4EC04811">
      <w:pPr>
        <w:pStyle w:val="ListParagraph"/>
        <w:numPr>
          <w:ilvl w:val="0"/>
          <w:numId w:val="72"/>
        </w:numPr>
        <w:spacing w:before="0" w:after="0" w:line="257" w:lineRule="auto"/>
        <w:jc w:val="both"/>
        <w:rPr>
          <w:rFonts w:asciiTheme="minorHAnsi" w:eastAsiaTheme="minorEastAsia" w:hAnsiTheme="minorHAnsi" w:cstheme="minorBidi"/>
        </w:rPr>
      </w:pPr>
      <w:r w:rsidRPr="6AAC60C8">
        <w:rPr>
          <w:rFonts w:asciiTheme="minorHAnsi" w:eastAsiaTheme="minorEastAsia" w:hAnsiTheme="minorHAnsi" w:cstheme="minorBidi"/>
          <w:b/>
        </w:rPr>
        <w:t>Aggregated fleet demand (top panel):</w:t>
      </w:r>
      <w:r w:rsidRPr="6AAC60C8">
        <w:rPr>
          <w:rFonts w:asciiTheme="minorHAnsi" w:eastAsiaTheme="minorEastAsia" w:hAnsiTheme="minorHAnsi" w:cstheme="minorBidi"/>
        </w:rPr>
        <w:t xml:space="preserve"> Without TSM enforcement, load surges from 1.2 MW to 3.0 MW, violating the feeder rating. With TSM enabled, runtime clamps limit each EVSE to 80 kW, resulting in a fleet demand peaking at 1.7 MW and stabilizing at 1.6 MW, maintaining safe operating margins.</w:t>
      </w:r>
    </w:p>
    <w:p w14:paraId="37A296D8" w14:textId="1B3DD1BF" w:rsidR="3EA19E61" w:rsidRDefault="3EA19E61" w:rsidP="4EC04811">
      <w:pPr>
        <w:pStyle w:val="ListParagraph"/>
        <w:numPr>
          <w:ilvl w:val="0"/>
          <w:numId w:val="72"/>
        </w:numPr>
        <w:spacing w:before="0" w:after="0" w:line="257" w:lineRule="auto"/>
        <w:jc w:val="both"/>
        <w:rPr>
          <w:rFonts w:asciiTheme="minorHAnsi" w:eastAsiaTheme="minorEastAsia" w:hAnsiTheme="minorHAnsi" w:cstheme="minorBidi"/>
        </w:rPr>
      </w:pPr>
      <w:r w:rsidRPr="6AAC60C8">
        <w:rPr>
          <w:rFonts w:asciiTheme="minorHAnsi" w:eastAsiaTheme="minorEastAsia" w:hAnsiTheme="minorHAnsi" w:cstheme="minorBidi"/>
          <w:b/>
        </w:rPr>
        <w:t>Bus voltages (second panel):</w:t>
      </w:r>
      <w:r w:rsidRPr="6AAC60C8">
        <w:rPr>
          <w:rFonts w:asciiTheme="minorHAnsi" w:eastAsiaTheme="minorEastAsia" w:hAnsiTheme="minorHAnsi" w:cstheme="minorBidi"/>
        </w:rPr>
        <w:t xml:space="preserve"> In bypass mode, voltage drops to 0.85 p.u. With TSM enforcement, voltages are maintained at 0.97 p.u., within the GSE bounds of 0.95–1.05 p.u.</w:t>
      </w:r>
    </w:p>
    <w:p w14:paraId="0AAC4CC9" w14:textId="7A450CCE" w:rsidR="3EA19E61" w:rsidRDefault="3EA19E61" w:rsidP="4EC04811">
      <w:pPr>
        <w:pStyle w:val="ListParagraph"/>
        <w:numPr>
          <w:ilvl w:val="0"/>
          <w:numId w:val="72"/>
        </w:numPr>
        <w:spacing w:before="0" w:after="0" w:line="257" w:lineRule="auto"/>
        <w:jc w:val="both"/>
        <w:rPr>
          <w:rFonts w:asciiTheme="minorHAnsi" w:eastAsiaTheme="minorEastAsia" w:hAnsiTheme="minorHAnsi" w:cstheme="minorBidi"/>
        </w:rPr>
      </w:pPr>
      <w:r w:rsidRPr="6AAC60C8">
        <w:rPr>
          <w:rFonts w:asciiTheme="minorHAnsi" w:eastAsiaTheme="minorEastAsia" w:hAnsiTheme="minorHAnsi" w:cstheme="minorBidi"/>
          <w:b/>
        </w:rPr>
        <w:t>Transformer thermal rating (third panel):</w:t>
      </w:r>
      <w:r w:rsidRPr="6AAC60C8">
        <w:rPr>
          <w:rFonts w:asciiTheme="minorHAnsi" w:eastAsiaTheme="minorEastAsia" w:hAnsiTheme="minorHAnsi" w:cstheme="minorBidi"/>
        </w:rPr>
        <w:t xml:space="preserve"> TSM bypass mode causes the transformer temperature to rise to 115 °C, exceeding the 105 °C tripping limit. TSM-enabled mode maintains a peak temperature of 65 °C.</w:t>
      </w:r>
    </w:p>
    <w:p w14:paraId="7A34F0CE" w14:textId="0396FB82" w:rsidR="3EA19E61" w:rsidRDefault="3EA19E61" w:rsidP="4EC04811">
      <w:pPr>
        <w:pStyle w:val="ListParagraph"/>
        <w:numPr>
          <w:ilvl w:val="0"/>
          <w:numId w:val="72"/>
        </w:numPr>
        <w:spacing w:before="0" w:after="0" w:line="257" w:lineRule="auto"/>
        <w:jc w:val="both"/>
        <w:rPr>
          <w:rFonts w:asciiTheme="minorHAnsi" w:eastAsiaTheme="minorEastAsia" w:hAnsiTheme="minorHAnsi" w:cstheme="minorBidi"/>
        </w:rPr>
      </w:pPr>
      <w:r w:rsidRPr="6AAC60C8">
        <w:rPr>
          <w:rFonts w:asciiTheme="minorHAnsi" w:eastAsiaTheme="minorEastAsia" w:hAnsiTheme="minorHAnsi" w:cstheme="minorBidi"/>
          <w:b/>
        </w:rPr>
        <w:t>Composite grid stability score (bottom panel):</w:t>
      </w:r>
      <w:r w:rsidRPr="6AAC60C8">
        <w:rPr>
          <w:rFonts w:asciiTheme="minorHAnsi" w:eastAsiaTheme="minorEastAsia" w:hAnsiTheme="minorHAnsi" w:cstheme="minorBidi"/>
        </w:rPr>
        <w:t xml:space="preserve"> The score is 15/100 in bypass mode versus 93/100 with TSM enforcement.</w:t>
      </w:r>
    </w:p>
    <w:p w14:paraId="5BC0CBA3" w14:textId="0D5BCE24" w:rsidR="3EA19E61" w:rsidRDefault="3EA19E61" w:rsidP="005713FD">
      <w:pPr>
        <w:spacing w:after="160" w:line="257" w:lineRule="auto"/>
        <w:rPr>
          <w:rFonts w:asciiTheme="minorHAnsi" w:eastAsiaTheme="minorEastAsia" w:hAnsiTheme="minorHAnsi" w:cstheme="minorBidi"/>
          <w:sz w:val="24"/>
          <w:szCs w:val="24"/>
        </w:rPr>
      </w:pPr>
      <w:r w:rsidRPr="6AAC60C8">
        <w:rPr>
          <w:rFonts w:asciiTheme="minorHAnsi" w:eastAsiaTheme="minorEastAsia" w:hAnsiTheme="minorHAnsi" w:cstheme="minorBidi"/>
          <w:b/>
          <w:sz w:val="24"/>
          <w:szCs w:val="24"/>
        </w:rPr>
        <w:t>Key result:</w:t>
      </w:r>
      <w:r>
        <w:br/>
      </w:r>
      <w:r w:rsidRPr="6AAC60C8">
        <w:rPr>
          <w:rFonts w:asciiTheme="minorHAnsi" w:eastAsiaTheme="minorEastAsia" w:hAnsiTheme="minorHAnsi" w:cstheme="minorBidi"/>
          <w:sz w:val="24"/>
          <w:szCs w:val="24"/>
        </w:rPr>
        <w:t xml:space="preserve"> Malicious firmware updates can trigger coordinated EVSE load attacks, potentially destabilizing the power distribution network. The TSM-enabled trust chain successfully mitigates this threat, preserving grid stability and validating hypotheses H2 and H3.</w:t>
      </w:r>
    </w:p>
    <w:p w14:paraId="60C4D28E" w14:textId="72141857" w:rsidR="3EA19E61" w:rsidRDefault="3EA19E61" w:rsidP="0FA82DD0">
      <w:pPr>
        <w:spacing w:after="160" w:line="257" w:lineRule="auto"/>
        <w:rPr>
          <w:rFonts w:asciiTheme="minorHAnsi" w:eastAsiaTheme="minorEastAsia" w:hAnsiTheme="minorHAnsi" w:cstheme="minorBidi"/>
        </w:rPr>
      </w:pPr>
      <w:r w:rsidRPr="0FA82DD0">
        <w:rPr>
          <w:rFonts w:ascii="Aptos" w:eastAsia="Aptos" w:hAnsi="Aptos" w:cs="Aptos"/>
        </w:rPr>
        <w:t xml:space="preserve"> </w:t>
      </w:r>
    </w:p>
    <w:p w14:paraId="1E795F1E" w14:textId="594C7307" w:rsidR="3EA19E61" w:rsidRDefault="3EA19E61" w:rsidP="0FA82DD0">
      <w:pPr>
        <w:spacing w:after="160" w:line="257" w:lineRule="auto"/>
        <w:rPr>
          <w:rFonts w:asciiTheme="minorHAnsi" w:eastAsiaTheme="minorEastAsia" w:hAnsiTheme="minorHAnsi" w:cstheme="minorBidi"/>
        </w:rPr>
      </w:pPr>
    </w:p>
    <w:p w14:paraId="20056174" w14:textId="557A28F4" w:rsidR="00D971AD" w:rsidRDefault="00D971AD" w:rsidP="0FA82DD0">
      <w:pPr>
        <w:spacing w:after="160" w:line="257" w:lineRule="auto"/>
        <w:rPr>
          <w:rFonts w:asciiTheme="minorHAnsi" w:eastAsiaTheme="minorEastAsia" w:hAnsiTheme="minorHAnsi" w:cstheme="minorBidi"/>
        </w:rPr>
      </w:pPr>
      <w:r>
        <w:rPr>
          <w:noProof/>
        </w:rPr>
        <w:drawing>
          <wp:inline distT="0" distB="0" distL="0" distR="0" wp14:anchorId="1E3FAE9B" wp14:editId="768FDB1A">
            <wp:extent cx="6120130" cy="4966970"/>
            <wp:effectExtent l="0" t="0" r="0" b="5080"/>
            <wp:docPr id="1595670028" name="Picture 16"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670028" name="Picture 16" descr="A screenshot of a graph&#10;&#10;AI-generated content may be incorrect."/>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20130" cy="4966970"/>
                    </a:xfrm>
                    <a:prstGeom prst="rect">
                      <a:avLst/>
                    </a:prstGeom>
                    <a:noFill/>
                    <a:ln>
                      <a:noFill/>
                    </a:ln>
                  </pic:spPr>
                </pic:pic>
              </a:graphicData>
            </a:graphic>
          </wp:inline>
        </w:drawing>
      </w:r>
    </w:p>
    <w:p w14:paraId="2CAA7481" w14:textId="242EB6CA" w:rsidR="3EA19E61" w:rsidRDefault="00946632" w:rsidP="00946632">
      <w:pPr>
        <w:pStyle w:val="Caption"/>
        <w:rPr>
          <w:rFonts w:asciiTheme="minorHAnsi" w:eastAsiaTheme="minorEastAsia" w:hAnsiTheme="minorHAnsi" w:cstheme="minorBidi"/>
          <w:i/>
          <w:color w:val="0E2841"/>
          <w:lang w:val="en-GB"/>
        </w:rPr>
      </w:pPr>
      <w:bookmarkStart w:id="334" w:name="_Toc233112251"/>
      <w:r>
        <w:t xml:space="preserve">Figure </w:t>
      </w:r>
      <w:r w:rsidR="00113348">
        <w:fldChar w:fldCharType="begin"/>
      </w:r>
      <w:r w:rsidR="00113348">
        <w:instrText xml:space="preserve"> SEQ Figure \* ARABIC </w:instrText>
      </w:r>
      <w:r w:rsidR="00113348">
        <w:fldChar w:fldCharType="separate"/>
      </w:r>
      <w:r w:rsidR="00F8092D">
        <w:rPr>
          <w:noProof/>
        </w:rPr>
        <w:t>45</w:t>
      </w:r>
      <w:r w:rsidR="00113348">
        <w:rPr>
          <w:noProof/>
        </w:rPr>
        <w:fldChar w:fldCharType="end"/>
      </w:r>
      <w:r w:rsidR="3EA19E61" w:rsidRPr="6AAC60C8">
        <w:rPr>
          <w:rFonts w:ascii="Aptos" w:eastAsia="Aptos" w:hAnsi="Aptos" w:cs="Aptos"/>
          <w:i/>
          <w:color w:val="0E2841"/>
          <w:szCs w:val="20"/>
          <w:lang w:val="en-GB"/>
        </w:rPr>
        <w:t>: A fleet-level coordinated load attack occurs under TC2 when a malicious firmware update is initiated simultaneously on 20 EVSE chargers. This causes the total load to surge to 3.0</w:t>
      </w:r>
      <w:r w:rsidR="3EA19E61" w:rsidRPr="6AAC60C8">
        <w:rPr>
          <w:rFonts w:ascii="Arial" w:eastAsia="Arial" w:hAnsi="Arial" w:cs="Arial"/>
          <w:i/>
          <w:color w:val="0E2841"/>
          <w:szCs w:val="20"/>
          <w:lang w:val="en-GB"/>
        </w:rPr>
        <w:t> </w:t>
      </w:r>
      <w:r w:rsidR="3EA19E61" w:rsidRPr="6AAC60C8">
        <w:rPr>
          <w:rFonts w:ascii="Aptos" w:eastAsia="Aptos" w:hAnsi="Aptos" w:cs="Aptos"/>
          <w:i/>
          <w:color w:val="0E2841"/>
          <w:szCs w:val="20"/>
          <w:lang w:val="en-GB"/>
        </w:rPr>
        <w:t>MW, exceeding the distribution feeder’s rated capacity by 150%. With TSM</w:t>
      </w:r>
      <w:bookmarkEnd w:id="334"/>
    </w:p>
    <w:p w14:paraId="6ABCF865" w14:textId="4B3EDBD3" w:rsidR="3EA19E61" w:rsidRDefault="3EA19E61" w:rsidP="00946632">
      <w:pPr>
        <w:spacing w:after="160" w:line="257" w:lineRule="auto"/>
        <w:rPr>
          <w:rFonts w:asciiTheme="minorHAnsi" w:eastAsiaTheme="minorEastAsia" w:hAnsiTheme="minorHAnsi" w:cstheme="minorBidi"/>
        </w:rPr>
      </w:pPr>
      <w:r w:rsidRPr="0FA82DD0">
        <w:rPr>
          <w:rFonts w:ascii="Aptos" w:eastAsia="Aptos" w:hAnsi="Aptos" w:cs="Aptos"/>
        </w:rPr>
        <w:t xml:space="preserve"> </w:t>
      </w:r>
      <w:r w:rsidRPr="2406A002">
        <w:rPr>
          <w:b/>
        </w:rPr>
        <w:t>Risk Escalation: Device-to-Grid Cascade Approach</w:t>
      </w:r>
      <w:r w:rsidRPr="2406A002">
        <w:t xml:space="preserve">: Figure </w:t>
      </w:r>
      <w:r w:rsidR="7AD6E480" w:rsidRPr="2406A002">
        <w:t>46</w:t>
      </w:r>
      <w:r w:rsidRPr="2406A002">
        <w:t xml:space="preserve"> illustrates a four-level cascade of risk propagation during firmware attack scenarios, showing how a single compromised EVSE can escalate through the infrastructure:</w:t>
      </w:r>
    </w:p>
    <w:p w14:paraId="791CB5BF" w14:textId="77BC4596" w:rsidR="3EA19E61" w:rsidRDefault="3EA19E61" w:rsidP="0089799C">
      <w:pPr>
        <w:pStyle w:val="BodyText"/>
        <w:rPr>
          <w:rFonts w:asciiTheme="minorHAnsi" w:eastAsiaTheme="minorEastAsia" w:hAnsiTheme="minorHAnsi" w:cstheme="minorBidi"/>
        </w:rPr>
      </w:pPr>
      <w:r w:rsidRPr="2406A002">
        <w:rPr>
          <w:b/>
        </w:rPr>
        <w:t>Device level ((t = 30)</w:t>
      </w:r>
      <w:r w:rsidRPr="2406A002">
        <w:rPr>
          <w:rFonts w:ascii="Arial" w:eastAsia="Arial" w:hAnsi="Arial" w:cs="Arial"/>
          <w:b/>
        </w:rPr>
        <w:t> </w:t>
      </w:r>
      <w:r w:rsidRPr="2406A002">
        <w:rPr>
          <w:b/>
        </w:rPr>
        <w:t>sec):</w:t>
      </w:r>
      <w:r w:rsidRPr="2406A002">
        <w:t xml:space="preserve"> A malicious firmware request is injected into a single EVSE, overriding power limits and suppressing safety interlocks. The device-level risk score peaks at 90/100.</w:t>
      </w:r>
    </w:p>
    <w:p w14:paraId="7E1E1BBF" w14:textId="40B9ED76" w:rsidR="3EA19E61" w:rsidRDefault="3EA19E61" w:rsidP="0089799C">
      <w:pPr>
        <w:pStyle w:val="BodyText"/>
        <w:rPr>
          <w:rFonts w:asciiTheme="minorHAnsi" w:eastAsiaTheme="minorEastAsia" w:hAnsiTheme="minorHAnsi" w:cstheme="minorBidi"/>
        </w:rPr>
      </w:pPr>
      <w:r w:rsidRPr="2406A002">
        <w:rPr>
          <w:b/>
        </w:rPr>
        <w:t>Site level ((t = 60)</w:t>
      </w:r>
      <w:r w:rsidRPr="2406A002">
        <w:rPr>
          <w:rFonts w:ascii="Arial" w:eastAsia="Arial" w:hAnsi="Arial" w:cs="Arial"/>
          <w:b/>
        </w:rPr>
        <w:t> </w:t>
      </w:r>
      <w:r w:rsidRPr="2406A002">
        <w:rPr>
          <w:b/>
        </w:rPr>
        <w:t>sec):</w:t>
      </w:r>
      <w:r w:rsidRPr="2406A002">
        <w:t xml:space="preserve"> The compromised firmware propagates across EVSE chargers within a station via shared OTA channels, affecting inverters, controllers, and transformers. The site-level risk score reaches 80/100.</w:t>
      </w:r>
    </w:p>
    <w:p w14:paraId="3536B6FE" w14:textId="3395648B" w:rsidR="3EA19E61" w:rsidRDefault="3EA19E61" w:rsidP="0089799C">
      <w:pPr>
        <w:pStyle w:val="BodyText"/>
        <w:rPr>
          <w:rFonts w:asciiTheme="minorHAnsi" w:eastAsiaTheme="minorEastAsia" w:hAnsiTheme="minorHAnsi" w:cstheme="minorBidi"/>
        </w:rPr>
      </w:pPr>
      <w:r w:rsidRPr="2406A002">
        <w:rPr>
          <w:b/>
        </w:rPr>
        <w:t>Fleet level ((t = 120)</w:t>
      </w:r>
      <w:r w:rsidRPr="2406A002">
        <w:rPr>
          <w:rFonts w:ascii="Arial" w:eastAsia="Arial" w:hAnsi="Arial" w:cs="Arial"/>
          <w:b/>
        </w:rPr>
        <w:t> </w:t>
      </w:r>
      <w:r w:rsidRPr="2406A002">
        <w:rPr>
          <w:b/>
        </w:rPr>
        <w:t>sec):</w:t>
      </w:r>
      <w:r w:rsidRPr="2406A002">
        <w:t xml:space="preserve"> The firmware spreads to remote sites through OEM backend communication channels, with a fleet-level risk score of 70/100.</w:t>
      </w:r>
    </w:p>
    <w:p w14:paraId="3541FD5F" w14:textId="5EF320A9" w:rsidR="3EA19E61" w:rsidRDefault="3EA19E61" w:rsidP="0089799C">
      <w:pPr>
        <w:pStyle w:val="BodyText"/>
        <w:rPr>
          <w:rFonts w:asciiTheme="minorHAnsi" w:eastAsiaTheme="minorEastAsia" w:hAnsiTheme="minorHAnsi" w:cstheme="minorBidi"/>
        </w:rPr>
      </w:pPr>
      <w:r w:rsidRPr="2406A002">
        <w:rPr>
          <w:b/>
        </w:rPr>
        <w:t>Grid level ((t = 240)</w:t>
      </w:r>
      <w:r w:rsidRPr="2406A002">
        <w:rPr>
          <w:rFonts w:ascii="Arial" w:eastAsia="Arial" w:hAnsi="Arial" w:cs="Arial"/>
          <w:b/>
        </w:rPr>
        <w:t> </w:t>
      </w:r>
      <w:r w:rsidRPr="2406A002">
        <w:rPr>
          <w:b/>
        </w:rPr>
        <w:t>sec):</w:t>
      </w:r>
      <w:r w:rsidRPr="2406A002">
        <w:t xml:space="preserve"> Aggregate fleet </w:t>
      </w:r>
      <w:r w:rsidR="005410C6" w:rsidRPr="2406A002">
        <w:t>behaviour</w:t>
      </w:r>
      <w:r w:rsidRPr="2406A002">
        <w:t xml:space="preserve"> impacts the distribution system, causing feeder overloads, voltage deviations, and potential brownouts. The grid-level risk score is 85/100.</w:t>
      </w:r>
    </w:p>
    <w:p w14:paraId="51F233FE" w14:textId="3038E8D9" w:rsidR="3EA19E61" w:rsidRDefault="3EA19E61" w:rsidP="0089799C">
      <w:pPr>
        <w:pStyle w:val="BodyText"/>
        <w:rPr>
          <w:rFonts w:asciiTheme="minorHAnsi" w:eastAsiaTheme="minorEastAsia" w:hAnsiTheme="minorHAnsi" w:cstheme="minorBidi"/>
        </w:rPr>
      </w:pPr>
      <w:r w:rsidRPr="2406A002">
        <w:t>With TSM security pipeline enforcement, the attack is intercepted at the device level within 50</w:t>
      </w:r>
      <w:r w:rsidRPr="2406A002">
        <w:rPr>
          <w:rFonts w:ascii="Arial" w:eastAsia="Arial" w:hAnsi="Arial" w:cs="Arial"/>
        </w:rPr>
        <w:t> </w:t>
      </w:r>
      <w:r w:rsidRPr="2406A002">
        <w:t xml:space="preserve">ms, reducing the device-level risk score to 10. Subsequently, site, fleet, and grid risk scores remain below 5 throughout the simulation. The shaded region in </w:t>
      </w:r>
      <w:r w:rsidR="0055610B">
        <w:t>f</w:t>
      </w:r>
      <w:r w:rsidRPr="2406A002">
        <w:t xml:space="preserve">igure </w:t>
      </w:r>
      <w:r w:rsidR="25EC299A" w:rsidRPr="2406A002">
        <w:t>46</w:t>
      </w:r>
      <w:r w:rsidR="0EA711A6" w:rsidRPr="2406A002">
        <w:t xml:space="preserve"> </w:t>
      </w:r>
      <w:r w:rsidRPr="2406A002">
        <w:t>illustrates this potential escalation wave that is mitigated by proactive TSM policies.</w:t>
      </w:r>
    </w:p>
    <w:p w14:paraId="7B7E63AE" w14:textId="27465DD1" w:rsidR="3EA19E61" w:rsidRDefault="3EA19E61" w:rsidP="0089799C">
      <w:pPr>
        <w:pStyle w:val="BodyText"/>
        <w:rPr>
          <w:rFonts w:asciiTheme="minorHAnsi" w:eastAsiaTheme="minorEastAsia" w:hAnsiTheme="minorHAnsi" w:cstheme="minorBidi"/>
          <w:b/>
        </w:rPr>
      </w:pPr>
      <w:r w:rsidRPr="2406A002">
        <w:rPr>
          <w:b/>
        </w:rPr>
        <w:t>Key results:</w:t>
      </w:r>
    </w:p>
    <w:p w14:paraId="5413C07E" w14:textId="11B54A1A" w:rsidR="3EA19E61" w:rsidRDefault="3EA19E61" w:rsidP="0089799C">
      <w:pPr>
        <w:pStyle w:val="BodyText"/>
        <w:rPr>
          <w:rFonts w:asciiTheme="minorHAnsi" w:eastAsiaTheme="minorEastAsia" w:hAnsiTheme="minorHAnsi" w:cstheme="minorBidi"/>
        </w:rPr>
      </w:pPr>
      <w:r w:rsidRPr="2406A002">
        <w:t>Device-level TSM enforcement is the most effective layer, preventing attacks from propagating to critical infrastructure.</w:t>
      </w:r>
    </w:p>
    <w:p w14:paraId="0644C65C" w14:textId="01AA96AD" w:rsidR="3EA19E61" w:rsidRDefault="3EA19E61" w:rsidP="0089799C">
      <w:pPr>
        <w:pStyle w:val="BodyText"/>
        <w:rPr>
          <w:rFonts w:asciiTheme="minorHAnsi" w:eastAsiaTheme="minorEastAsia" w:hAnsiTheme="minorHAnsi" w:cstheme="minorBidi"/>
        </w:rPr>
      </w:pPr>
      <w:r w:rsidRPr="2406A002">
        <w:t>Proactive intervention at EVSE devices blocks threats before site, fleet, or grid-level impacts occur.</w:t>
      </w:r>
    </w:p>
    <w:p w14:paraId="2A7C0279" w14:textId="0B3E2595" w:rsidR="3EA19E61" w:rsidRDefault="3EA19E61" w:rsidP="0089799C">
      <w:pPr>
        <w:pStyle w:val="BodyText"/>
        <w:rPr>
          <w:rFonts w:asciiTheme="minorHAnsi" w:eastAsiaTheme="minorEastAsia" w:hAnsiTheme="minorHAnsi" w:cstheme="minorBidi"/>
        </w:rPr>
      </w:pPr>
      <w:r w:rsidRPr="2406A002">
        <w:t>This approach validates hypotheses H1, H2, and H3, demonstrating that early, localized TSM enforcement ensures system-wide cybersecurity and operational stability.</w:t>
      </w:r>
    </w:p>
    <w:p w14:paraId="1D22A527" w14:textId="55FD8B6A" w:rsidR="3EA19E61" w:rsidRDefault="3EA19E61" w:rsidP="0089799C">
      <w:pPr>
        <w:pStyle w:val="BodyText"/>
        <w:rPr>
          <w:rFonts w:asciiTheme="minorHAnsi" w:eastAsiaTheme="minorEastAsia" w:hAnsiTheme="minorHAnsi" w:cstheme="minorBidi"/>
        </w:rPr>
      </w:pPr>
      <w:r w:rsidRPr="0FA82DD0">
        <w:t xml:space="preserve"> </w:t>
      </w:r>
    </w:p>
    <w:p w14:paraId="7BF8AB35" w14:textId="124988C7" w:rsidR="3EA19E61" w:rsidRDefault="3EA19E61" w:rsidP="0FA82DD0">
      <w:pPr>
        <w:spacing w:after="160" w:line="257" w:lineRule="auto"/>
        <w:rPr>
          <w:rFonts w:asciiTheme="minorHAnsi" w:eastAsiaTheme="minorEastAsia" w:hAnsiTheme="minorHAnsi" w:cstheme="minorBidi"/>
        </w:rPr>
      </w:pPr>
    </w:p>
    <w:p w14:paraId="3C2BE16E" w14:textId="58EEAC56" w:rsidR="005410C6" w:rsidRDefault="005410C6" w:rsidP="0FA82DD0">
      <w:pPr>
        <w:spacing w:after="160" w:line="257" w:lineRule="auto"/>
        <w:rPr>
          <w:rFonts w:asciiTheme="minorHAnsi" w:eastAsiaTheme="minorEastAsia" w:hAnsiTheme="minorHAnsi" w:cstheme="minorBidi"/>
        </w:rPr>
      </w:pPr>
      <w:r>
        <w:rPr>
          <w:noProof/>
        </w:rPr>
        <w:drawing>
          <wp:inline distT="0" distB="0" distL="0" distR="0" wp14:anchorId="33091481" wp14:editId="444197AB">
            <wp:extent cx="6120130" cy="4237355"/>
            <wp:effectExtent l="0" t="0" r="0" b="0"/>
            <wp:docPr id="1654588771" name="Picture 17"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588771" name="Picture 17" descr="A screenshot of a graph&#10;&#10;AI-generated content may be incorrect."/>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20130" cy="4237355"/>
                    </a:xfrm>
                    <a:prstGeom prst="rect">
                      <a:avLst/>
                    </a:prstGeom>
                    <a:noFill/>
                    <a:ln>
                      <a:noFill/>
                    </a:ln>
                  </pic:spPr>
                </pic:pic>
              </a:graphicData>
            </a:graphic>
          </wp:inline>
        </w:drawing>
      </w:r>
    </w:p>
    <w:p w14:paraId="69CBDC42" w14:textId="14801D1F" w:rsidR="3EA19E61" w:rsidRDefault="00946632" w:rsidP="00946632">
      <w:pPr>
        <w:pStyle w:val="Caption"/>
        <w:rPr>
          <w:rFonts w:asciiTheme="minorHAnsi" w:eastAsiaTheme="minorEastAsia" w:hAnsiTheme="minorHAnsi" w:cstheme="minorBidi"/>
          <w:i/>
          <w:color w:val="0E2841"/>
          <w:lang w:val="en-GB"/>
        </w:rPr>
      </w:pPr>
      <w:bookmarkStart w:id="335" w:name="_Toc233112252"/>
      <w:r>
        <w:t xml:space="preserve">Figure </w:t>
      </w:r>
      <w:r w:rsidR="00113348">
        <w:fldChar w:fldCharType="begin"/>
      </w:r>
      <w:r w:rsidR="00113348">
        <w:instrText xml:space="preserve"> SEQ Figure \* ARABIC </w:instrText>
      </w:r>
      <w:r w:rsidR="00113348">
        <w:fldChar w:fldCharType="separate"/>
      </w:r>
      <w:r w:rsidR="00F8092D">
        <w:rPr>
          <w:noProof/>
        </w:rPr>
        <w:t>46</w:t>
      </w:r>
      <w:r w:rsidR="00113348">
        <w:rPr>
          <w:noProof/>
        </w:rPr>
        <w:fldChar w:fldCharType="end"/>
      </w:r>
      <w:r w:rsidR="3EA19E61" w:rsidRPr="2406A002">
        <w:rPr>
          <w:rFonts w:ascii="Aptos" w:eastAsia="Aptos" w:hAnsi="Aptos" w:cs="Aptos"/>
          <w:i/>
          <w:color w:val="0E2841"/>
          <w:szCs w:val="20"/>
          <w:lang w:val="en-GB"/>
        </w:rPr>
        <w:t>: The risk escalation model follows a cascade from Devices → Sites → Fleets → Grids. In the absence of TSM, a single compromised EVSE can propagate the attack through all levels, reaching the grid within approximately 4</w:t>
      </w:r>
      <w:r w:rsidR="3EA19E61" w:rsidRPr="2406A002">
        <w:rPr>
          <w:rFonts w:ascii="Arial" w:eastAsia="Arial" w:hAnsi="Arial" w:cs="Arial"/>
          <w:i/>
          <w:color w:val="0E2841"/>
          <w:szCs w:val="20"/>
          <w:lang w:val="en-GB"/>
        </w:rPr>
        <w:t> </w:t>
      </w:r>
      <w:r w:rsidR="3EA19E61" w:rsidRPr="2406A002">
        <w:rPr>
          <w:rFonts w:ascii="Aptos" w:eastAsia="Aptos" w:hAnsi="Aptos" w:cs="Aptos"/>
          <w:i/>
          <w:color w:val="0E2841"/>
          <w:szCs w:val="20"/>
          <w:lang w:val="en-GB"/>
        </w:rPr>
        <w:t>minutes. With TSM-enforcement.</w:t>
      </w:r>
      <w:bookmarkEnd w:id="335"/>
    </w:p>
    <w:p w14:paraId="257B58F6" w14:textId="53E78F43" w:rsidR="3EA19E61" w:rsidRDefault="3EA19E61" w:rsidP="0FA82DD0">
      <w:pPr>
        <w:spacing w:after="160" w:line="257" w:lineRule="auto"/>
        <w:rPr>
          <w:rFonts w:asciiTheme="minorHAnsi" w:eastAsiaTheme="minorEastAsia" w:hAnsiTheme="minorHAnsi" w:cstheme="minorBidi"/>
        </w:rPr>
      </w:pPr>
      <w:r w:rsidRPr="0FA82DD0">
        <w:rPr>
          <w:rFonts w:ascii="Aptos" w:eastAsia="Aptos" w:hAnsi="Aptos" w:cs="Aptos"/>
        </w:rPr>
        <w:t xml:space="preserve"> </w:t>
      </w:r>
    </w:p>
    <w:p w14:paraId="3A974E38" w14:textId="7A1BD14A" w:rsidR="3EA19E61" w:rsidRDefault="3EA19E61" w:rsidP="4EC04811">
      <w:pPr>
        <w:spacing w:after="160" w:line="257" w:lineRule="auto"/>
        <w:jc w:val="both"/>
        <w:rPr>
          <w:rFonts w:asciiTheme="minorHAnsi" w:eastAsiaTheme="minorEastAsia" w:hAnsiTheme="minorHAnsi" w:cstheme="minorBidi"/>
          <w:sz w:val="24"/>
          <w:szCs w:val="24"/>
        </w:rPr>
      </w:pPr>
      <w:r w:rsidRPr="2406A002">
        <w:rPr>
          <w:rFonts w:ascii="Aptos" w:eastAsia="Aptos" w:hAnsi="Aptos" w:cs="Aptos"/>
          <w:b/>
          <w:sz w:val="24"/>
          <w:szCs w:val="24"/>
        </w:rPr>
        <w:t>TSM Metrics and Performance Validation:</w:t>
      </w:r>
      <w:r w:rsidRPr="2406A002">
        <w:rPr>
          <w:rFonts w:ascii="Aptos" w:eastAsia="Aptos" w:hAnsi="Aptos" w:cs="Aptos"/>
          <w:sz w:val="24"/>
          <w:szCs w:val="24"/>
        </w:rPr>
        <w:t xml:space="preserve"> Apart from single scenario analysis, the V&amp;V approach evaluated the TSM overall security performance and operational behavior through a metrics framework. Figure </w:t>
      </w:r>
      <w:r w:rsidR="6192E5EB" w:rsidRPr="2406A002">
        <w:rPr>
          <w:rFonts w:ascii="Aptos" w:eastAsia="Aptos" w:hAnsi="Aptos" w:cs="Aptos"/>
          <w:sz w:val="24"/>
          <w:szCs w:val="24"/>
        </w:rPr>
        <w:t>47</w:t>
      </w:r>
      <w:r w:rsidRPr="2406A002">
        <w:rPr>
          <w:rFonts w:ascii="Aptos" w:eastAsia="Aptos" w:hAnsi="Aptos" w:cs="Aptos"/>
          <w:sz w:val="24"/>
          <w:szCs w:val="24"/>
        </w:rPr>
        <w:t xml:space="preserve"> showing the performance metrics of all firmware update threat classes. The top section compares TSM-enabled and without TSM modes for key metrics. All malicious firmware update images are rejected, with a true positive rejection rate (TPR) of 1.00 and a false accept rate (FAR) of 0.00. All legitimate firmware updates are accepted without rejection, validated with a false reject rate (FRR) of 0.00. Rollback policies are fully enforced, achieving a rollback prevention rate (RPR) of 100%. Fail-safe reliability (FSR) is 1.00, and the audit trail provides 100% coverage for threat analysis. The middle section shows performance overhead: TSM-enabled decision latency is 7.6 ms, signature verification latency is 3.1 ms, and total pipeline latency is 8.9 ms, all within the 15 ms standard. The bottom section illustrates threat class coverage, showing TSM strategies effectively prevent attacks across all firmware update threat classes.</w:t>
      </w:r>
    </w:p>
    <w:p w14:paraId="770BA782" w14:textId="59DF9AB8" w:rsidR="3EA19E61" w:rsidRDefault="3EA19E61" w:rsidP="0FA82DD0">
      <w:pPr>
        <w:spacing w:after="160" w:line="257" w:lineRule="auto"/>
        <w:rPr>
          <w:rFonts w:asciiTheme="minorHAnsi" w:eastAsiaTheme="minorEastAsia" w:hAnsiTheme="minorHAnsi" w:cstheme="minorBidi"/>
        </w:rPr>
      </w:pPr>
    </w:p>
    <w:p w14:paraId="5E5050BC" w14:textId="0F21EE8E" w:rsidR="00704120" w:rsidRDefault="00704120" w:rsidP="0FA82DD0">
      <w:pPr>
        <w:spacing w:after="160" w:line="257" w:lineRule="auto"/>
        <w:rPr>
          <w:rFonts w:asciiTheme="minorHAnsi" w:eastAsiaTheme="minorEastAsia" w:hAnsiTheme="minorHAnsi" w:cstheme="minorBidi"/>
        </w:rPr>
      </w:pPr>
      <w:r>
        <w:rPr>
          <w:noProof/>
        </w:rPr>
        <w:drawing>
          <wp:inline distT="0" distB="0" distL="0" distR="0" wp14:anchorId="36E114EC" wp14:editId="43FCA1AD">
            <wp:extent cx="6120130" cy="4932045"/>
            <wp:effectExtent l="0" t="0" r="0" b="1905"/>
            <wp:docPr id="996124597" name="Picture 1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124597" name="Picture 18" descr="A screenshot of a computer&#10;&#10;AI-generated content may be incorrect."/>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20130" cy="4932045"/>
                    </a:xfrm>
                    <a:prstGeom prst="rect">
                      <a:avLst/>
                    </a:prstGeom>
                    <a:noFill/>
                    <a:ln>
                      <a:noFill/>
                    </a:ln>
                  </pic:spPr>
                </pic:pic>
              </a:graphicData>
            </a:graphic>
          </wp:inline>
        </w:drawing>
      </w:r>
    </w:p>
    <w:p w14:paraId="4CA5242A" w14:textId="1B789347" w:rsidR="3EA19E61" w:rsidRDefault="00946632" w:rsidP="00946632">
      <w:pPr>
        <w:pStyle w:val="Caption"/>
        <w:rPr>
          <w:rFonts w:asciiTheme="minorHAnsi" w:eastAsiaTheme="minorEastAsia" w:hAnsiTheme="minorHAnsi" w:cstheme="minorBidi"/>
          <w:i/>
          <w:color w:val="0E2841"/>
          <w:szCs w:val="20"/>
          <w:lang w:val="en-GB"/>
        </w:rPr>
      </w:pPr>
      <w:bookmarkStart w:id="336" w:name="_Toc233112253"/>
      <w:r>
        <w:t xml:space="preserve">Figure </w:t>
      </w:r>
      <w:r w:rsidR="00113348">
        <w:fldChar w:fldCharType="begin"/>
      </w:r>
      <w:r w:rsidR="00113348">
        <w:instrText xml:space="preserve"> SEQ Figure \* ARABIC </w:instrText>
      </w:r>
      <w:r w:rsidR="00113348">
        <w:fldChar w:fldCharType="separate"/>
      </w:r>
      <w:r w:rsidR="00F8092D">
        <w:rPr>
          <w:noProof/>
        </w:rPr>
        <w:t>47</w:t>
      </w:r>
      <w:r w:rsidR="00113348">
        <w:rPr>
          <w:noProof/>
        </w:rPr>
        <w:fldChar w:fldCharType="end"/>
      </w:r>
      <w:r w:rsidR="3EA19E61" w:rsidRPr="2406A002">
        <w:rPr>
          <w:rFonts w:ascii="Aptos" w:eastAsia="Aptos" w:hAnsi="Aptos" w:cs="Aptos"/>
          <w:i/>
          <w:color w:val="0E2841"/>
          <w:szCs w:val="20"/>
          <w:lang w:val="en-GB"/>
        </w:rPr>
        <w:t>: The summarized TSM-enabled security metrics are: True Positive Rejection Rate (TPR) = 1.00, False Accept Rate (FAR) = 0.00, False Reject Rate (FRR) = 0.00, and Fail-Safe Reliability (FSR) = 1.00. All firmware update-related threat classes are mitigated.</w:t>
      </w:r>
      <w:bookmarkEnd w:id="336"/>
    </w:p>
    <w:p w14:paraId="7372BD08" w14:textId="5B994110" w:rsidR="3EA19E61" w:rsidRDefault="3EA19E61" w:rsidP="0FA82DD0">
      <w:pPr>
        <w:spacing w:after="160" w:line="257" w:lineRule="auto"/>
        <w:rPr>
          <w:rFonts w:asciiTheme="minorHAnsi" w:eastAsiaTheme="minorEastAsia" w:hAnsiTheme="minorHAnsi" w:cstheme="minorBidi"/>
        </w:rPr>
      </w:pPr>
      <w:r w:rsidRPr="0FA82DD0">
        <w:rPr>
          <w:rFonts w:ascii="Aptos" w:eastAsia="Aptos" w:hAnsi="Aptos" w:cs="Aptos"/>
        </w:rPr>
        <w:t xml:space="preserve"> </w:t>
      </w:r>
    </w:p>
    <w:p w14:paraId="25F7D2FD" w14:textId="12896535" w:rsidR="3EA19E61" w:rsidRDefault="3EA19E61" w:rsidP="002460D4">
      <w:pPr>
        <w:spacing w:after="160" w:line="257" w:lineRule="auto"/>
        <w:jc w:val="both"/>
        <w:rPr>
          <w:rFonts w:asciiTheme="minorHAnsi" w:eastAsiaTheme="minorEastAsia" w:hAnsiTheme="minorHAnsi" w:cstheme="minorBidi"/>
          <w:sz w:val="24"/>
          <w:szCs w:val="24"/>
        </w:rPr>
      </w:pPr>
      <w:r w:rsidRPr="2406A002">
        <w:rPr>
          <w:rFonts w:ascii="Aptos" w:eastAsia="Aptos" w:hAnsi="Aptos" w:cs="Aptos"/>
          <w:b/>
          <w:sz w:val="24"/>
          <w:szCs w:val="24"/>
        </w:rPr>
        <w:t>Pipeline Performance Under Load:</w:t>
      </w:r>
      <w:r w:rsidRPr="2406A002">
        <w:rPr>
          <w:rFonts w:ascii="Aptos" w:eastAsia="Aptos" w:hAnsi="Aptos" w:cs="Aptos"/>
          <w:sz w:val="24"/>
          <w:szCs w:val="24"/>
        </w:rPr>
        <w:t xml:space="preserve"> Figure </w:t>
      </w:r>
      <w:r w:rsidR="2DA388B9" w:rsidRPr="2406A002">
        <w:rPr>
          <w:rFonts w:ascii="Aptos" w:eastAsia="Aptos" w:hAnsi="Aptos" w:cs="Aptos"/>
          <w:sz w:val="24"/>
          <w:szCs w:val="24"/>
        </w:rPr>
        <w:t>48</w:t>
      </w:r>
      <w:r w:rsidRPr="2406A002">
        <w:rPr>
          <w:rFonts w:ascii="Aptos" w:eastAsia="Aptos" w:hAnsi="Aptos" w:cs="Aptos"/>
          <w:sz w:val="24"/>
          <w:szCs w:val="24"/>
        </w:rPr>
        <w:t xml:space="preserve"> evaluated the TSM-enabled firmware validation pipeline was evaluated for three operations over a 60-minute window: validation decisions, signature verification, and overall pipeline throughput. Routine updates involve individual EVSE chargers updated within 10 minutes, achieving a pipeline throughput of approximately 5 updates per minute. Batch updates involve 20 EVSE chargers simultaneously updated within 25 minutes, with a throughput of approximately 20 updates per minute. At 40 minutes, an attack attempts to inject eight forged firmware images.</w:t>
      </w:r>
    </w:p>
    <w:p w14:paraId="04B0095B" w14:textId="6083D094" w:rsidR="3EA19E61" w:rsidRDefault="3EA19E61" w:rsidP="002460D4">
      <w:pPr>
        <w:spacing w:after="160" w:line="257" w:lineRule="auto"/>
        <w:jc w:val="both"/>
        <w:rPr>
          <w:rFonts w:asciiTheme="minorHAnsi" w:eastAsiaTheme="minorEastAsia" w:hAnsiTheme="minorHAnsi" w:cstheme="minorBidi"/>
          <w:sz w:val="28"/>
          <w:szCs w:val="28"/>
        </w:rPr>
      </w:pPr>
      <w:r w:rsidRPr="15722FAB">
        <w:rPr>
          <w:rFonts w:ascii="Aptos" w:eastAsia="Aptos" w:hAnsi="Aptos" w:cs="Aptos"/>
          <w:sz w:val="24"/>
          <w:szCs w:val="24"/>
        </w:rPr>
        <w:t>Decision Latencies: The top panel tracks latency percentiles. The mean baseline latency is 7.6 ms, rising to 10.2 ms during batch updates. The 95th percentile is 11.4 ms at baseline and surges to 14.1 ms under batch load. The maximum observed latency reaches 17.8 ms.</w:t>
      </w:r>
    </w:p>
    <w:p w14:paraId="30362F33" w14:textId="1DDA3D3B" w:rsidR="3EA19E61" w:rsidRDefault="3EA19E61" w:rsidP="002460D4">
      <w:pPr>
        <w:spacing w:after="160" w:line="257" w:lineRule="auto"/>
        <w:jc w:val="both"/>
        <w:rPr>
          <w:rFonts w:asciiTheme="minorHAnsi" w:eastAsiaTheme="minorEastAsia" w:hAnsiTheme="minorHAnsi" w:cstheme="minorBidi"/>
          <w:sz w:val="28"/>
          <w:szCs w:val="28"/>
        </w:rPr>
      </w:pPr>
      <w:r w:rsidRPr="15722FAB">
        <w:rPr>
          <w:rFonts w:ascii="Aptos" w:eastAsia="Aptos" w:hAnsi="Aptos" w:cs="Aptos"/>
          <w:sz w:val="24"/>
          <w:szCs w:val="24"/>
        </w:rPr>
        <w:t>Cryptographic Operations: The middle panel shows signature verification and cryptographic operation times. ECDSA-P256 verification averages 3.1 ms, certificate chain validation averages 2.2 ms, and CRL lookup averages 1.8 ms. Minor jitter is observed around 30 minutes during batch updates.</w:t>
      </w:r>
    </w:p>
    <w:p w14:paraId="0D28EF34" w14:textId="1AA66FC4" w:rsidR="3EA19E61" w:rsidRDefault="3EA19E61" w:rsidP="002460D4">
      <w:pPr>
        <w:spacing w:after="160" w:line="257" w:lineRule="auto"/>
        <w:jc w:val="both"/>
        <w:rPr>
          <w:rFonts w:asciiTheme="minorHAnsi" w:eastAsiaTheme="minorEastAsia" w:hAnsiTheme="minorHAnsi" w:cstheme="minorBidi"/>
          <w:sz w:val="28"/>
          <w:szCs w:val="28"/>
        </w:rPr>
      </w:pPr>
      <w:r w:rsidRPr="15722FAB">
        <w:rPr>
          <w:rFonts w:ascii="Aptos" w:eastAsia="Aptos" w:hAnsi="Aptos" w:cs="Aptos"/>
          <w:sz w:val="24"/>
          <w:szCs w:val="24"/>
        </w:rPr>
        <w:t>Pipeline Throughput: The bottom panel illustrates throughput, with a maximum of 22 validations per minute during batch updates. Malicious or invalid firmware images are processed faster than legitimate images because they fail at initial pipeline stages, while legitimate images traverse the full TSM security pipeline.</w:t>
      </w:r>
    </w:p>
    <w:p w14:paraId="119B54F2" w14:textId="69467D01" w:rsidR="3EA19E61" w:rsidRDefault="3EA19E61" w:rsidP="15722FAB">
      <w:pPr>
        <w:spacing w:after="160" w:line="257" w:lineRule="auto"/>
        <w:jc w:val="both"/>
        <w:rPr>
          <w:rFonts w:asciiTheme="minorHAnsi" w:eastAsiaTheme="minorEastAsia" w:hAnsiTheme="minorHAnsi" w:cstheme="minorBidi"/>
          <w:sz w:val="28"/>
          <w:szCs w:val="28"/>
        </w:rPr>
      </w:pPr>
      <w:r w:rsidRPr="15722FAB">
        <w:rPr>
          <w:rFonts w:ascii="Aptos" w:eastAsia="Aptos" w:hAnsi="Aptos" w:cs="Aptos"/>
          <w:sz w:val="24"/>
          <w:szCs w:val="24"/>
        </w:rPr>
        <w:t>These results demonstrate that TSM policies can operate effectively under routine, batch, and attack conditions while maintaining acceptable latency, validating the feasibility claim H4.</w:t>
      </w:r>
    </w:p>
    <w:p w14:paraId="2466169A" w14:textId="74E7933F" w:rsidR="3EA19E61" w:rsidRDefault="3EA19E61" w:rsidP="0FA82DD0">
      <w:pPr>
        <w:spacing w:after="160" w:line="257" w:lineRule="auto"/>
        <w:rPr>
          <w:rFonts w:asciiTheme="minorHAnsi" w:eastAsiaTheme="minorEastAsia" w:hAnsiTheme="minorHAnsi" w:cstheme="minorBidi"/>
        </w:rPr>
      </w:pPr>
      <w:r w:rsidRPr="0FA82DD0">
        <w:rPr>
          <w:rFonts w:ascii="Aptos" w:eastAsia="Aptos" w:hAnsi="Aptos" w:cs="Aptos"/>
        </w:rPr>
        <w:t xml:space="preserve"> </w:t>
      </w:r>
    </w:p>
    <w:p w14:paraId="1D4E6FCC" w14:textId="5BA51249" w:rsidR="3EA19E61" w:rsidRDefault="3EA19E61" w:rsidP="0FA82DD0">
      <w:pPr>
        <w:spacing w:after="160" w:line="257" w:lineRule="auto"/>
        <w:rPr>
          <w:rFonts w:asciiTheme="minorHAnsi" w:eastAsiaTheme="minorEastAsia" w:hAnsiTheme="minorHAnsi" w:cstheme="minorBidi"/>
        </w:rPr>
      </w:pPr>
      <w:r w:rsidRPr="0FA82DD0">
        <w:rPr>
          <w:rFonts w:ascii="Aptos" w:eastAsia="Aptos" w:hAnsi="Aptos" w:cs="Aptos"/>
        </w:rPr>
        <w:t xml:space="preserve"> </w:t>
      </w:r>
    </w:p>
    <w:p w14:paraId="31C5FD92" w14:textId="371D1AC8" w:rsidR="3EA19E61" w:rsidRDefault="3EA19E61" w:rsidP="0FA82DD0">
      <w:pPr>
        <w:spacing w:after="160" w:line="257" w:lineRule="auto"/>
        <w:rPr>
          <w:rFonts w:asciiTheme="minorHAnsi" w:eastAsiaTheme="minorEastAsia" w:hAnsiTheme="minorHAnsi" w:cstheme="minorBidi"/>
        </w:rPr>
      </w:pPr>
    </w:p>
    <w:p w14:paraId="0ACD2F80" w14:textId="28370BCF" w:rsidR="00937BB2" w:rsidRDefault="00937BB2" w:rsidP="0FA82DD0">
      <w:pPr>
        <w:spacing w:after="160" w:line="257" w:lineRule="auto"/>
        <w:rPr>
          <w:rFonts w:asciiTheme="minorHAnsi" w:eastAsiaTheme="minorEastAsia" w:hAnsiTheme="minorHAnsi" w:cstheme="minorBidi"/>
        </w:rPr>
      </w:pPr>
      <w:r>
        <w:rPr>
          <w:noProof/>
        </w:rPr>
        <w:drawing>
          <wp:inline distT="0" distB="0" distL="0" distR="0" wp14:anchorId="308668C6" wp14:editId="6C724ADE">
            <wp:extent cx="6120130" cy="3919220"/>
            <wp:effectExtent l="0" t="0" r="0" b="5080"/>
            <wp:docPr id="528289291" name="Picture 19"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289291" name="Picture 19" descr="A screenshot of a graph&#10;&#10;AI-generated content may be incorrect."/>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120130" cy="3919220"/>
                    </a:xfrm>
                    <a:prstGeom prst="rect">
                      <a:avLst/>
                    </a:prstGeom>
                    <a:noFill/>
                    <a:ln>
                      <a:noFill/>
                    </a:ln>
                  </pic:spPr>
                </pic:pic>
              </a:graphicData>
            </a:graphic>
          </wp:inline>
        </w:drawing>
      </w:r>
    </w:p>
    <w:p w14:paraId="7EE8EFB5" w14:textId="7E88EB3B" w:rsidR="00E80A45" w:rsidRDefault="00946632" w:rsidP="00A23513">
      <w:pPr>
        <w:pStyle w:val="Caption"/>
        <w:rPr>
          <w:rFonts w:ascii="Aptos" w:eastAsia="Aptos" w:hAnsi="Aptos" w:cs="Aptos"/>
          <w:i/>
          <w:color w:val="0E2841"/>
          <w:szCs w:val="20"/>
          <w:lang w:val="en-GB"/>
        </w:rPr>
      </w:pPr>
      <w:bookmarkStart w:id="337" w:name="_Toc233112254"/>
      <w:r>
        <w:t xml:space="preserve">Figure </w:t>
      </w:r>
      <w:r w:rsidR="00113348">
        <w:fldChar w:fldCharType="begin"/>
      </w:r>
      <w:r w:rsidR="00113348">
        <w:instrText xml:space="preserve"> SEQ Figure \* ARABIC </w:instrText>
      </w:r>
      <w:r w:rsidR="00113348">
        <w:fldChar w:fldCharType="separate"/>
      </w:r>
      <w:r w:rsidR="00F8092D">
        <w:rPr>
          <w:noProof/>
        </w:rPr>
        <w:t>48</w:t>
      </w:r>
      <w:r w:rsidR="00113348">
        <w:rPr>
          <w:noProof/>
        </w:rPr>
        <w:fldChar w:fldCharType="end"/>
      </w:r>
      <w:r w:rsidR="3EA19E61" w:rsidRPr="15722FAB">
        <w:rPr>
          <w:rFonts w:ascii="Aptos" w:eastAsia="Aptos" w:hAnsi="Aptos" w:cs="Aptos"/>
          <w:i/>
          <w:color w:val="0E2841"/>
          <w:szCs w:val="20"/>
          <w:lang w:val="en-GB"/>
        </w:rPr>
        <w:t>: The aggregate performance of the TSM firmware update security pipeline for the 60-minute simulation window. The mean latency is 7.6 ms indicate the operational feasibility and latency acceptance of TSM enforcement policies for the firmware update.</w:t>
      </w:r>
      <w:bookmarkEnd w:id="337"/>
    </w:p>
    <w:p w14:paraId="2ACC597A" w14:textId="77777777" w:rsidR="00A23513" w:rsidRPr="005713FD" w:rsidRDefault="00A23513" w:rsidP="005713FD">
      <w:pPr>
        <w:pStyle w:val="BodyText"/>
        <w:rPr>
          <w:lang w:val="en-GB"/>
        </w:rPr>
      </w:pPr>
    </w:p>
    <w:p w14:paraId="3E2075BF" w14:textId="77777777" w:rsidR="000A1133" w:rsidRDefault="001B37A5" w:rsidP="001B37A5">
      <w:pPr>
        <w:pStyle w:val="Heading2"/>
        <w:rPr>
          <w:rFonts w:ascii="Aptos" w:eastAsia="Aptos" w:hAnsi="Aptos" w:cs="Aptos"/>
          <w:sz w:val="28"/>
          <w:szCs w:val="28"/>
          <w:lang w:val="en-GB"/>
        </w:rPr>
      </w:pPr>
      <w:bookmarkStart w:id="338" w:name="_Toc234310835"/>
      <w:r>
        <w:rPr>
          <w:rFonts w:ascii="Aptos" w:eastAsia="Aptos" w:hAnsi="Aptos" w:cs="Aptos"/>
          <w:sz w:val="28"/>
          <w:szCs w:val="28"/>
          <w:lang w:val="en-GB"/>
        </w:rPr>
        <w:t>TSM Future Implementation</w:t>
      </w:r>
      <w:bookmarkEnd w:id="338"/>
      <w:r>
        <w:rPr>
          <w:rFonts w:ascii="Aptos" w:eastAsia="Aptos" w:hAnsi="Aptos" w:cs="Aptos"/>
          <w:sz w:val="28"/>
          <w:szCs w:val="28"/>
          <w:lang w:val="en-GB"/>
        </w:rPr>
        <w:t xml:space="preserve"> </w:t>
      </w:r>
    </w:p>
    <w:p w14:paraId="0B0EC970" w14:textId="73A1C17A" w:rsidR="000A1133" w:rsidRPr="005713FD" w:rsidRDefault="00135694" w:rsidP="005713FD">
      <w:pPr>
        <w:pStyle w:val="BodyText"/>
        <w:jc w:val="both"/>
        <w:rPr>
          <w:color w:val="auto"/>
          <w:lang w:val="en-GB"/>
        </w:rPr>
      </w:pPr>
      <w:r>
        <w:rPr>
          <w:color w:val="auto"/>
          <w:lang w:val="en-GB"/>
        </w:rPr>
        <w:t xml:space="preserve">The </w:t>
      </w:r>
      <w:r w:rsidR="005713FD">
        <w:rPr>
          <w:color w:val="auto"/>
          <w:lang w:val="en-GB"/>
        </w:rPr>
        <w:t xml:space="preserve">results </w:t>
      </w:r>
      <w:r w:rsidR="00A36213">
        <w:rPr>
          <w:color w:val="auto"/>
          <w:lang w:val="en-GB"/>
        </w:rPr>
        <w:t xml:space="preserve">in previous sections </w:t>
      </w:r>
      <w:r w:rsidR="005713FD">
        <w:rPr>
          <w:color w:val="auto"/>
          <w:lang w:val="en-GB"/>
        </w:rPr>
        <w:t xml:space="preserve">demonstrate </w:t>
      </w:r>
      <w:r w:rsidR="00A36213">
        <w:rPr>
          <w:color w:val="auto"/>
          <w:lang w:val="en-GB"/>
        </w:rPr>
        <w:t xml:space="preserve">the technical capabilities of </w:t>
      </w:r>
      <w:r w:rsidR="00EC4550">
        <w:rPr>
          <w:color w:val="auto"/>
          <w:lang w:val="en-GB"/>
        </w:rPr>
        <w:t xml:space="preserve">TSM for threat detections, grid stability </w:t>
      </w:r>
      <w:r w:rsidR="00AF11E6">
        <w:rPr>
          <w:color w:val="auto"/>
          <w:lang w:val="en-GB"/>
        </w:rPr>
        <w:t>constraints, and numerous attack scenarios</w:t>
      </w:r>
      <w:r w:rsidR="00636071">
        <w:rPr>
          <w:color w:val="auto"/>
          <w:lang w:val="en-GB"/>
        </w:rPr>
        <w:t xml:space="preserve"> from </w:t>
      </w:r>
      <w:r w:rsidR="005713FD">
        <w:rPr>
          <w:color w:val="auto"/>
          <w:lang w:val="en-GB"/>
        </w:rPr>
        <w:t xml:space="preserve">a </w:t>
      </w:r>
      <w:r w:rsidR="00636071">
        <w:rPr>
          <w:color w:val="auto"/>
          <w:lang w:val="en-GB"/>
        </w:rPr>
        <w:t>unified co-simulation environment</w:t>
      </w:r>
      <w:r w:rsidR="00F602C8">
        <w:rPr>
          <w:color w:val="auto"/>
          <w:lang w:val="en-GB"/>
        </w:rPr>
        <w:t xml:space="preserve"> to </w:t>
      </w:r>
      <w:r w:rsidR="005713FD">
        <w:rPr>
          <w:color w:val="auto"/>
          <w:lang w:val="en-GB"/>
        </w:rPr>
        <w:t>field-deployed</w:t>
      </w:r>
      <w:r w:rsidR="00B83FCB">
        <w:rPr>
          <w:color w:val="auto"/>
          <w:lang w:val="en-GB"/>
        </w:rPr>
        <w:t xml:space="preserve"> EVSE </w:t>
      </w:r>
      <w:r w:rsidR="000B347B">
        <w:rPr>
          <w:color w:val="auto"/>
          <w:lang w:val="en-GB"/>
        </w:rPr>
        <w:t>infrastructure</w:t>
      </w:r>
      <w:r w:rsidR="00B83FCB">
        <w:rPr>
          <w:color w:val="auto"/>
          <w:lang w:val="en-GB"/>
        </w:rPr>
        <w:t xml:space="preserve"> considering </w:t>
      </w:r>
      <w:r w:rsidR="005713FD">
        <w:rPr>
          <w:color w:val="auto"/>
          <w:lang w:val="en-GB"/>
        </w:rPr>
        <w:t xml:space="preserve">a </w:t>
      </w:r>
      <w:r w:rsidR="000B347B">
        <w:rPr>
          <w:color w:val="auto"/>
          <w:lang w:val="en-GB"/>
        </w:rPr>
        <w:t>distinct</w:t>
      </w:r>
      <w:r w:rsidR="00B83FCB">
        <w:rPr>
          <w:color w:val="auto"/>
          <w:lang w:val="en-GB"/>
        </w:rPr>
        <w:t xml:space="preserve"> set of </w:t>
      </w:r>
      <w:r w:rsidR="000B347B">
        <w:rPr>
          <w:color w:val="auto"/>
          <w:lang w:val="en-GB"/>
        </w:rPr>
        <w:t xml:space="preserve">practical constraints. </w:t>
      </w:r>
      <w:r w:rsidR="008B5EB0">
        <w:rPr>
          <w:color w:val="auto"/>
          <w:lang w:val="en-GB"/>
        </w:rPr>
        <w:t xml:space="preserve">The technical challenges for charging operators, EVSE manufacturers, </w:t>
      </w:r>
      <w:r w:rsidR="006E4114">
        <w:rPr>
          <w:color w:val="auto"/>
          <w:lang w:val="en-GB"/>
        </w:rPr>
        <w:t xml:space="preserve">and standardization bodies should be addressed before its practical implementation </w:t>
      </w:r>
      <w:r w:rsidR="00B0565E">
        <w:rPr>
          <w:color w:val="auto"/>
          <w:lang w:val="en-GB"/>
        </w:rPr>
        <w:t xml:space="preserve">on scale. In addition, the technology maturity, software applications, and </w:t>
      </w:r>
      <w:r w:rsidR="00B208F9">
        <w:rPr>
          <w:color w:val="auto"/>
          <w:lang w:val="en-GB"/>
        </w:rPr>
        <w:t>cybersecurity technologies would accelerate</w:t>
      </w:r>
      <w:r w:rsidR="00842C74">
        <w:rPr>
          <w:color w:val="auto"/>
          <w:lang w:val="en-GB"/>
        </w:rPr>
        <w:t xml:space="preserve"> the real-world deployment of TSM implementation. </w:t>
      </w:r>
    </w:p>
    <w:p w14:paraId="50276319" w14:textId="208C93AD" w:rsidR="00BF0831" w:rsidRDefault="00BF0831" w:rsidP="005713FD">
      <w:pPr>
        <w:pStyle w:val="Heading3notnumbered"/>
        <w:rPr>
          <w:lang w:val="en-GB"/>
        </w:rPr>
      </w:pPr>
      <w:bookmarkStart w:id="339" w:name="_Toc234310836"/>
      <w:r>
        <w:rPr>
          <w:lang w:val="en-GB"/>
        </w:rPr>
        <w:t>3.9.1 Practical Limitation and Challenges</w:t>
      </w:r>
      <w:bookmarkEnd w:id="339"/>
    </w:p>
    <w:p w14:paraId="6D0BB44E" w14:textId="1F88550A" w:rsidR="00BF0831" w:rsidRDefault="00F67098" w:rsidP="005713FD">
      <w:pPr>
        <w:pStyle w:val="BodyText"/>
        <w:jc w:val="both"/>
        <w:rPr>
          <w:lang w:val="en-GB"/>
        </w:rPr>
      </w:pPr>
      <w:r>
        <w:rPr>
          <w:lang w:val="en-GB"/>
        </w:rPr>
        <w:t xml:space="preserve">There some potential practical challenges </w:t>
      </w:r>
      <w:r w:rsidR="00402DC4">
        <w:rPr>
          <w:lang w:val="en-GB"/>
        </w:rPr>
        <w:t xml:space="preserve">in the implementation of TSM at </w:t>
      </w:r>
      <w:r w:rsidR="005713FD">
        <w:rPr>
          <w:lang w:val="en-GB"/>
        </w:rPr>
        <w:t>full-scale</w:t>
      </w:r>
      <w:r w:rsidR="00402DC4">
        <w:rPr>
          <w:lang w:val="en-GB"/>
        </w:rPr>
        <w:t xml:space="preserve"> EVSE infrastructure. The </w:t>
      </w:r>
      <w:r w:rsidR="00F511F0">
        <w:rPr>
          <w:lang w:val="en-GB"/>
        </w:rPr>
        <w:t xml:space="preserve">summarized details are a </w:t>
      </w:r>
      <w:r w:rsidR="00100AA3">
        <w:rPr>
          <w:lang w:val="en-GB"/>
        </w:rPr>
        <w:t>follow</w:t>
      </w:r>
      <w:r w:rsidR="00F511F0">
        <w:rPr>
          <w:lang w:val="en-GB"/>
        </w:rPr>
        <w:t>:</w:t>
      </w:r>
    </w:p>
    <w:p w14:paraId="2A1FB14D" w14:textId="6AB7BB6C" w:rsidR="00F511F0" w:rsidRDefault="00F511F0" w:rsidP="005713FD">
      <w:pPr>
        <w:pStyle w:val="BodyText"/>
        <w:numPr>
          <w:ilvl w:val="0"/>
          <w:numId w:val="91"/>
        </w:numPr>
        <w:jc w:val="both"/>
        <w:rPr>
          <w:lang w:val="en-GB"/>
        </w:rPr>
      </w:pPr>
      <w:r w:rsidRPr="005713FD">
        <w:rPr>
          <w:b/>
          <w:bCs/>
          <w:lang w:val="en-GB"/>
        </w:rPr>
        <w:t>HRoT Availability</w:t>
      </w:r>
      <w:r>
        <w:rPr>
          <w:lang w:val="en-GB"/>
        </w:rPr>
        <w:t xml:space="preserve">: </w:t>
      </w:r>
      <w:r w:rsidR="00BD69E8">
        <w:rPr>
          <w:lang w:val="en-GB"/>
        </w:rPr>
        <w:t>The proposed TSM-enforced framework is secured hardware-based rooted identity for all types of EVSE chargers</w:t>
      </w:r>
      <w:r w:rsidR="006C476A">
        <w:rPr>
          <w:lang w:val="en-GB"/>
        </w:rPr>
        <w:t xml:space="preserve"> which is not considered in the design. The possible solution would be modifying main controllers or introducing bump-in-the-wire cyber control gateways to intercept OCPP traffic for attestation and EVSE hardware identification.</w:t>
      </w:r>
    </w:p>
    <w:p w14:paraId="1078D698" w14:textId="6A8AAC51" w:rsidR="006C476A" w:rsidRDefault="008C0D19" w:rsidP="005713FD">
      <w:pPr>
        <w:pStyle w:val="BodyText"/>
        <w:numPr>
          <w:ilvl w:val="0"/>
          <w:numId w:val="91"/>
        </w:numPr>
        <w:jc w:val="both"/>
        <w:rPr>
          <w:lang w:val="en-GB"/>
        </w:rPr>
      </w:pPr>
      <w:r w:rsidRPr="005713FD">
        <w:rPr>
          <w:b/>
          <w:bCs/>
          <w:lang w:val="en-GB"/>
        </w:rPr>
        <w:t>Firmware Signing Supply Chain</w:t>
      </w:r>
      <w:r>
        <w:rPr>
          <w:lang w:val="en-GB"/>
        </w:rPr>
        <w:t xml:space="preserve">: Dual signing verification and attestation required dual trust model to </w:t>
      </w:r>
      <w:r w:rsidR="00173E96">
        <w:rPr>
          <w:lang w:val="en-GB"/>
        </w:rPr>
        <w:t>delegate</w:t>
      </w:r>
      <w:r>
        <w:rPr>
          <w:lang w:val="en-GB"/>
        </w:rPr>
        <w:t xml:space="preserve"> trust from OEMs to national signing authorities in the current supply chain</w:t>
      </w:r>
      <w:r w:rsidR="004042C4">
        <w:rPr>
          <w:lang w:val="en-GB"/>
        </w:rPr>
        <w:t xml:space="preserve"> which </w:t>
      </w:r>
      <w:r w:rsidR="00173E96">
        <w:rPr>
          <w:lang w:val="en-GB"/>
        </w:rPr>
        <w:t>does not exist</w:t>
      </w:r>
      <w:r w:rsidR="004042C4">
        <w:rPr>
          <w:lang w:val="en-GB"/>
        </w:rPr>
        <w:t xml:space="preserve"> in current trust enforcement models</w:t>
      </w:r>
      <w:r>
        <w:rPr>
          <w:lang w:val="en-GB"/>
        </w:rPr>
        <w:t xml:space="preserve">. </w:t>
      </w:r>
      <w:r w:rsidR="004042C4">
        <w:rPr>
          <w:lang w:val="en-GB"/>
        </w:rPr>
        <w:t xml:space="preserve">For the update supply chain models, operating procedures, critical processes, dispute resolution </w:t>
      </w:r>
      <w:r w:rsidR="00173E96">
        <w:rPr>
          <w:lang w:val="en-GB"/>
        </w:rPr>
        <w:t>mechanism</w:t>
      </w:r>
      <w:r w:rsidR="004042C4">
        <w:rPr>
          <w:lang w:val="en-GB"/>
        </w:rPr>
        <w:t xml:space="preserve">, and OEM dual </w:t>
      </w:r>
      <w:r w:rsidR="00173E96">
        <w:rPr>
          <w:lang w:val="en-GB"/>
        </w:rPr>
        <w:t>attestation</w:t>
      </w:r>
      <w:r w:rsidR="004042C4">
        <w:rPr>
          <w:lang w:val="en-GB"/>
        </w:rPr>
        <w:t xml:space="preserve"> support policies should be established.</w:t>
      </w:r>
    </w:p>
    <w:p w14:paraId="19533084" w14:textId="2CEC9162" w:rsidR="004042C4" w:rsidRDefault="00DC07B5" w:rsidP="005713FD">
      <w:pPr>
        <w:pStyle w:val="BodyText"/>
        <w:numPr>
          <w:ilvl w:val="0"/>
          <w:numId w:val="91"/>
        </w:numPr>
        <w:jc w:val="both"/>
        <w:rPr>
          <w:lang w:val="en-GB"/>
        </w:rPr>
      </w:pPr>
      <w:r w:rsidRPr="005713FD">
        <w:rPr>
          <w:b/>
          <w:bCs/>
          <w:lang w:val="en-GB"/>
        </w:rPr>
        <w:t>Protocols and Standards</w:t>
      </w:r>
      <w:r>
        <w:rPr>
          <w:lang w:val="en-GB"/>
        </w:rPr>
        <w:t xml:space="preserve">: Current EVSE and grid protocols </w:t>
      </w:r>
      <w:r w:rsidRPr="00DC07B5">
        <w:rPr>
          <w:lang w:val="en-GB"/>
        </w:rPr>
        <w:t>OCPP 2.0.1, ISO 15118-20, and OpenADR 2.0b</w:t>
      </w:r>
      <w:r>
        <w:rPr>
          <w:lang w:val="en-GB"/>
        </w:rPr>
        <w:t xml:space="preserve"> </w:t>
      </w:r>
      <w:r w:rsidR="00C84D40">
        <w:rPr>
          <w:lang w:val="en-GB"/>
        </w:rPr>
        <w:t xml:space="preserve">provides message-level control </w:t>
      </w:r>
      <w:r w:rsidR="00173E96">
        <w:rPr>
          <w:lang w:val="en-GB"/>
        </w:rPr>
        <w:t>information</w:t>
      </w:r>
      <w:r w:rsidR="00C84D40">
        <w:rPr>
          <w:lang w:val="en-GB"/>
        </w:rPr>
        <w:t xml:space="preserve"> and did not support mediation layer between EVSE and CSMS. To support this, the standard working groups should adopt TSM hooks for mediation layer profiles so that each OEM have support to implement TSM integration for mediation actions, trust states, and threat levels. </w:t>
      </w:r>
    </w:p>
    <w:p w14:paraId="53BFD8C2" w14:textId="2BD309EA" w:rsidR="00535BA3" w:rsidRDefault="00535BA3" w:rsidP="005713FD">
      <w:pPr>
        <w:pStyle w:val="BodyText"/>
        <w:numPr>
          <w:ilvl w:val="0"/>
          <w:numId w:val="91"/>
        </w:numPr>
        <w:jc w:val="both"/>
        <w:rPr>
          <w:lang w:val="en-GB"/>
        </w:rPr>
      </w:pPr>
      <w:r w:rsidRPr="005713FD">
        <w:rPr>
          <w:b/>
          <w:bCs/>
          <w:lang w:val="en-GB"/>
        </w:rPr>
        <w:t>Large-scale PKI lifecycle</w:t>
      </w:r>
      <w:r>
        <w:rPr>
          <w:lang w:val="en-GB"/>
        </w:rPr>
        <w:t xml:space="preserve">: The </w:t>
      </w:r>
      <w:r w:rsidR="00173E96">
        <w:rPr>
          <w:lang w:val="en-GB"/>
        </w:rPr>
        <w:t>deployment</w:t>
      </w:r>
      <w:r>
        <w:rPr>
          <w:lang w:val="en-GB"/>
        </w:rPr>
        <w:t xml:space="preserve"> of TSM-enabled EVSE on large-scale requires X.509 certificate chains having </w:t>
      </w:r>
      <w:r w:rsidR="00173E96">
        <w:rPr>
          <w:lang w:val="en-GB"/>
        </w:rPr>
        <w:t>revoking</w:t>
      </w:r>
      <w:r>
        <w:rPr>
          <w:lang w:val="en-GB"/>
        </w:rPr>
        <w:t>, rotating, and issuing certificate</w:t>
      </w:r>
      <w:r w:rsidR="002E1FF9">
        <w:rPr>
          <w:lang w:val="en-GB"/>
        </w:rPr>
        <w:t xml:space="preserve"> chains</w:t>
      </w:r>
      <w:r>
        <w:rPr>
          <w:lang w:val="en-GB"/>
        </w:rPr>
        <w:t xml:space="preserve"> to meet CRL distribution is significantly </w:t>
      </w:r>
      <w:r w:rsidR="00173E96">
        <w:rPr>
          <w:lang w:val="en-GB"/>
        </w:rPr>
        <w:t>challenging</w:t>
      </w:r>
      <w:r>
        <w:rPr>
          <w:lang w:val="en-GB"/>
        </w:rPr>
        <w:t xml:space="preserve"> to meet certificate </w:t>
      </w:r>
      <w:r w:rsidR="00173E96">
        <w:rPr>
          <w:lang w:val="en-GB"/>
        </w:rPr>
        <w:t>transparency</w:t>
      </w:r>
      <w:r>
        <w:rPr>
          <w:lang w:val="en-GB"/>
        </w:rPr>
        <w:t xml:space="preserve"> and operational requirements. </w:t>
      </w:r>
      <w:r w:rsidR="00173E96">
        <w:rPr>
          <w:lang w:val="en-GB"/>
        </w:rPr>
        <w:t>Existing</w:t>
      </w:r>
      <w:r>
        <w:rPr>
          <w:lang w:val="en-GB"/>
        </w:rPr>
        <w:t xml:space="preserve"> ISO 15118 did not support device-level attestation certificates which requires larger PKI </w:t>
      </w:r>
      <w:r w:rsidR="00173E96">
        <w:rPr>
          <w:lang w:val="en-GB"/>
        </w:rPr>
        <w:t>infrastructure</w:t>
      </w:r>
      <w:r>
        <w:rPr>
          <w:lang w:val="en-GB"/>
        </w:rPr>
        <w:t xml:space="preserve"> or PKI as a services </w:t>
      </w:r>
      <w:r w:rsidR="00173E96">
        <w:rPr>
          <w:lang w:val="en-GB"/>
        </w:rPr>
        <w:t>availability</w:t>
      </w:r>
      <w:r>
        <w:rPr>
          <w:lang w:val="en-GB"/>
        </w:rPr>
        <w:t xml:space="preserve"> to support TSM-enforced PKI lifecycle certifications.</w:t>
      </w:r>
    </w:p>
    <w:p w14:paraId="6836675A" w14:textId="6ED052DD" w:rsidR="00FE3595" w:rsidRDefault="00535BA3" w:rsidP="005713FD">
      <w:pPr>
        <w:pStyle w:val="BodyText"/>
        <w:numPr>
          <w:ilvl w:val="0"/>
          <w:numId w:val="91"/>
        </w:numPr>
        <w:jc w:val="both"/>
        <w:rPr>
          <w:lang w:val="en-GB"/>
        </w:rPr>
      </w:pPr>
      <w:r w:rsidRPr="005713FD">
        <w:rPr>
          <w:b/>
          <w:bCs/>
          <w:lang w:val="en-GB"/>
        </w:rPr>
        <w:t xml:space="preserve">Processing </w:t>
      </w:r>
      <w:r w:rsidR="00FE3595" w:rsidRPr="005713FD">
        <w:rPr>
          <w:b/>
          <w:bCs/>
          <w:lang w:val="en-GB"/>
        </w:rPr>
        <w:t>O</w:t>
      </w:r>
      <w:r w:rsidRPr="005713FD">
        <w:rPr>
          <w:b/>
          <w:bCs/>
          <w:lang w:val="en-GB"/>
        </w:rPr>
        <w:t>verhead Constraints</w:t>
      </w:r>
      <w:r>
        <w:rPr>
          <w:lang w:val="en-GB"/>
        </w:rPr>
        <w:t xml:space="preserve">: </w:t>
      </w:r>
      <w:r w:rsidR="00FE3595">
        <w:rPr>
          <w:lang w:val="en-GB"/>
        </w:rPr>
        <w:t xml:space="preserve">The TSM-enforced end-to-end latency is mean </w:t>
      </w:r>
      <w:r w:rsidR="00FE3595" w:rsidRPr="00FE3595">
        <w:rPr>
          <w:lang w:val="en-GB"/>
        </w:rPr>
        <w:t>4.20 ms</w:t>
      </w:r>
      <w:r w:rsidR="00FE3595">
        <w:rPr>
          <w:lang w:val="en-GB"/>
        </w:rPr>
        <w:t xml:space="preserve"> and 99</w:t>
      </w:r>
      <w:r w:rsidR="00FE3595" w:rsidRPr="005713FD">
        <w:rPr>
          <w:vertAlign w:val="superscript"/>
          <w:lang w:val="en-GB"/>
        </w:rPr>
        <w:t>th</w:t>
      </w:r>
      <w:r w:rsidR="00FE3595">
        <w:rPr>
          <w:lang w:val="en-GB"/>
        </w:rPr>
        <w:t xml:space="preserve"> percentile is </w:t>
      </w:r>
      <w:r w:rsidR="00FE3595" w:rsidRPr="00FE3595">
        <w:rPr>
          <w:lang w:val="en-GB"/>
        </w:rPr>
        <w:t>11.28 ms</w:t>
      </w:r>
      <w:r w:rsidR="00FE3595">
        <w:rPr>
          <w:lang w:val="en-GB"/>
        </w:rPr>
        <w:t xml:space="preserve"> which is acceptable in 30 seconds OCPP pipeline. However, every EVSE estimated </w:t>
      </w:r>
      <w:r w:rsidR="00FE3595" w:rsidRPr="00FE3595">
        <w:rPr>
          <w:lang w:val="en-GB"/>
        </w:rPr>
        <w:t>policy enforcement at 0.51 m</w:t>
      </w:r>
      <w:r w:rsidR="00FE3595">
        <w:rPr>
          <w:lang w:val="en-GB"/>
        </w:rPr>
        <w:t xml:space="preserve">s, trust score at 0.89 ms, and firmware attestation at 2.80 ms will </w:t>
      </w:r>
      <w:r w:rsidR="00173E96">
        <w:rPr>
          <w:lang w:val="en-GB"/>
        </w:rPr>
        <w:t>require</w:t>
      </w:r>
      <w:r w:rsidR="00FE3595">
        <w:rPr>
          <w:lang w:val="en-GB"/>
        </w:rPr>
        <w:t xml:space="preserve"> more resources on EVSE controllers. To cope this, TSM </w:t>
      </w:r>
      <w:r w:rsidR="00173E96">
        <w:rPr>
          <w:lang w:val="en-GB"/>
        </w:rPr>
        <w:t>kernel</w:t>
      </w:r>
      <w:r w:rsidR="00FE3595">
        <w:rPr>
          <w:lang w:val="en-GB"/>
        </w:rPr>
        <w:t xml:space="preserve"> on EVSE nodes or cloud-based </w:t>
      </w:r>
      <w:r w:rsidR="00173E96">
        <w:rPr>
          <w:lang w:val="en-GB"/>
        </w:rPr>
        <w:t>third-party</w:t>
      </w:r>
      <w:r w:rsidR="00FE3595">
        <w:rPr>
          <w:lang w:val="en-GB"/>
        </w:rPr>
        <w:t xml:space="preserve"> verification will be required to mitigate real-time processing overhead.</w:t>
      </w:r>
    </w:p>
    <w:p w14:paraId="3042C159" w14:textId="6BA74541" w:rsidR="002E1FF9" w:rsidRPr="00473373" w:rsidRDefault="00FE3595" w:rsidP="005713FD">
      <w:pPr>
        <w:pStyle w:val="BodyText"/>
        <w:numPr>
          <w:ilvl w:val="0"/>
          <w:numId w:val="91"/>
        </w:numPr>
        <w:jc w:val="both"/>
        <w:rPr>
          <w:lang w:val="en-GB"/>
        </w:rPr>
      </w:pPr>
      <w:r w:rsidRPr="005713FD">
        <w:rPr>
          <w:b/>
          <w:bCs/>
          <w:lang w:val="en-GB"/>
        </w:rPr>
        <w:t>Cross-</w:t>
      </w:r>
      <w:r w:rsidR="00173E96" w:rsidRPr="005713FD">
        <w:rPr>
          <w:b/>
          <w:bCs/>
          <w:lang w:val="en-GB"/>
        </w:rPr>
        <w:t>border</w:t>
      </w:r>
      <w:r w:rsidRPr="005713FD">
        <w:rPr>
          <w:b/>
          <w:bCs/>
          <w:lang w:val="en-GB"/>
        </w:rPr>
        <w:t xml:space="preserve"> Interoperability:</w:t>
      </w:r>
      <w:r>
        <w:rPr>
          <w:lang w:val="en-GB"/>
        </w:rPr>
        <w:t xml:space="preserve"> </w:t>
      </w:r>
      <w:r w:rsidR="002E1FF9">
        <w:rPr>
          <w:lang w:val="en-GB"/>
        </w:rPr>
        <w:t xml:space="preserve">OCPI </w:t>
      </w:r>
      <w:r w:rsidR="00173E96">
        <w:rPr>
          <w:lang w:val="en-GB"/>
        </w:rPr>
        <w:t>assumes</w:t>
      </w:r>
      <w:r w:rsidR="002E1FF9">
        <w:rPr>
          <w:lang w:val="en-GB"/>
        </w:rPr>
        <w:t xml:space="preserve"> the EVSE real-time sessions are authorized and trusted when roaming between </w:t>
      </w:r>
      <w:r w:rsidR="002E1FF9" w:rsidRPr="002E1FF9">
        <w:rPr>
          <w:lang w:val="en-GB"/>
        </w:rPr>
        <w:t>eMSP</w:t>
      </w:r>
      <w:r w:rsidR="002E1FF9">
        <w:rPr>
          <w:lang w:val="en-GB"/>
        </w:rPr>
        <w:t xml:space="preserve"> and CPO networks. For TSM-enforced trust anchors, it will be managed through trust anchors federations or requires mutual </w:t>
      </w:r>
      <w:r w:rsidR="00173E96">
        <w:rPr>
          <w:lang w:val="en-GB"/>
        </w:rPr>
        <w:t>recognition</w:t>
      </w:r>
      <w:r w:rsidR="002E1FF9">
        <w:rPr>
          <w:lang w:val="en-GB"/>
        </w:rPr>
        <w:t xml:space="preserve"> between trusted authorities which </w:t>
      </w:r>
      <w:r w:rsidR="00173E96">
        <w:rPr>
          <w:lang w:val="en-GB"/>
        </w:rPr>
        <w:t>do not exist</w:t>
      </w:r>
      <w:r w:rsidR="002E1FF9">
        <w:rPr>
          <w:lang w:val="en-GB"/>
        </w:rPr>
        <w:t xml:space="preserve"> in the current enforcement models and required polic-level implementation before technical </w:t>
      </w:r>
      <w:r w:rsidR="00173E96">
        <w:rPr>
          <w:lang w:val="en-GB"/>
        </w:rPr>
        <w:t>endorsement</w:t>
      </w:r>
      <w:r w:rsidR="002E1FF9">
        <w:rPr>
          <w:lang w:val="en-GB"/>
        </w:rPr>
        <w:t>.</w:t>
      </w:r>
    </w:p>
    <w:p w14:paraId="5342C497" w14:textId="29F6C844" w:rsidR="00EF11C3" w:rsidRDefault="00EF11C3" w:rsidP="005713FD">
      <w:pPr>
        <w:pStyle w:val="Heading3notnumbered"/>
        <w:rPr>
          <w:lang w:val="en-GB"/>
        </w:rPr>
      </w:pPr>
      <w:bookmarkStart w:id="340" w:name="_Toc234310837"/>
      <w:r>
        <w:rPr>
          <w:lang w:val="en-GB"/>
        </w:rPr>
        <w:t xml:space="preserve">3.9.2 </w:t>
      </w:r>
      <w:r w:rsidR="009E14AF">
        <w:rPr>
          <w:lang w:val="en-GB"/>
        </w:rPr>
        <w:t xml:space="preserve">TSM </w:t>
      </w:r>
      <w:r w:rsidR="0001761E">
        <w:rPr>
          <w:lang w:val="en-GB"/>
        </w:rPr>
        <w:t xml:space="preserve">Supported </w:t>
      </w:r>
      <w:r w:rsidR="00755911">
        <w:rPr>
          <w:lang w:val="en-GB"/>
        </w:rPr>
        <w:t>Technologies</w:t>
      </w:r>
      <w:bookmarkEnd w:id="340"/>
      <w:r w:rsidR="00755911">
        <w:rPr>
          <w:lang w:val="en-GB"/>
        </w:rPr>
        <w:t xml:space="preserve"> </w:t>
      </w:r>
    </w:p>
    <w:p w14:paraId="72AE93E4" w14:textId="01D15CF3" w:rsidR="00EF11C3" w:rsidRDefault="00473373" w:rsidP="005713FD">
      <w:pPr>
        <w:pStyle w:val="BodyText"/>
        <w:jc w:val="both"/>
        <w:rPr>
          <w:lang w:val="en-GB"/>
        </w:rPr>
      </w:pPr>
      <w:r>
        <w:rPr>
          <w:lang w:val="en-GB"/>
        </w:rPr>
        <w:t xml:space="preserve">Considering practical limitations and technical </w:t>
      </w:r>
      <w:r w:rsidR="00173E96">
        <w:rPr>
          <w:lang w:val="en-GB"/>
        </w:rPr>
        <w:t>challenges</w:t>
      </w:r>
      <w:r>
        <w:rPr>
          <w:lang w:val="en-GB"/>
        </w:rPr>
        <w:t xml:space="preserve">, </w:t>
      </w:r>
      <w:r w:rsidR="008B2675">
        <w:rPr>
          <w:lang w:val="en-GB"/>
        </w:rPr>
        <w:t xml:space="preserve">the feasibility for TSM supported technologies is depends on proactive standardization, </w:t>
      </w:r>
      <w:r w:rsidR="00173E96">
        <w:rPr>
          <w:lang w:val="en-GB"/>
        </w:rPr>
        <w:t>deployment</w:t>
      </w:r>
      <w:r w:rsidR="00077DB1">
        <w:rPr>
          <w:lang w:val="en-GB"/>
        </w:rPr>
        <w:t xml:space="preserve"> of cross-border domains, and maturity of individual EVSE technologies to support TSM-enforced trust models.</w:t>
      </w:r>
    </w:p>
    <w:p w14:paraId="5EF62550" w14:textId="26F34342" w:rsidR="00077DB1" w:rsidRDefault="00DC7796" w:rsidP="005713FD">
      <w:pPr>
        <w:pStyle w:val="BodyText"/>
        <w:numPr>
          <w:ilvl w:val="0"/>
          <w:numId w:val="92"/>
        </w:numPr>
        <w:jc w:val="both"/>
        <w:rPr>
          <w:lang w:val="en-GB"/>
        </w:rPr>
      </w:pPr>
      <w:r w:rsidRPr="005713FD">
        <w:rPr>
          <w:b/>
          <w:bCs/>
          <w:lang w:val="en-GB"/>
        </w:rPr>
        <w:t>HRoT Integration</w:t>
      </w:r>
      <w:r>
        <w:rPr>
          <w:lang w:val="en-GB"/>
        </w:rPr>
        <w:t xml:space="preserve">: Current TPM 2.0 </w:t>
      </w:r>
      <w:r w:rsidRPr="00DC7796">
        <w:rPr>
          <w:lang w:val="en-GB"/>
        </w:rPr>
        <w:t xml:space="preserve">TCG TPM 2.0 </w:t>
      </w:r>
      <w:r>
        <w:rPr>
          <w:lang w:val="en-GB"/>
        </w:rPr>
        <w:t>l</w:t>
      </w:r>
      <w:r w:rsidRPr="00DC7796">
        <w:rPr>
          <w:lang w:val="en-GB"/>
        </w:rPr>
        <w:t>ibrary</w:t>
      </w:r>
      <w:r>
        <w:rPr>
          <w:lang w:val="en-GB"/>
        </w:rPr>
        <w:t xml:space="preserve"> possesses embedded secure elements such as </w:t>
      </w:r>
      <w:r w:rsidRPr="00DC7796">
        <w:rPr>
          <w:lang w:val="en-GB"/>
        </w:rPr>
        <w:t>Infineon OPTIGA</w:t>
      </w:r>
      <w:r>
        <w:rPr>
          <w:lang w:val="en-GB"/>
        </w:rPr>
        <w:t xml:space="preserve">, </w:t>
      </w:r>
      <w:r w:rsidRPr="00DC7796">
        <w:rPr>
          <w:lang w:val="en-GB"/>
        </w:rPr>
        <w:t>ATECC608</w:t>
      </w:r>
      <w:r>
        <w:rPr>
          <w:lang w:val="en-GB"/>
        </w:rPr>
        <w:t xml:space="preserve"> </w:t>
      </w:r>
      <w:r w:rsidRPr="00DC7796">
        <w:rPr>
          <w:lang w:val="en-GB"/>
        </w:rPr>
        <w:t>Microchip</w:t>
      </w:r>
      <w:r>
        <w:rPr>
          <w:lang w:val="en-GB"/>
        </w:rPr>
        <w:t xml:space="preserve">, and </w:t>
      </w:r>
      <w:r w:rsidRPr="00DC7796">
        <w:rPr>
          <w:lang w:val="en-GB"/>
        </w:rPr>
        <w:t>NXP SE050/SE051</w:t>
      </w:r>
      <w:r>
        <w:rPr>
          <w:lang w:val="en-GB"/>
        </w:rPr>
        <w:t xml:space="preserve"> with reasonable price of 1-5 USD for mass production which could meet TSM-enforced HRoT criteria such as </w:t>
      </w:r>
      <w:r w:rsidRPr="00DC7796">
        <w:rPr>
          <w:lang w:val="en-GB"/>
        </w:rPr>
        <w:t>ECDSA</w:t>
      </w:r>
      <w:r>
        <w:rPr>
          <w:lang w:val="en-GB"/>
        </w:rPr>
        <w:t xml:space="preserve"> </w:t>
      </w:r>
      <w:r w:rsidRPr="00DC7796">
        <w:rPr>
          <w:lang w:val="en-GB"/>
        </w:rPr>
        <w:t>sign</w:t>
      </w:r>
      <w:r>
        <w:rPr>
          <w:lang w:val="en-GB"/>
        </w:rPr>
        <w:t xml:space="preserve">atures, </w:t>
      </w:r>
      <w:r w:rsidRPr="00DC7796">
        <w:rPr>
          <w:lang w:val="en-GB"/>
        </w:rPr>
        <w:t>monotonic</w:t>
      </w:r>
      <w:r>
        <w:rPr>
          <w:lang w:val="en-GB"/>
        </w:rPr>
        <w:t xml:space="preserve"> </w:t>
      </w:r>
      <w:r w:rsidRPr="00DC7796">
        <w:rPr>
          <w:lang w:val="en-GB"/>
        </w:rPr>
        <w:t>counter</w:t>
      </w:r>
      <w:r>
        <w:rPr>
          <w:lang w:val="en-GB"/>
        </w:rPr>
        <w:t xml:space="preserve">s, and hardware-rooted </w:t>
      </w:r>
      <w:r w:rsidR="00173E96">
        <w:rPr>
          <w:lang w:val="en-GB"/>
        </w:rPr>
        <w:t>identities</w:t>
      </w:r>
      <w:r w:rsidR="002C05FD">
        <w:rPr>
          <w:lang w:val="en-GB"/>
        </w:rPr>
        <w:t xml:space="preserve"> [45]</w:t>
      </w:r>
      <w:r>
        <w:rPr>
          <w:lang w:val="en-GB"/>
        </w:rPr>
        <w:t>.</w:t>
      </w:r>
      <w:r w:rsidR="00014676">
        <w:rPr>
          <w:lang w:val="en-GB"/>
        </w:rPr>
        <w:t xml:space="preserve"> </w:t>
      </w:r>
      <w:r w:rsidR="00BF2C84">
        <w:rPr>
          <w:lang w:val="en-GB"/>
        </w:rPr>
        <w:t xml:space="preserve">It would potentially accelerate the TSM integration and trust enforcement by adopting </w:t>
      </w:r>
      <w:r w:rsidR="00173E96">
        <w:rPr>
          <w:lang w:val="en-GB"/>
        </w:rPr>
        <w:t>these technologies</w:t>
      </w:r>
      <w:r w:rsidR="00BF2C84">
        <w:rPr>
          <w:lang w:val="en-GB"/>
        </w:rPr>
        <w:t xml:space="preserve"> in the new EVSE designs.</w:t>
      </w:r>
    </w:p>
    <w:p w14:paraId="35647C7D" w14:textId="2C50A399" w:rsidR="00BF2C84" w:rsidRDefault="00BF2C84" w:rsidP="005713FD">
      <w:pPr>
        <w:pStyle w:val="BodyText"/>
        <w:numPr>
          <w:ilvl w:val="0"/>
          <w:numId w:val="92"/>
        </w:numPr>
        <w:jc w:val="both"/>
        <w:rPr>
          <w:lang w:val="en-GB"/>
        </w:rPr>
      </w:pPr>
      <w:r w:rsidRPr="005713FD">
        <w:rPr>
          <w:b/>
          <w:bCs/>
          <w:lang w:val="en-GB"/>
        </w:rPr>
        <w:t>Firmware Attestation Pipeline</w:t>
      </w:r>
      <w:r>
        <w:rPr>
          <w:lang w:val="en-GB"/>
        </w:rPr>
        <w:t xml:space="preserve">: </w:t>
      </w:r>
      <w:r w:rsidR="00731919">
        <w:rPr>
          <w:lang w:val="en-GB"/>
        </w:rPr>
        <w:t xml:space="preserve">The current firmware attestation framework templates such as </w:t>
      </w:r>
      <w:r w:rsidR="00731919" w:rsidRPr="00731919">
        <w:rPr>
          <w:lang w:val="en-GB"/>
        </w:rPr>
        <w:t>Arm PSA</w:t>
      </w:r>
      <w:r w:rsidR="00731919">
        <w:rPr>
          <w:lang w:val="en-GB"/>
        </w:rPr>
        <w:t xml:space="preserve">, </w:t>
      </w:r>
      <w:r w:rsidR="00731919" w:rsidRPr="00731919">
        <w:rPr>
          <w:lang w:val="en-GB"/>
        </w:rPr>
        <w:t>UEFI Secure Boot</w:t>
      </w:r>
      <w:r w:rsidR="00731919">
        <w:rPr>
          <w:lang w:val="en-GB"/>
        </w:rPr>
        <w:t xml:space="preserve">, and </w:t>
      </w:r>
      <w:r w:rsidR="00731919" w:rsidRPr="00731919">
        <w:rPr>
          <w:lang w:val="en-GB"/>
        </w:rPr>
        <w:t>NIST SP 800-193</w:t>
      </w:r>
      <w:r w:rsidR="00731919">
        <w:rPr>
          <w:lang w:val="en-GB"/>
        </w:rPr>
        <w:t xml:space="preserve"> provides runtime and boot time firmware attestation that could be adopted for the EVSE trust-enforced firmware attestation with </w:t>
      </w:r>
      <w:r w:rsidR="00173E96">
        <w:rPr>
          <w:lang w:val="en-GB"/>
        </w:rPr>
        <w:t>modifying</w:t>
      </w:r>
      <w:r w:rsidR="00731919">
        <w:rPr>
          <w:lang w:val="en-GB"/>
        </w:rPr>
        <w:t xml:space="preserve"> hash management and profile registration procedures</w:t>
      </w:r>
      <w:r w:rsidR="002C05FD">
        <w:rPr>
          <w:lang w:val="en-GB"/>
        </w:rPr>
        <w:t xml:space="preserve"> [46]-[48]</w:t>
      </w:r>
      <w:r w:rsidR="00731919">
        <w:rPr>
          <w:lang w:val="en-GB"/>
        </w:rPr>
        <w:t>.</w:t>
      </w:r>
    </w:p>
    <w:p w14:paraId="7A7B3D61" w14:textId="00F28F9D" w:rsidR="00731919" w:rsidRDefault="001944AB" w:rsidP="005713FD">
      <w:pPr>
        <w:pStyle w:val="BodyText"/>
        <w:numPr>
          <w:ilvl w:val="0"/>
          <w:numId w:val="92"/>
        </w:numPr>
        <w:jc w:val="both"/>
        <w:rPr>
          <w:lang w:val="en-GB"/>
        </w:rPr>
      </w:pPr>
      <w:r w:rsidRPr="005713FD">
        <w:rPr>
          <w:b/>
          <w:bCs/>
          <w:lang w:val="en-GB"/>
        </w:rPr>
        <w:t>Protocol Support</w:t>
      </w:r>
      <w:r>
        <w:rPr>
          <w:lang w:val="en-GB"/>
        </w:rPr>
        <w:t xml:space="preserve">: Current OCPP 2.0.1 provides </w:t>
      </w:r>
      <w:r w:rsidRPr="001944AB">
        <w:rPr>
          <w:lang w:val="en-GB"/>
        </w:rPr>
        <w:t>TLS 1.2+</w:t>
      </w:r>
      <w:r>
        <w:rPr>
          <w:lang w:val="en-GB"/>
        </w:rPr>
        <w:t xml:space="preserve"> support, security event reporting, security hooks, signed firmware messages, and customized configuration while ISO 15118 will need certificate provisioning , certificate contracts, and mutual TSL. </w:t>
      </w:r>
      <w:r w:rsidRPr="001944AB">
        <w:rPr>
          <w:lang w:val="en-GB"/>
        </w:rPr>
        <w:t>OpenADR 2.0b</w:t>
      </w:r>
      <w:r>
        <w:rPr>
          <w:lang w:val="en-GB"/>
        </w:rPr>
        <w:t xml:space="preserve"> protocol supports EVSE, grid, and dynamic load </w:t>
      </w:r>
      <w:r w:rsidR="00173E96">
        <w:rPr>
          <w:lang w:val="en-GB"/>
        </w:rPr>
        <w:t>relevant</w:t>
      </w:r>
      <w:r>
        <w:rPr>
          <w:lang w:val="en-GB"/>
        </w:rPr>
        <w:t xml:space="preserve"> communication that are suffi</w:t>
      </w:r>
      <w:r w:rsidR="00173E96">
        <w:rPr>
          <w:lang w:val="en-GB"/>
        </w:rPr>
        <w:t>ci</w:t>
      </w:r>
      <w:r>
        <w:rPr>
          <w:lang w:val="en-GB"/>
        </w:rPr>
        <w:t xml:space="preserve">ent for the end-to-end control messaging of TSM-enforced </w:t>
      </w:r>
      <w:r w:rsidR="00173E96">
        <w:rPr>
          <w:lang w:val="en-GB"/>
        </w:rPr>
        <w:t>interactions</w:t>
      </w:r>
      <w:r>
        <w:rPr>
          <w:lang w:val="en-GB"/>
        </w:rPr>
        <w:t xml:space="preserve"> without further protocol extensions and mediations.</w:t>
      </w:r>
    </w:p>
    <w:p w14:paraId="04E5973B" w14:textId="34F3FFBE" w:rsidR="001944AB" w:rsidRDefault="001944AB" w:rsidP="005713FD">
      <w:pPr>
        <w:pStyle w:val="BodyText"/>
        <w:numPr>
          <w:ilvl w:val="0"/>
          <w:numId w:val="92"/>
        </w:numPr>
        <w:jc w:val="both"/>
        <w:rPr>
          <w:lang w:val="en-GB"/>
        </w:rPr>
      </w:pPr>
      <w:r w:rsidRPr="005713FD">
        <w:rPr>
          <w:b/>
          <w:bCs/>
          <w:lang w:val="en-GB"/>
        </w:rPr>
        <w:t>PKI Lifecycle at Scale</w:t>
      </w:r>
      <w:r>
        <w:rPr>
          <w:lang w:val="en-GB"/>
        </w:rPr>
        <w:t xml:space="preserve">: </w:t>
      </w:r>
      <w:r w:rsidR="00744D3A">
        <w:rPr>
          <w:lang w:val="en-GB"/>
        </w:rPr>
        <w:t xml:space="preserve">There are numerous PKI providers to provide open-source PKI stacks such as </w:t>
      </w:r>
      <w:r w:rsidR="00A74D63" w:rsidRPr="00A74D63">
        <w:rPr>
          <w:lang w:val="en-GB"/>
        </w:rPr>
        <w:t>HashiCorp Vault PKI</w:t>
      </w:r>
      <w:r w:rsidR="00276FBA">
        <w:rPr>
          <w:lang w:val="en-GB"/>
        </w:rPr>
        <w:t xml:space="preserve"> [49]</w:t>
      </w:r>
      <w:r w:rsidR="00A74D63">
        <w:rPr>
          <w:lang w:val="en-GB"/>
        </w:rPr>
        <w:t>, S</w:t>
      </w:r>
      <w:r w:rsidR="00A74D63" w:rsidRPr="00A74D63">
        <w:rPr>
          <w:lang w:val="en-GB"/>
        </w:rPr>
        <w:t>tep-</w:t>
      </w:r>
      <w:r w:rsidR="00A74D63">
        <w:rPr>
          <w:lang w:val="en-GB"/>
        </w:rPr>
        <w:t>C</w:t>
      </w:r>
      <w:r w:rsidR="00A74D63" w:rsidRPr="00A74D63">
        <w:rPr>
          <w:lang w:val="en-GB"/>
        </w:rPr>
        <w:t>a</w:t>
      </w:r>
      <w:r w:rsidR="00276FBA">
        <w:rPr>
          <w:lang w:val="en-GB"/>
        </w:rPr>
        <w:t xml:space="preserve"> [50]</w:t>
      </w:r>
      <w:r w:rsidR="00A74D63">
        <w:rPr>
          <w:lang w:val="en-GB"/>
        </w:rPr>
        <w:t xml:space="preserve">, and </w:t>
      </w:r>
      <w:r w:rsidR="00A74D63" w:rsidRPr="00A74D63">
        <w:rPr>
          <w:lang w:val="en-GB"/>
        </w:rPr>
        <w:t>EJBCA</w:t>
      </w:r>
      <w:r w:rsidR="00A74D63">
        <w:rPr>
          <w:lang w:val="en-GB"/>
        </w:rPr>
        <w:t xml:space="preserve"> </w:t>
      </w:r>
      <w:r w:rsidR="00276FBA">
        <w:rPr>
          <w:lang w:val="en-GB"/>
        </w:rPr>
        <w:t xml:space="preserve">[51] </w:t>
      </w:r>
      <w:r w:rsidR="00A74D63">
        <w:rPr>
          <w:lang w:val="en-GB"/>
        </w:rPr>
        <w:t xml:space="preserve">to support PKI certificate chain for EVSE at larger-scale. It adopted on pilot scale in the USA by </w:t>
      </w:r>
      <w:r w:rsidR="00A74D63" w:rsidRPr="00A74D63">
        <w:rPr>
          <w:lang w:val="en-GB"/>
        </w:rPr>
        <w:t>EV Roaming Foundation</w:t>
      </w:r>
      <w:r w:rsidR="00A74D63">
        <w:rPr>
          <w:lang w:val="en-GB"/>
        </w:rPr>
        <w:t xml:space="preserve">s </w:t>
      </w:r>
      <w:r w:rsidR="003250DD">
        <w:rPr>
          <w:lang w:val="en-GB"/>
        </w:rPr>
        <w:t xml:space="preserve">[52] </w:t>
      </w:r>
      <w:r w:rsidR="00A74D63">
        <w:rPr>
          <w:lang w:val="en-GB"/>
        </w:rPr>
        <w:t xml:space="preserve">and </w:t>
      </w:r>
      <w:r w:rsidR="00A74D63" w:rsidRPr="00A74D63">
        <w:rPr>
          <w:lang w:val="en-GB"/>
        </w:rPr>
        <w:t>Hubject</w:t>
      </w:r>
      <w:r w:rsidR="00A74D63">
        <w:rPr>
          <w:lang w:val="en-GB"/>
        </w:rPr>
        <w:t xml:space="preserve"> </w:t>
      </w:r>
      <w:r w:rsidR="00A74D63" w:rsidRPr="00A74D63">
        <w:rPr>
          <w:lang w:val="en-GB"/>
        </w:rPr>
        <w:t>Plug&amp;Charge</w:t>
      </w:r>
      <w:r w:rsidR="00A74D63">
        <w:rPr>
          <w:lang w:val="en-GB"/>
        </w:rPr>
        <w:t xml:space="preserve"> </w:t>
      </w:r>
      <w:r w:rsidR="003250DD">
        <w:rPr>
          <w:lang w:val="en-GB"/>
        </w:rPr>
        <w:t xml:space="preserve">[53] </w:t>
      </w:r>
      <w:r w:rsidR="00A74D63">
        <w:rPr>
          <w:lang w:val="en-GB"/>
        </w:rPr>
        <w:t>that provides certificates transparency and CRL distribution, root certificate handling, and incident response in the operational templates.</w:t>
      </w:r>
    </w:p>
    <w:p w14:paraId="1E726201" w14:textId="7052FFE2" w:rsidR="00A74D63" w:rsidRDefault="006C4098" w:rsidP="005713FD">
      <w:pPr>
        <w:pStyle w:val="BodyText"/>
        <w:numPr>
          <w:ilvl w:val="0"/>
          <w:numId w:val="92"/>
        </w:numPr>
        <w:jc w:val="both"/>
        <w:rPr>
          <w:lang w:val="en-GB"/>
        </w:rPr>
      </w:pPr>
      <w:r w:rsidRPr="005713FD">
        <w:rPr>
          <w:b/>
          <w:bCs/>
          <w:lang w:val="en-GB"/>
        </w:rPr>
        <w:t>Operational Feasibility</w:t>
      </w:r>
      <w:r>
        <w:rPr>
          <w:lang w:val="en-GB"/>
        </w:rPr>
        <w:t xml:space="preserve">: The </w:t>
      </w:r>
      <w:r w:rsidR="00173E96">
        <w:rPr>
          <w:lang w:val="en-GB"/>
        </w:rPr>
        <w:t>adjacent</w:t>
      </w:r>
      <w:r>
        <w:rPr>
          <w:lang w:val="en-GB"/>
        </w:rPr>
        <w:t xml:space="preserve"> sectors V2X, SCADA, and DERMS in smart grid deployed federated trust modelling while projects such as </w:t>
      </w:r>
      <w:r w:rsidRPr="006C4098">
        <w:rPr>
          <w:lang w:val="en-GB"/>
        </w:rPr>
        <w:t>CharIN's Plug&amp;Charge</w:t>
      </w:r>
      <w:r>
        <w:rPr>
          <w:lang w:val="en-GB"/>
        </w:rPr>
        <w:t xml:space="preserve"> </w:t>
      </w:r>
      <w:r w:rsidR="003250DD">
        <w:rPr>
          <w:lang w:val="en-GB"/>
        </w:rPr>
        <w:t xml:space="preserve">[54] </w:t>
      </w:r>
      <w:r>
        <w:rPr>
          <w:lang w:val="en-GB"/>
        </w:rPr>
        <w:t xml:space="preserve">and </w:t>
      </w:r>
      <w:r w:rsidRPr="006C4098">
        <w:rPr>
          <w:lang w:val="en-GB"/>
        </w:rPr>
        <w:t>CyberSEAS programme</w:t>
      </w:r>
      <w:r>
        <w:rPr>
          <w:lang w:val="en-GB"/>
        </w:rPr>
        <w:t xml:space="preserve"> </w:t>
      </w:r>
      <w:r w:rsidR="003250DD">
        <w:rPr>
          <w:lang w:val="en-GB"/>
        </w:rPr>
        <w:t xml:space="preserve">[55] </w:t>
      </w:r>
      <w:r>
        <w:rPr>
          <w:lang w:val="en-GB"/>
        </w:rPr>
        <w:t xml:space="preserve">has been </w:t>
      </w:r>
      <w:r w:rsidR="00173E96">
        <w:rPr>
          <w:lang w:val="en-GB"/>
        </w:rPr>
        <w:t>validated</w:t>
      </w:r>
      <w:r>
        <w:rPr>
          <w:lang w:val="en-GB"/>
        </w:rPr>
        <w:t xml:space="preserve"> cross-federated trust models, policy mediation, and PKI certification. It provides a concrete foundation for the </w:t>
      </w:r>
      <w:r w:rsidR="00173E96">
        <w:rPr>
          <w:lang w:val="en-GB"/>
        </w:rPr>
        <w:t>deployment</w:t>
      </w:r>
      <w:r>
        <w:rPr>
          <w:lang w:val="en-GB"/>
        </w:rPr>
        <w:t xml:space="preserve"> of TSM-enforced policy mediation and </w:t>
      </w:r>
      <w:r w:rsidR="00173E96">
        <w:rPr>
          <w:lang w:val="en-GB"/>
        </w:rPr>
        <w:t>trust</w:t>
      </w:r>
      <w:r>
        <w:rPr>
          <w:lang w:val="en-GB"/>
        </w:rPr>
        <w:t xml:space="preserve"> enforcement if governance </w:t>
      </w:r>
      <w:r w:rsidR="00173E96">
        <w:rPr>
          <w:lang w:val="en-GB"/>
        </w:rPr>
        <w:t>framework</w:t>
      </w:r>
      <w:r>
        <w:rPr>
          <w:lang w:val="en-GB"/>
        </w:rPr>
        <w:t xml:space="preserve"> is implemented. </w:t>
      </w:r>
    </w:p>
    <w:p w14:paraId="5E2407A2" w14:textId="03CA4511" w:rsidR="006B7935" w:rsidRDefault="003E5F3D">
      <w:pPr>
        <w:pStyle w:val="BodyText"/>
        <w:jc w:val="both"/>
        <w:rPr>
          <w:lang w:val="en-GB"/>
        </w:rPr>
      </w:pPr>
      <w:r>
        <w:rPr>
          <w:lang w:val="en-GB"/>
        </w:rPr>
        <w:t xml:space="preserve">The best approach for the TSM </w:t>
      </w:r>
      <w:r w:rsidR="00173E96">
        <w:rPr>
          <w:lang w:val="en-GB"/>
        </w:rPr>
        <w:t>adaptation</w:t>
      </w:r>
      <w:r>
        <w:rPr>
          <w:lang w:val="en-GB"/>
        </w:rPr>
        <w:t xml:space="preserve"> is </w:t>
      </w:r>
      <w:r w:rsidRPr="005713FD">
        <w:rPr>
          <w:b/>
          <w:bCs/>
          <w:i/>
          <w:iCs/>
          <w:lang w:val="en-GB"/>
        </w:rPr>
        <w:t>incremental</w:t>
      </w:r>
      <w:r>
        <w:rPr>
          <w:lang w:val="en-GB"/>
        </w:rPr>
        <w:t xml:space="preserve"> </w:t>
      </w:r>
      <w:r w:rsidR="00173E96">
        <w:rPr>
          <w:lang w:val="en-GB"/>
        </w:rPr>
        <w:t>deployment</w:t>
      </w:r>
      <w:r>
        <w:rPr>
          <w:lang w:val="en-GB"/>
        </w:rPr>
        <w:t xml:space="preserve"> pathways for the full-scale TSM-enforced EVSE framework. EVSE operators should incrementally deploy TSM-enforced trust mediation</w:t>
      </w:r>
      <w:r w:rsidR="00B2578C">
        <w:rPr>
          <w:lang w:val="en-GB"/>
        </w:rPr>
        <w:t xml:space="preserve"> through trust scores on server sides and on end user sides to capture complete cyber-physical command </w:t>
      </w:r>
      <w:r w:rsidR="00173E96">
        <w:rPr>
          <w:lang w:val="en-GB"/>
        </w:rPr>
        <w:t>capture</w:t>
      </w:r>
      <w:r w:rsidR="00B2578C">
        <w:rPr>
          <w:lang w:val="en-GB"/>
        </w:rPr>
        <w:t xml:space="preserve"> and develop concrete steps for next stage implementation</w:t>
      </w:r>
      <w:r>
        <w:rPr>
          <w:lang w:val="en-GB"/>
        </w:rPr>
        <w:t>.</w:t>
      </w:r>
      <w:r w:rsidR="00B2578C">
        <w:rPr>
          <w:lang w:val="en-GB"/>
        </w:rPr>
        <w:t xml:space="preserve"> In addition, mature HRoT, open-source </w:t>
      </w:r>
      <w:r w:rsidR="00B2578C" w:rsidRPr="005713FD">
        <w:rPr>
          <w:b/>
          <w:bCs/>
          <w:i/>
          <w:iCs/>
          <w:lang w:val="en-GB"/>
        </w:rPr>
        <w:t>PKI</w:t>
      </w:r>
      <w:r w:rsidR="00B2578C">
        <w:rPr>
          <w:lang w:val="en-GB"/>
        </w:rPr>
        <w:t xml:space="preserve">, customized </w:t>
      </w:r>
      <w:r w:rsidR="00B2578C" w:rsidRPr="005713FD">
        <w:rPr>
          <w:b/>
          <w:bCs/>
          <w:i/>
          <w:iCs/>
          <w:lang w:val="en-GB"/>
        </w:rPr>
        <w:t>EVSE protocol stacks</w:t>
      </w:r>
      <w:r w:rsidR="00B2578C">
        <w:rPr>
          <w:lang w:val="en-GB"/>
        </w:rPr>
        <w:t xml:space="preserve">, and proactive regulatory frameworks would accelerate TSM implementation operationally and technically within 3-5 years. The major constraints are not technical, they are standardization, governance, and </w:t>
      </w:r>
      <w:r w:rsidR="00173E96">
        <w:rPr>
          <w:lang w:val="en-GB"/>
        </w:rPr>
        <w:t>stakeholder</w:t>
      </w:r>
      <w:r w:rsidR="00B2578C">
        <w:rPr>
          <w:lang w:val="en-GB"/>
        </w:rPr>
        <w:t xml:space="preserve"> </w:t>
      </w:r>
      <w:r w:rsidR="00173E96">
        <w:rPr>
          <w:lang w:val="en-GB"/>
        </w:rPr>
        <w:t>engagement</w:t>
      </w:r>
      <w:r w:rsidR="00B2578C">
        <w:rPr>
          <w:lang w:val="en-GB"/>
        </w:rPr>
        <w:t xml:space="preserve"> to push trust modelling research on existing EVSE </w:t>
      </w:r>
      <w:r w:rsidR="00173E96">
        <w:rPr>
          <w:lang w:val="en-GB"/>
        </w:rPr>
        <w:t>infrastructure</w:t>
      </w:r>
      <w:r w:rsidR="00B2578C">
        <w:rPr>
          <w:lang w:val="en-GB"/>
        </w:rPr>
        <w:t xml:space="preserve"> resources. </w:t>
      </w:r>
    </w:p>
    <w:p w14:paraId="2A79FB41" w14:textId="75D14D45" w:rsidR="001B35D3" w:rsidRDefault="003E5F3D" w:rsidP="001B35D3">
      <w:pPr>
        <w:pStyle w:val="BodyText"/>
        <w:jc w:val="both"/>
      </w:pPr>
      <w:r>
        <w:rPr>
          <w:lang w:val="en-GB"/>
        </w:rPr>
        <w:t xml:space="preserve"> </w:t>
      </w:r>
      <w:r w:rsidR="005D65D2" w:rsidRPr="005D65D2">
        <w:rPr>
          <w:lang w:val="en-GB"/>
        </w:rPr>
        <w:t xml:space="preserve">To further assess TSM deployment feasibility, Table 19 maps the identified implementation challenges to available enabling technologies. The </w:t>
      </w:r>
      <w:r w:rsidR="0046012F">
        <w:rPr>
          <w:lang w:val="en-GB"/>
        </w:rPr>
        <w:t>analysis</w:t>
      </w:r>
      <w:r w:rsidR="005D65D2" w:rsidRPr="005D65D2">
        <w:rPr>
          <w:lang w:val="en-GB"/>
        </w:rPr>
        <w:t xml:space="preserve"> indicate that most technical barriers can be addressed using existing security technologies and industry practices. Technologies such as hardware roots of trust, firmware attestation, and PKI lifecycle management are already mature and deployed in adjacent domains, including </w:t>
      </w:r>
      <w:r w:rsidR="005D65D2" w:rsidRPr="005713FD">
        <w:rPr>
          <w:b/>
          <w:bCs/>
          <w:i/>
          <w:iCs/>
          <w:lang w:val="en-GB"/>
        </w:rPr>
        <w:t>V2X, DERMS</w:t>
      </w:r>
      <w:r w:rsidR="005D65D2" w:rsidRPr="005D65D2">
        <w:rPr>
          <w:lang w:val="en-GB"/>
        </w:rPr>
        <w:t xml:space="preserve">, and </w:t>
      </w:r>
      <w:r w:rsidR="005D65D2" w:rsidRPr="005713FD">
        <w:rPr>
          <w:b/>
          <w:bCs/>
          <w:i/>
          <w:iCs/>
          <w:lang w:val="en-GB"/>
        </w:rPr>
        <w:t>Plug&amp;Charge</w:t>
      </w:r>
      <w:r w:rsidR="005D65D2" w:rsidRPr="005D65D2">
        <w:rPr>
          <w:lang w:val="en-GB"/>
        </w:rPr>
        <w:t xml:space="preserve"> ecosystems. Consequently, the primary challenges are not technological but relate to standardization, governance, regulatory alignment, and stakeholder coordination across EV charging infrastructures.</w:t>
      </w:r>
    </w:p>
    <w:p w14:paraId="632B79EB" w14:textId="77777777" w:rsidR="005D65D2" w:rsidRPr="001B35D3" w:rsidRDefault="005D65D2" w:rsidP="001B35D3">
      <w:pPr>
        <w:pStyle w:val="BodyText"/>
        <w:jc w:val="both"/>
      </w:pPr>
    </w:p>
    <w:p w14:paraId="10D80BED" w14:textId="715018AA" w:rsidR="00C3666E" w:rsidRDefault="00A4618E" w:rsidP="005713FD">
      <w:pPr>
        <w:pStyle w:val="Caption"/>
        <w:rPr>
          <w:lang w:val="en-GB"/>
        </w:rPr>
      </w:pPr>
      <w:bookmarkStart w:id="341" w:name="_Toc233112273"/>
      <w:r>
        <w:t xml:space="preserve">Table </w:t>
      </w:r>
      <w:r>
        <w:fldChar w:fldCharType="begin"/>
      </w:r>
      <w:r>
        <w:instrText xml:space="preserve"> SEQ Table \* ARABIC </w:instrText>
      </w:r>
      <w:r>
        <w:fldChar w:fldCharType="separate"/>
      </w:r>
      <w:r w:rsidR="00F8092D">
        <w:rPr>
          <w:noProof/>
        </w:rPr>
        <w:t>19</w:t>
      </w:r>
      <w:r>
        <w:fldChar w:fldCharType="end"/>
      </w:r>
      <w:r w:rsidR="00C3666E">
        <w:rPr>
          <w:lang w:val="en-GB"/>
        </w:rPr>
        <w:t>:</w:t>
      </w:r>
      <w:r w:rsidR="00EE7433">
        <w:rPr>
          <w:lang w:val="en-GB"/>
        </w:rPr>
        <w:t xml:space="preserve"> </w:t>
      </w:r>
      <w:r w:rsidR="00C3666E" w:rsidRPr="00C3666E">
        <w:rPr>
          <w:lang w:val="en-GB"/>
        </w:rPr>
        <w:t>Challenges and Enabling Technologies for TSM Deployment</w:t>
      </w:r>
      <w:bookmarkEnd w:id="341"/>
    </w:p>
    <w:tbl>
      <w:tblPr>
        <w:tblStyle w:val="TableCSIRO"/>
        <w:tblW w:w="0" w:type="auto"/>
        <w:tblLook w:val="04A0" w:firstRow="1" w:lastRow="0" w:firstColumn="1" w:lastColumn="0" w:noHBand="0" w:noVBand="1"/>
      </w:tblPr>
      <w:tblGrid>
        <w:gridCol w:w="1889"/>
        <w:gridCol w:w="3826"/>
        <w:gridCol w:w="3810"/>
      </w:tblGrid>
      <w:tr w:rsidR="00406E0C" w:rsidRPr="00406E0C" w14:paraId="7B6329C4" w14:textId="77777777" w:rsidTr="00406E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ED36F39" w14:textId="6E7AA625" w:rsidR="00406E0C" w:rsidRPr="005713FD" w:rsidRDefault="00406E0C" w:rsidP="00406E0C">
            <w:pPr>
              <w:pStyle w:val="BodyText"/>
              <w:jc w:val="both"/>
              <w:rPr>
                <w:color w:val="FFFFFF" w:themeColor="background1"/>
                <w:sz w:val="18"/>
                <w:szCs w:val="18"/>
              </w:rPr>
            </w:pPr>
            <w:r w:rsidRPr="005713FD">
              <w:rPr>
                <w:color w:val="FFFFFF" w:themeColor="background1"/>
                <w:sz w:val="18"/>
                <w:szCs w:val="18"/>
              </w:rPr>
              <w:t>Challenge</w:t>
            </w:r>
          </w:p>
        </w:tc>
        <w:tc>
          <w:tcPr>
            <w:tcW w:w="0" w:type="auto"/>
            <w:hideMark/>
          </w:tcPr>
          <w:p w14:paraId="005EB168" w14:textId="77777777" w:rsidR="00406E0C" w:rsidRPr="005713FD" w:rsidRDefault="00406E0C" w:rsidP="00406E0C">
            <w:pPr>
              <w:pStyle w:val="BodyText"/>
              <w:jc w:val="both"/>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5713FD">
              <w:rPr>
                <w:color w:val="FFFFFF" w:themeColor="background1"/>
                <w:sz w:val="18"/>
                <w:szCs w:val="18"/>
              </w:rPr>
              <w:t>Impact on TSM Deployment</w:t>
            </w:r>
          </w:p>
        </w:tc>
        <w:tc>
          <w:tcPr>
            <w:tcW w:w="0" w:type="auto"/>
            <w:hideMark/>
          </w:tcPr>
          <w:p w14:paraId="4BC89223" w14:textId="77777777" w:rsidR="00406E0C" w:rsidRPr="005713FD" w:rsidRDefault="00406E0C" w:rsidP="00406E0C">
            <w:pPr>
              <w:pStyle w:val="BodyText"/>
              <w:jc w:val="both"/>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5713FD">
              <w:rPr>
                <w:color w:val="FFFFFF" w:themeColor="background1"/>
                <w:sz w:val="18"/>
                <w:szCs w:val="18"/>
              </w:rPr>
              <w:t>Enabling Technology / Mitigation Approach</w:t>
            </w:r>
          </w:p>
        </w:tc>
      </w:tr>
      <w:tr w:rsidR="00406E0C" w:rsidRPr="00406E0C" w14:paraId="25FEE722" w14:textId="77777777" w:rsidTr="00406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5E8F19" w14:textId="77777777" w:rsidR="00406E0C" w:rsidRPr="005713FD" w:rsidRDefault="00406E0C" w:rsidP="005713FD">
            <w:pPr>
              <w:pStyle w:val="BodyText"/>
              <w:rPr>
                <w:b w:val="0"/>
                <w:bCs w:val="0"/>
                <w:sz w:val="18"/>
                <w:szCs w:val="18"/>
              </w:rPr>
            </w:pPr>
            <w:r w:rsidRPr="005713FD">
              <w:rPr>
                <w:sz w:val="18"/>
                <w:szCs w:val="18"/>
              </w:rPr>
              <w:t>HRoT Availability</w:t>
            </w:r>
          </w:p>
        </w:tc>
        <w:tc>
          <w:tcPr>
            <w:tcW w:w="0" w:type="auto"/>
            <w:hideMark/>
          </w:tcPr>
          <w:p w14:paraId="43A466E8" w14:textId="77777777" w:rsidR="00406E0C" w:rsidRPr="005713FD" w:rsidRDefault="00406E0C" w:rsidP="00406E0C">
            <w:pPr>
              <w:pStyle w:val="BodyText"/>
              <w:jc w:val="both"/>
              <w:cnfStyle w:val="000000100000" w:firstRow="0" w:lastRow="0" w:firstColumn="0" w:lastColumn="0" w:oddVBand="0" w:evenVBand="0" w:oddHBand="1" w:evenHBand="0" w:firstRowFirstColumn="0" w:firstRowLastColumn="0" w:lastRowFirstColumn="0" w:lastRowLastColumn="0"/>
              <w:rPr>
                <w:sz w:val="18"/>
                <w:szCs w:val="18"/>
              </w:rPr>
            </w:pPr>
            <w:r w:rsidRPr="005713FD">
              <w:rPr>
                <w:sz w:val="18"/>
                <w:szCs w:val="18"/>
              </w:rPr>
              <w:t>Existing EVSE controllers may not provide hardware-rooted identities or secure attestation capabilities.</w:t>
            </w:r>
          </w:p>
        </w:tc>
        <w:tc>
          <w:tcPr>
            <w:tcW w:w="0" w:type="auto"/>
            <w:hideMark/>
          </w:tcPr>
          <w:p w14:paraId="150CAE4C" w14:textId="77777777" w:rsidR="00406E0C" w:rsidRPr="005713FD" w:rsidRDefault="00406E0C" w:rsidP="00406E0C">
            <w:pPr>
              <w:pStyle w:val="BodyText"/>
              <w:jc w:val="both"/>
              <w:cnfStyle w:val="000000100000" w:firstRow="0" w:lastRow="0" w:firstColumn="0" w:lastColumn="0" w:oddVBand="0" w:evenVBand="0" w:oddHBand="1" w:evenHBand="0" w:firstRowFirstColumn="0" w:firstRowLastColumn="0" w:lastRowFirstColumn="0" w:lastRowLastColumn="0"/>
              <w:rPr>
                <w:sz w:val="18"/>
                <w:szCs w:val="18"/>
              </w:rPr>
            </w:pPr>
            <w:r w:rsidRPr="005713FD">
              <w:rPr>
                <w:sz w:val="18"/>
                <w:szCs w:val="18"/>
              </w:rPr>
              <w:t>TPM 2.0, Infineon OPTIGA, Microchip ATECC608, NXP SE050/SE051 secure elements, or bump-in-the-wire security gateways.</w:t>
            </w:r>
          </w:p>
        </w:tc>
      </w:tr>
      <w:tr w:rsidR="00406E0C" w:rsidRPr="00406E0C" w14:paraId="3825A5FE" w14:textId="77777777" w:rsidTr="005713FD">
        <w:tc>
          <w:tcPr>
            <w:cnfStyle w:val="001000000000" w:firstRow="0" w:lastRow="0" w:firstColumn="1" w:lastColumn="0" w:oddVBand="0" w:evenVBand="0" w:oddHBand="0" w:evenHBand="0" w:firstRowFirstColumn="0" w:firstRowLastColumn="0" w:lastRowFirstColumn="0" w:lastRowLastColumn="0"/>
            <w:tcW w:w="0" w:type="auto"/>
            <w:hideMark/>
          </w:tcPr>
          <w:p w14:paraId="3BF5930B" w14:textId="77777777" w:rsidR="00406E0C" w:rsidRPr="005713FD" w:rsidRDefault="00406E0C" w:rsidP="005713FD">
            <w:pPr>
              <w:pStyle w:val="BodyText"/>
              <w:rPr>
                <w:b w:val="0"/>
                <w:bCs w:val="0"/>
                <w:sz w:val="18"/>
                <w:szCs w:val="18"/>
              </w:rPr>
            </w:pPr>
            <w:r w:rsidRPr="005713FD">
              <w:rPr>
                <w:sz w:val="18"/>
                <w:szCs w:val="18"/>
              </w:rPr>
              <w:t>Firmware Signing Supply Chain</w:t>
            </w:r>
          </w:p>
        </w:tc>
        <w:tc>
          <w:tcPr>
            <w:tcW w:w="0" w:type="auto"/>
            <w:hideMark/>
          </w:tcPr>
          <w:p w14:paraId="5716E616" w14:textId="77777777" w:rsidR="00406E0C" w:rsidRPr="005713FD" w:rsidRDefault="00406E0C" w:rsidP="00406E0C">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rsidRPr="005713FD">
              <w:rPr>
                <w:sz w:val="18"/>
                <w:szCs w:val="18"/>
              </w:rPr>
              <w:t>Current firmware update processes do not support delegated trust between OEMs and trusted authorities.</w:t>
            </w:r>
          </w:p>
        </w:tc>
        <w:tc>
          <w:tcPr>
            <w:tcW w:w="0" w:type="auto"/>
            <w:hideMark/>
          </w:tcPr>
          <w:p w14:paraId="2485B2B6" w14:textId="77777777" w:rsidR="00406E0C" w:rsidRPr="005713FD" w:rsidRDefault="00406E0C" w:rsidP="00406E0C">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rsidRPr="005713FD">
              <w:rPr>
                <w:sz w:val="18"/>
                <w:szCs w:val="18"/>
              </w:rPr>
              <w:t>Dual-signing frameworks, secure boot architectures, firmware attestation pipelines, and trusted firmware repositories.</w:t>
            </w:r>
          </w:p>
        </w:tc>
      </w:tr>
      <w:tr w:rsidR="00406E0C" w:rsidRPr="00406E0C" w14:paraId="47AD6E56" w14:textId="77777777" w:rsidTr="00406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5DCBC1" w14:textId="77777777" w:rsidR="00406E0C" w:rsidRPr="005713FD" w:rsidRDefault="00406E0C" w:rsidP="005713FD">
            <w:pPr>
              <w:pStyle w:val="BodyText"/>
              <w:rPr>
                <w:b w:val="0"/>
                <w:bCs w:val="0"/>
                <w:sz w:val="18"/>
                <w:szCs w:val="18"/>
              </w:rPr>
            </w:pPr>
            <w:r w:rsidRPr="005713FD">
              <w:rPr>
                <w:sz w:val="18"/>
                <w:szCs w:val="18"/>
              </w:rPr>
              <w:t>Protocols and Standards</w:t>
            </w:r>
          </w:p>
        </w:tc>
        <w:tc>
          <w:tcPr>
            <w:tcW w:w="0" w:type="auto"/>
            <w:hideMark/>
          </w:tcPr>
          <w:p w14:paraId="045E73B9" w14:textId="77777777" w:rsidR="00406E0C" w:rsidRPr="005713FD" w:rsidRDefault="00406E0C" w:rsidP="00406E0C">
            <w:pPr>
              <w:pStyle w:val="BodyText"/>
              <w:jc w:val="both"/>
              <w:cnfStyle w:val="000000100000" w:firstRow="0" w:lastRow="0" w:firstColumn="0" w:lastColumn="0" w:oddVBand="0" w:evenVBand="0" w:oddHBand="1" w:evenHBand="0" w:firstRowFirstColumn="0" w:firstRowLastColumn="0" w:lastRowFirstColumn="0" w:lastRowLastColumn="0"/>
              <w:rPr>
                <w:sz w:val="18"/>
                <w:szCs w:val="18"/>
              </w:rPr>
            </w:pPr>
            <w:r w:rsidRPr="005713FD">
              <w:rPr>
                <w:sz w:val="18"/>
                <w:szCs w:val="18"/>
              </w:rPr>
              <w:t>Existing OCPP, ISO 15118, and OpenADR standards lack native trust mediation interfaces.</w:t>
            </w:r>
          </w:p>
        </w:tc>
        <w:tc>
          <w:tcPr>
            <w:tcW w:w="0" w:type="auto"/>
            <w:hideMark/>
          </w:tcPr>
          <w:p w14:paraId="368A340F" w14:textId="77777777" w:rsidR="00406E0C" w:rsidRPr="005713FD" w:rsidRDefault="00406E0C" w:rsidP="00406E0C">
            <w:pPr>
              <w:pStyle w:val="BodyText"/>
              <w:jc w:val="both"/>
              <w:cnfStyle w:val="000000100000" w:firstRow="0" w:lastRow="0" w:firstColumn="0" w:lastColumn="0" w:oddVBand="0" w:evenVBand="0" w:oddHBand="1" w:evenHBand="0" w:firstRowFirstColumn="0" w:firstRowLastColumn="0" w:lastRowFirstColumn="0" w:lastRowLastColumn="0"/>
              <w:rPr>
                <w:sz w:val="18"/>
                <w:szCs w:val="18"/>
              </w:rPr>
            </w:pPr>
            <w:r w:rsidRPr="005713FD">
              <w:rPr>
                <w:sz w:val="18"/>
                <w:szCs w:val="18"/>
              </w:rPr>
              <w:t>Standardized TSM mediation hooks, security event reporting, policy enforcement profiles, and trust-state extensions.</w:t>
            </w:r>
          </w:p>
        </w:tc>
      </w:tr>
      <w:tr w:rsidR="00406E0C" w:rsidRPr="00406E0C" w14:paraId="2FC07455" w14:textId="77777777" w:rsidTr="005713FD">
        <w:tc>
          <w:tcPr>
            <w:cnfStyle w:val="001000000000" w:firstRow="0" w:lastRow="0" w:firstColumn="1" w:lastColumn="0" w:oddVBand="0" w:evenVBand="0" w:oddHBand="0" w:evenHBand="0" w:firstRowFirstColumn="0" w:firstRowLastColumn="0" w:lastRowFirstColumn="0" w:lastRowLastColumn="0"/>
            <w:tcW w:w="0" w:type="auto"/>
            <w:hideMark/>
          </w:tcPr>
          <w:p w14:paraId="527065BB" w14:textId="77777777" w:rsidR="00406E0C" w:rsidRPr="005713FD" w:rsidRDefault="00406E0C" w:rsidP="005713FD">
            <w:pPr>
              <w:pStyle w:val="BodyText"/>
              <w:rPr>
                <w:b w:val="0"/>
                <w:bCs w:val="0"/>
                <w:sz w:val="18"/>
                <w:szCs w:val="18"/>
              </w:rPr>
            </w:pPr>
            <w:r w:rsidRPr="005713FD">
              <w:rPr>
                <w:sz w:val="18"/>
                <w:szCs w:val="18"/>
              </w:rPr>
              <w:t>Large-Scale PKI Lifecycle Management</w:t>
            </w:r>
          </w:p>
        </w:tc>
        <w:tc>
          <w:tcPr>
            <w:tcW w:w="0" w:type="auto"/>
            <w:hideMark/>
          </w:tcPr>
          <w:p w14:paraId="3CFB872F" w14:textId="77777777" w:rsidR="00406E0C" w:rsidRPr="005713FD" w:rsidRDefault="00406E0C" w:rsidP="00406E0C">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rsidRPr="005713FD">
              <w:rPr>
                <w:sz w:val="18"/>
                <w:szCs w:val="18"/>
              </w:rPr>
              <w:t>Managing certificate issuance, revocation, rotation, and transparency at scale introduces significant operational complexity.</w:t>
            </w:r>
          </w:p>
        </w:tc>
        <w:tc>
          <w:tcPr>
            <w:tcW w:w="0" w:type="auto"/>
            <w:hideMark/>
          </w:tcPr>
          <w:p w14:paraId="187DDE28" w14:textId="77777777" w:rsidR="00406E0C" w:rsidRPr="005713FD" w:rsidRDefault="00406E0C" w:rsidP="00406E0C">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rsidRPr="005713FD">
              <w:rPr>
                <w:sz w:val="18"/>
                <w:szCs w:val="18"/>
              </w:rPr>
              <w:t>HashiCorp Vault PKI, Step-CA, EJBCA, certificate transparency logs, automated certificate lifecycle management.</w:t>
            </w:r>
          </w:p>
        </w:tc>
      </w:tr>
      <w:tr w:rsidR="00406E0C" w:rsidRPr="00406E0C" w14:paraId="49245766" w14:textId="77777777" w:rsidTr="00406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3BA584" w14:textId="77777777" w:rsidR="00406E0C" w:rsidRPr="005713FD" w:rsidRDefault="00406E0C" w:rsidP="005713FD">
            <w:pPr>
              <w:pStyle w:val="BodyText"/>
              <w:rPr>
                <w:b w:val="0"/>
                <w:bCs w:val="0"/>
                <w:sz w:val="18"/>
                <w:szCs w:val="18"/>
              </w:rPr>
            </w:pPr>
            <w:r w:rsidRPr="005713FD">
              <w:rPr>
                <w:sz w:val="18"/>
                <w:szCs w:val="18"/>
              </w:rPr>
              <w:t>Processing Overhead Constraints</w:t>
            </w:r>
          </w:p>
        </w:tc>
        <w:tc>
          <w:tcPr>
            <w:tcW w:w="0" w:type="auto"/>
            <w:hideMark/>
          </w:tcPr>
          <w:p w14:paraId="5C497B1D" w14:textId="77777777" w:rsidR="00406E0C" w:rsidRPr="005713FD" w:rsidRDefault="00406E0C" w:rsidP="00406E0C">
            <w:pPr>
              <w:pStyle w:val="BodyText"/>
              <w:jc w:val="both"/>
              <w:cnfStyle w:val="000000100000" w:firstRow="0" w:lastRow="0" w:firstColumn="0" w:lastColumn="0" w:oddVBand="0" w:evenVBand="0" w:oddHBand="1" w:evenHBand="0" w:firstRowFirstColumn="0" w:firstRowLastColumn="0" w:lastRowFirstColumn="0" w:lastRowLastColumn="0"/>
              <w:rPr>
                <w:sz w:val="18"/>
                <w:szCs w:val="18"/>
              </w:rPr>
            </w:pPr>
            <w:r w:rsidRPr="005713FD">
              <w:rPr>
                <w:sz w:val="18"/>
                <w:szCs w:val="18"/>
              </w:rPr>
              <w:t>Additional trust scoring, attestation, and policy validation may increase computational requirements.</w:t>
            </w:r>
          </w:p>
        </w:tc>
        <w:tc>
          <w:tcPr>
            <w:tcW w:w="0" w:type="auto"/>
            <w:hideMark/>
          </w:tcPr>
          <w:p w14:paraId="0A04F04A" w14:textId="77777777" w:rsidR="00406E0C" w:rsidRPr="005713FD" w:rsidRDefault="00406E0C" w:rsidP="00406E0C">
            <w:pPr>
              <w:pStyle w:val="BodyText"/>
              <w:jc w:val="both"/>
              <w:cnfStyle w:val="000000100000" w:firstRow="0" w:lastRow="0" w:firstColumn="0" w:lastColumn="0" w:oddVBand="0" w:evenVBand="0" w:oddHBand="1" w:evenHBand="0" w:firstRowFirstColumn="0" w:firstRowLastColumn="0" w:lastRowFirstColumn="0" w:lastRowLastColumn="0"/>
              <w:rPr>
                <w:sz w:val="18"/>
                <w:szCs w:val="18"/>
              </w:rPr>
            </w:pPr>
            <w:r w:rsidRPr="005713FD">
              <w:rPr>
                <w:sz w:val="18"/>
                <w:szCs w:val="18"/>
              </w:rPr>
              <w:t>Edge-based TSM kernels, cloud-assisted verification services, hardware acceleration, and optimized attestation workflows.</w:t>
            </w:r>
          </w:p>
        </w:tc>
      </w:tr>
      <w:tr w:rsidR="00406E0C" w:rsidRPr="00406E0C" w14:paraId="10211D44" w14:textId="77777777" w:rsidTr="005713FD">
        <w:tc>
          <w:tcPr>
            <w:cnfStyle w:val="001000000000" w:firstRow="0" w:lastRow="0" w:firstColumn="1" w:lastColumn="0" w:oddVBand="0" w:evenVBand="0" w:oddHBand="0" w:evenHBand="0" w:firstRowFirstColumn="0" w:firstRowLastColumn="0" w:lastRowFirstColumn="0" w:lastRowLastColumn="0"/>
            <w:tcW w:w="0" w:type="auto"/>
            <w:hideMark/>
          </w:tcPr>
          <w:p w14:paraId="0D69B17F" w14:textId="77777777" w:rsidR="00406E0C" w:rsidRPr="005713FD" w:rsidRDefault="00406E0C" w:rsidP="005713FD">
            <w:pPr>
              <w:pStyle w:val="BodyText"/>
              <w:rPr>
                <w:b w:val="0"/>
                <w:bCs w:val="0"/>
                <w:sz w:val="18"/>
                <w:szCs w:val="18"/>
              </w:rPr>
            </w:pPr>
            <w:r w:rsidRPr="005713FD">
              <w:rPr>
                <w:sz w:val="18"/>
                <w:szCs w:val="18"/>
              </w:rPr>
              <w:t>Cross-Border Interoperability</w:t>
            </w:r>
          </w:p>
        </w:tc>
        <w:tc>
          <w:tcPr>
            <w:tcW w:w="0" w:type="auto"/>
            <w:hideMark/>
          </w:tcPr>
          <w:p w14:paraId="2ACAFAD4" w14:textId="77777777" w:rsidR="00406E0C" w:rsidRPr="005713FD" w:rsidRDefault="00406E0C" w:rsidP="00406E0C">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rsidRPr="005713FD">
              <w:rPr>
                <w:sz w:val="18"/>
                <w:szCs w:val="18"/>
              </w:rPr>
              <w:t>Trust enforcement across roaming eMSP and CPO ecosystems requires shared trust frameworks.</w:t>
            </w:r>
          </w:p>
        </w:tc>
        <w:tc>
          <w:tcPr>
            <w:tcW w:w="0" w:type="auto"/>
            <w:hideMark/>
          </w:tcPr>
          <w:p w14:paraId="48055881" w14:textId="77777777" w:rsidR="00406E0C" w:rsidRPr="005713FD" w:rsidRDefault="00406E0C" w:rsidP="00406E0C">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rsidRPr="005713FD">
              <w:rPr>
                <w:sz w:val="18"/>
                <w:szCs w:val="18"/>
              </w:rPr>
              <w:t>Federated trust models, OCPI trust federation, mutual recognition agreements, and cross-domain certificate authorities.</w:t>
            </w:r>
          </w:p>
        </w:tc>
      </w:tr>
    </w:tbl>
    <w:p w14:paraId="3813ECDD" w14:textId="1B371650" w:rsidR="001B37A5" w:rsidRPr="001B37A5" w:rsidRDefault="00FC16AA" w:rsidP="001B37A5">
      <w:pPr>
        <w:pStyle w:val="Heading2"/>
        <w:rPr>
          <w:rFonts w:asciiTheme="minorHAnsi" w:eastAsiaTheme="minorEastAsia" w:hAnsiTheme="minorHAnsi" w:cstheme="minorBidi"/>
          <w:b/>
        </w:rPr>
      </w:pPr>
      <w:bookmarkStart w:id="342" w:name="_Toc233106335"/>
      <w:bookmarkStart w:id="343" w:name="_Toc233106420"/>
      <w:bookmarkStart w:id="344" w:name="_Toc233111990"/>
      <w:bookmarkEnd w:id="342"/>
      <w:bookmarkEnd w:id="343"/>
      <w:bookmarkEnd w:id="344"/>
      <w:r>
        <w:rPr>
          <w:b/>
          <w:bCs w:val="0"/>
        </w:rPr>
        <w:t xml:space="preserve"> </w:t>
      </w:r>
      <w:bookmarkStart w:id="345" w:name="_Toc234310838"/>
      <w:r w:rsidR="001B37A5">
        <w:rPr>
          <w:b/>
          <w:bCs w:val="0"/>
        </w:rPr>
        <w:t>Summary</w:t>
      </w:r>
      <w:bookmarkEnd w:id="345"/>
    </w:p>
    <w:p w14:paraId="0C53269E" w14:textId="6EAFE2B4" w:rsidR="000C52B1" w:rsidRPr="000C52B1" w:rsidRDefault="000C52B1" w:rsidP="000C52B1">
      <w:pPr>
        <w:pStyle w:val="BodyText"/>
        <w:jc w:val="both"/>
        <w:rPr>
          <w:rFonts w:asciiTheme="minorHAnsi" w:eastAsiaTheme="minorEastAsia" w:hAnsiTheme="minorHAnsi" w:cstheme="minorBidi"/>
          <w:sz w:val="22"/>
        </w:rPr>
      </w:pPr>
      <w:r w:rsidRPr="000C52B1">
        <w:rPr>
          <w:sz w:val="22"/>
        </w:rPr>
        <w:t xml:space="preserve">This section presents the implementation and experimentation results of the </w:t>
      </w:r>
      <w:r>
        <w:rPr>
          <w:sz w:val="22"/>
        </w:rPr>
        <w:t>T</w:t>
      </w:r>
      <w:r w:rsidRPr="000C52B1">
        <w:rPr>
          <w:sz w:val="22"/>
        </w:rPr>
        <w:t>SM within the EVSE–grid co-simulation environment. It describes the deployment architecture, runtime integration, and structured validation framework used to evaluate TSM enforcement behaviour. The architecture follows a layered, event-driven, and fail-secure-by-default design, ensuring deterministic execution and reproducibility. TSM mediates firmware updates, grid commands, and actuator operations through a sequential verification pipeline that includes hashing, signature validation, certificate chain checks, revocation verification, anti-rollback protection, bounded writing, and secure boot re-validation. Observability is achieved through telemetry streams, protocol traces, and audit logs, enabling evaluation across cybersecurity enforcement, EVSE operational behaviour, and grid-level stability impacts.</w:t>
      </w:r>
    </w:p>
    <w:p w14:paraId="245F808F" w14:textId="494DFCF7" w:rsidR="002E22F0" w:rsidRDefault="000B2F73" w:rsidP="422659F2">
      <w:pPr>
        <w:pStyle w:val="Heading1"/>
        <w:ind w:left="1134" w:hanging="1134"/>
        <w:rPr>
          <w:rFonts w:asciiTheme="minorHAnsi" w:eastAsiaTheme="minorEastAsia" w:hAnsiTheme="minorHAnsi" w:cstheme="minorBidi"/>
          <w:lang w:val="en-US"/>
        </w:rPr>
      </w:pPr>
      <w:bookmarkStart w:id="346" w:name="_Toc222954517"/>
      <w:bookmarkStart w:id="347" w:name="_Toc223022384"/>
      <w:bookmarkStart w:id="348" w:name="_Toc234310839"/>
      <w:r w:rsidRPr="00406E4C">
        <w:t>Insights</w:t>
      </w:r>
      <w:bookmarkEnd w:id="346"/>
      <w:bookmarkEnd w:id="347"/>
      <w:bookmarkEnd w:id="348"/>
    </w:p>
    <w:p w14:paraId="30C06364" w14:textId="03DE8921" w:rsidR="002E22F0" w:rsidRDefault="002E22F0" w:rsidP="422659F2">
      <w:pPr>
        <w:jc w:val="both"/>
        <w:rPr>
          <w:rFonts w:asciiTheme="minorHAnsi" w:eastAsiaTheme="minorEastAsia" w:hAnsiTheme="minorHAnsi" w:cstheme="minorBidi"/>
          <w:sz w:val="24"/>
          <w:szCs w:val="24"/>
        </w:rPr>
      </w:pPr>
      <w:r w:rsidRPr="422659F2">
        <w:rPr>
          <w:sz w:val="24"/>
          <w:szCs w:val="24"/>
        </w:rPr>
        <w:t>This project provides strategic insights into the cybersecurity resilience of Australia’s rapidly expanding Electric Vehicle Supply Equipment (EVSE) and Distributed Energy Resource (DER) ecosystem. The findings demonstrate that EVSE security must be treated as a matter of national energy stability rather than isolated device protection. Through threat modelling, architectural design, and cyber–physical co-simulation, the project identifies systemic risks that could affect grid reliability under high DER penetration. The insights presented here outline practical, sovereign-aligned mechanisms for strengthening device-level assurance, regulatory oversight, and long-term grid stability in Australia’s electricity transition.</w:t>
      </w:r>
    </w:p>
    <w:p w14:paraId="3E705CD5" w14:textId="57B62638" w:rsidR="00C57B98" w:rsidRDefault="00C57B98" w:rsidP="00C57B98">
      <w:pPr>
        <w:pStyle w:val="Heading2"/>
        <w:rPr>
          <w:rFonts w:asciiTheme="minorHAnsi" w:eastAsiaTheme="minorEastAsia" w:hAnsiTheme="minorHAnsi" w:cstheme="minorBidi"/>
        </w:rPr>
      </w:pPr>
      <w:bookmarkStart w:id="349" w:name="_Toc234310840"/>
      <w:r>
        <w:t>Security Threats to EVSE Infrastructure</w:t>
      </w:r>
      <w:bookmarkEnd w:id="349"/>
    </w:p>
    <w:p w14:paraId="0335364E" w14:textId="1A26AE21" w:rsidR="00C57B98" w:rsidRDefault="00C57B98" w:rsidP="007450DE">
      <w:pPr>
        <w:jc w:val="both"/>
        <w:rPr>
          <w:rFonts w:asciiTheme="minorHAnsi" w:eastAsiaTheme="minorEastAsia" w:hAnsiTheme="minorHAnsi" w:cstheme="minorBidi"/>
          <w:sz w:val="24"/>
          <w:szCs w:val="24"/>
        </w:rPr>
      </w:pPr>
      <w:r w:rsidRPr="422659F2">
        <w:rPr>
          <w:sz w:val="24"/>
          <w:szCs w:val="24"/>
        </w:rPr>
        <w:t>The threat modelling phase revealed that electric vehicle charging infrastructure introduces systemic cyber–physical risks that extend beyond individual devices and directly affect grid stability. When deployed at scale, charging stations operate as high-power, controllable distributed energy resources connected to distribution feeders and coordinated through backend platforms. Under high penetration scenarios, weaknesses in device architecture, firmware control, and communication trust can amplify into stability and reliability concerns for the broader electricity system. The key threat insights identified include:</w:t>
      </w:r>
    </w:p>
    <w:p w14:paraId="2A9B8C03" w14:textId="77777777" w:rsidR="00C57B98" w:rsidRDefault="00C57B98" w:rsidP="422659F2">
      <w:pPr>
        <w:pStyle w:val="ListParagraph"/>
        <w:numPr>
          <w:ilvl w:val="0"/>
          <w:numId w:val="80"/>
        </w:numPr>
        <w:jc w:val="both"/>
        <w:rPr>
          <w:rFonts w:asciiTheme="minorHAnsi" w:eastAsiaTheme="minorEastAsia" w:hAnsiTheme="minorHAnsi" w:cstheme="minorBidi"/>
        </w:rPr>
      </w:pPr>
      <w:r>
        <w:t>Firmware update pathways as fleet-scale compromise vectors</w:t>
      </w:r>
    </w:p>
    <w:p w14:paraId="2579B344" w14:textId="77777777" w:rsidR="00C57B98" w:rsidRDefault="00C57B98" w:rsidP="422659F2">
      <w:pPr>
        <w:pStyle w:val="ListParagraph"/>
        <w:numPr>
          <w:ilvl w:val="0"/>
          <w:numId w:val="80"/>
        </w:numPr>
        <w:jc w:val="both"/>
        <w:rPr>
          <w:rFonts w:asciiTheme="minorHAnsi" w:eastAsiaTheme="minorEastAsia" w:hAnsiTheme="minorHAnsi" w:cstheme="minorBidi"/>
        </w:rPr>
      </w:pPr>
      <w:r>
        <w:t>Lack of enforced separation between communication logic and physical power control</w:t>
      </w:r>
    </w:p>
    <w:p w14:paraId="2E245087" w14:textId="77777777" w:rsidR="00C57B98" w:rsidRDefault="00C57B98" w:rsidP="422659F2">
      <w:pPr>
        <w:pStyle w:val="ListParagraph"/>
        <w:numPr>
          <w:ilvl w:val="0"/>
          <w:numId w:val="80"/>
        </w:numPr>
        <w:jc w:val="both"/>
        <w:rPr>
          <w:rFonts w:asciiTheme="minorHAnsi" w:eastAsiaTheme="minorEastAsia" w:hAnsiTheme="minorHAnsi" w:cstheme="minorBidi"/>
        </w:rPr>
      </w:pPr>
      <w:r>
        <w:t>Weak certificate validation and backend impersonation risks</w:t>
      </w:r>
    </w:p>
    <w:p w14:paraId="15230D4A" w14:textId="77777777" w:rsidR="00C57B98" w:rsidRDefault="00C57B98" w:rsidP="422659F2">
      <w:pPr>
        <w:pStyle w:val="ListParagraph"/>
        <w:numPr>
          <w:ilvl w:val="0"/>
          <w:numId w:val="80"/>
        </w:numPr>
        <w:jc w:val="both"/>
        <w:rPr>
          <w:rFonts w:asciiTheme="minorHAnsi" w:eastAsiaTheme="minorEastAsia" w:hAnsiTheme="minorHAnsi" w:cstheme="minorBidi"/>
        </w:rPr>
      </w:pPr>
      <w:r>
        <w:t>Supply chain and commissioning vulnerabilities</w:t>
      </w:r>
    </w:p>
    <w:p w14:paraId="14631C70" w14:textId="298DF2EE" w:rsidR="00373330" w:rsidRDefault="00C57B98" w:rsidP="422659F2">
      <w:pPr>
        <w:pStyle w:val="ListParagraph"/>
        <w:numPr>
          <w:ilvl w:val="0"/>
          <w:numId w:val="80"/>
        </w:numPr>
        <w:jc w:val="both"/>
        <w:rPr>
          <w:rFonts w:asciiTheme="minorHAnsi" w:eastAsiaTheme="minorEastAsia" w:hAnsiTheme="minorHAnsi" w:cstheme="minorBidi"/>
        </w:rPr>
      </w:pPr>
      <w:r>
        <w:t>Aggregation effects that transform device compromise into grid-level disruption</w:t>
      </w:r>
    </w:p>
    <w:p w14:paraId="5EC44F91" w14:textId="6177B224" w:rsidR="00193454" w:rsidRDefault="00193454" w:rsidP="007450DE">
      <w:pPr>
        <w:pStyle w:val="Heading2notnumbered"/>
        <w:rPr>
          <w:rFonts w:asciiTheme="minorHAnsi" w:eastAsiaTheme="minorEastAsia" w:hAnsiTheme="minorHAnsi" w:cstheme="minorBidi"/>
        </w:rPr>
      </w:pPr>
      <w:bookmarkStart w:id="350" w:name="_Toc234310841"/>
      <w:r>
        <w:t>Firmware Integrity as a Systemic Risk</w:t>
      </w:r>
      <w:bookmarkEnd w:id="350"/>
    </w:p>
    <w:p w14:paraId="64E02DCA" w14:textId="77777777" w:rsidR="00193454" w:rsidRDefault="00193454" w:rsidP="007450DE">
      <w:pPr>
        <w:jc w:val="both"/>
        <w:rPr>
          <w:rFonts w:asciiTheme="minorHAnsi" w:eastAsiaTheme="minorEastAsia" w:hAnsiTheme="minorHAnsi" w:cstheme="minorBidi"/>
          <w:sz w:val="24"/>
          <w:szCs w:val="24"/>
        </w:rPr>
      </w:pPr>
      <w:r w:rsidRPr="422659F2">
        <w:rPr>
          <w:sz w:val="24"/>
          <w:szCs w:val="24"/>
        </w:rPr>
        <w:t>One of the most critical findings was the exposure of firmware update mechanisms. Remote update channels, if not cryptographically enforced and independently verified, create high-impact attack surfaces. A compromised backend or malicious firmware image can propagate across an entire fleet of charging stations. At scale, coordinated manipulation of charging loads could trigger abrupt demand shifts, feeder overload conditions, or destabilising frequency excursions. Firmware integrity must therefore be viewed as a grid-stability control rather than an isolated software safeguard.</w:t>
      </w:r>
    </w:p>
    <w:p w14:paraId="2B1F9727" w14:textId="571FEC95" w:rsidR="00193454" w:rsidRDefault="00193454" w:rsidP="007450DE">
      <w:pPr>
        <w:pStyle w:val="Heading2notnumbered"/>
        <w:rPr>
          <w:rFonts w:asciiTheme="minorHAnsi" w:eastAsiaTheme="minorEastAsia" w:hAnsiTheme="minorHAnsi" w:cstheme="minorBidi"/>
        </w:rPr>
      </w:pPr>
      <w:bookmarkStart w:id="351" w:name="_Toc234310842"/>
      <w:r>
        <w:t>Architectural Flatness</w:t>
      </w:r>
      <w:bookmarkEnd w:id="351"/>
      <w:r>
        <w:t xml:space="preserve"> </w:t>
      </w:r>
    </w:p>
    <w:p w14:paraId="0CE2EA8B" w14:textId="77777777" w:rsidR="00193454" w:rsidRDefault="00193454" w:rsidP="007450DE">
      <w:pPr>
        <w:jc w:val="both"/>
        <w:rPr>
          <w:rFonts w:asciiTheme="minorHAnsi" w:eastAsiaTheme="minorEastAsia" w:hAnsiTheme="minorHAnsi" w:cstheme="minorBidi"/>
          <w:sz w:val="24"/>
          <w:szCs w:val="24"/>
        </w:rPr>
      </w:pPr>
      <w:r w:rsidRPr="422659F2">
        <w:rPr>
          <w:sz w:val="24"/>
          <w:szCs w:val="24"/>
        </w:rPr>
        <w:t xml:space="preserve">The analysis identified structural weaknesses in conventional designs where communication stacks, application logic, and physical </w:t>
      </w:r>
      <w:bookmarkStart w:id="352" w:name="_Int_WPiWz4Q8"/>
      <w:r w:rsidRPr="422659F2">
        <w:rPr>
          <w:sz w:val="24"/>
          <w:szCs w:val="24"/>
        </w:rPr>
        <w:t>contactor</w:t>
      </w:r>
      <w:bookmarkEnd w:id="352"/>
      <w:r w:rsidRPr="422659F2">
        <w:rPr>
          <w:sz w:val="24"/>
          <w:szCs w:val="24"/>
        </w:rPr>
        <w:t xml:space="preserve"> controls reside within the same trust boundary. This architectural flatness enables escalation from network-layer compromise to physical-layer manipulation. An attacker exploiting a communication vulnerability can directly influence charging profiles or power dispatch behaviour. Across a fleet, such manipulation could generate oscillatory load patterns or disrupt demand-response coordination.</w:t>
      </w:r>
    </w:p>
    <w:p w14:paraId="784C85C6" w14:textId="77777777" w:rsidR="00193454" w:rsidRDefault="00193454" w:rsidP="00193454">
      <w:pPr>
        <w:rPr>
          <w:rFonts w:asciiTheme="minorHAnsi" w:eastAsiaTheme="minorEastAsia" w:hAnsiTheme="minorHAnsi" w:cstheme="minorBidi"/>
        </w:rPr>
      </w:pPr>
    </w:p>
    <w:p w14:paraId="2AB4EE5F" w14:textId="657DA80A" w:rsidR="00193454" w:rsidRDefault="00193454" w:rsidP="007450DE">
      <w:pPr>
        <w:pStyle w:val="Heading2notnumbered"/>
        <w:rPr>
          <w:rFonts w:asciiTheme="minorHAnsi" w:eastAsiaTheme="minorEastAsia" w:hAnsiTheme="minorHAnsi" w:cstheme="minorBidi"/>
        </w:rPr>
      </w:pPr>
      <w:bookmarkStart w:id="353" w:name="_Toc234310843"/>
      <w:r>
        <w:t>Backend Trust and Command Validation Weaknesses</w:t>
      </w:r>
      <w:bookmarkEnd w:id="353"/>
    </w:p>
    <w:p w14:paraId="2705A9DA" w14:textId="77777777" w:rsidR="00193454" w:rsidRDefault="00193454" w:rsidP="007450DE">
      <w:pPr>
        <w:jc w:val="both"/>
        <w:rPr>
          <w:rFonts w:asciiTheme="minorHAnsi" w:eastAsiaTheme="minorEastAsia" w:hAnsiTheme="minorHAnsi" w:cstheme="minorBidi"/>
          <w:sz w:val="24"/>
          <w:szCs w:val="24"/>
        </w:rPr>
      </w:pPr>
      <w:r w:rsidRPr="5EE64696">
        <w:rPr>
          <w:sz w:val="24"/>
          <w:szCs w:val="24"/>
        </w:rPr>
        <w:t>Improper certificate validation, authentication bypass conditions, and insufficient command verification create risks in distributed orchestration environments. Weak validation of dispatch instructions allows impersonation of trusted backend systems or injection of manipulated control signals. In a networked distributed energy ecosystem, this creates the potential for coordinated load perturbation and grid instability.</w:t>
      </w:r>
    </w:p>
    <w:p w14:paraId="220849EA" w14:textId="111776BC" w:rsidR="00193454" w:rsidRDefault="00193454" w:rsidP="007450DE">
      <w:pPr>
        <w:pStyle w:val="Heading2notnumbered"/>
        <w:rPr>
          <w:rFonts w:asciiTheme="minorHAnsi" w:eastAsiaTheme="minorEastAsia" w:hAnsiTheme="minorHAnsi" w:cstheme="minorBidi"/>
        </w:rPr>
      </w:pPr>
      <w:bookmarkStart w:id="354" w:name="_Toc234310844"/>
      <w:r>
        <w:t xml:space="preserve">Supply Chain </w:t>
      </w:r>
      <w:r w:rsidR="007450DE">
        <w:t xml:space="preserve">Challenges in </w:t>
      </w:r>
      <w:r w:rsidR="00630A48">
        <w:t xml:space="preserve">the </w:t>
      </w:r>
      <w:r w:rsidR="007450DE">
        <w:t>EVSE ecosystem</w:t>
      </w:r>
      <w:bookmarkEnd w:id="354"/>
    </w:p>
    <w:p w14:paraId="04A0B7C1" w14:textId="2C44D2CF" w:rsidR="00C678B2" w:rsidRPr="00C678B2" w:rsidRDefault="00C678B2" w:rsidP="00C678B2">
      <w:pPr>
        <w:jc w:val="both"/>
        <w:rPr>
          <w:rFonts w:asciiTheme="minorHAnsi" w:eastAsiaTheme="minorEastAsia" w:hAnsiTheme="minorHAnsi" w:cstheme="minorBidi"/>
          <w:sz w:val="24"/>
          <w:szCs w:val="24"/>
        </w:rPr>
      </w:pPr>
      <w:r w:rsidRPr="5EE64696">
        <w:rPr>
          <w:sz w:val="24"/>
          <w:szCs w:val="24"/>
        </w:rPr>
        <w:t>Electric vehicle charging infrastructure relies heavily on globally sourced hardware and firmware, introducing inherent security uncertainty at the device level. Common weaknesses include hard-coded credentials, unsecured management interfaces, unsigned firmware, and exposed peripheral ports. These issues increase the likelihood of compromise both during deployment and throughout operational life. Given the high proportion of imported charging hardware, sovereign visibility into device integrity remains limited. Trust established at commissioning does not guarantee ongoing compliance or authenticity. As deployment scales, the absence of continuous device-level verification becomes a systemic governance and stability concern rather than a local technical issue</w:t>
      </w:r>
      <w:r w:rsidR="54B10370" w:rsidRPr="5EE64696">
        <w:rPr>
          <w:sz w:val="24"/>
          <w:szCs w:val="24"/>
        </w:rPr>
        <w:t>.</w:t>
      </w:r>
    </w:p>
    <w:p w14:paraId="05B3B04C" w14:textId="6F4E3967" w:rsidR="00193454" w:rsidRDefault="00193454" w:rsidP="00766E2F">
      <w:pPr>
        <w:pStyle w:val="Heading2"/>
        <w:rPr>
          <w:rFonts w:asciiTheme="minorHAnsi" w:eastAsiaTheme="minorEastAsia" w:hAnsiTheme="minorHAnsi" w:cstheme="minorBidi"/>
        </w:rPr>
      </w:pPr>
      <w:bookmarkStart w:id="355" w:name="_Toc234310845"/>
      <w:commentRangeStart w:id="356"/>
      <w:r>
        <w:t>Aggregation Effect: From Device Risk to Grid Risk</w:t>
      </w:r>
      <w:commentRangeEnd w:id="356"/>
      <w:r w:rsidR="00DF60E5">
        <w:rPr>
          <w:rStyle w:val="CommentReference"/>
          <w:rFonts w:asciiTheme="minorHAnsi" w:eastAsiaTheme="minorEastAsia" w:hAnsiTheme="minorHAnsi" w:cstheme="minorBidi"/>
          <w:sz w:val="32"/>
          <w:szCs w:val="26"/>
        </w:rPr>
        <w:commentReference w:id="356"/>
      </w:r>
      <w:bookmarkEnd w:id="355"/>
    </w:p>
    <w:p w14:paraId="05927066" w14:textId="619C66AB" w:rsidR="005B3AC3" w:rsidRPr="005B3AC3" w:rsidRDefault="005B3AC3" w:rsidP="005B3AC3">
      <w:pPr>
        <w:pStyle w:val="BodyText"/>
        <w:jc w:val="both"/>
        <w:rPr>
          <w:rFonts w:asciiTheme="minorHAnsi" w:eastAsiaTheme="minorEastAsia" w:hAnsiTheme="minorHAnsi" w:cstheme="minorBidi"/>
          <w:szCs w:val="24"/>
        </w:rPr>
      </w:pPr>
      <w:r w:rsidRPr="5EE64696">
        <w:rPr>
          <w:szCs w:val="24"/>
        </w:rPr>
        <w:t xml:space="preserve">Large-scale deployment of electric vehicle charging as part of </w:t>
      </w:r>
      <w:r w:rsidR="00AA5CFE" w:rsidRPr="5EE64696">
        <w:rPr>
          <w:szCs w:val="24"/>
        </w:rPr>
        <w:t xml:space="preserve">the </w:t>
      </w:r>
      <w:r w:rsidR="003C663F" w:rsidRPr="5EE64696">
        <w:rPr>
          <w:szCs w:val="24"/>
        </w:rPr>
        <w:t>DER</w:t>
      </w:r>
      <w:r w:rsidRPr="5EE64696">
        <w:rPr>
          <w:szCs w:val="24"/>
        </w:rPr>
        <w:t xml:space="preserve"> ecosystem fundamentally alters the risk profile of charging infrastructure. As EVSE assets increasingly operate alongside rooftop solar, battery systems, and demand response programs, they become active participants in grid dynamics rather than passive loads. While a single compromised charger may have a limited operational impact, coordinated manipulation of thousands of devices can generate demand shifts comparable to large industrial loads or distributed generation assets. The analysis demonstrated that under high DER penetration conditions, charging fleets effectively behave as distributed, controllable grid resources. Malicious </w:t>
      </w:r>
      <w:r w:rsidR="00B5639F" w:rsidRPr="5EE64696">
        <w:rPr>
          <w:szCs w:val="24"/>
        </w:rPr>
        <w:t>s</w:t>
      </w:r>
      <w:r w:rsidRPr="5EE64696">
        <w:rPr>
          <w:szCs w:val="24"/>
        </w:rPr>
        <w:t xml:space="preserve">ynchronised behaviour can introduce feeder stress, voltage instability, </w:t>
      </w:r>
      <w:r w:rsidR="00B5639F" w:rsidRPr="5EE64696">
        <w:rPr>
          <w:szCs w:val="24"/>
        </w:rPr>
        <w:t>and</w:t>
      </w:r>
      <w:r w:rsidRPr="5EE64696">
        <w:rPr>
          <w:szCs w:val="24"/>
        </w:rPr>
        <w:t xml:space="preserve"> balancing challenges across the distribution network. Device-level compromise can therefore escalate into systemic grid exposure. Charging infrastructure must consequently be treated as critical grid-connected DER assets requiring enforceable device-level trust guarantees rather than conventional consumer-grade security controls.</w:t>
      </w:r>
    </w:p>
    <w:p w14:paraId="22238879" w14:textId="3B438955" w:rsidR="005B3AC3" w:rsidRDefault="00313039" w:rsidP="005B3AC3">
      <w:pPr>
        <w:pStyle w:val="BodyText"/>
        <w:jc w:val="both"/>
        <w:rPr>
          <w:rFonts w:asciiTheme="minorHAnsi" w:eastAsiaTheme="minorEastAsia" w:hAnsiTheme="minorHAnsi" w:cstheme="minorBidi"/>
          <w:szCs w:val="24"/>
        </w:rPr>
      </w:pPr>
      <w:r w:rsidRPr="5EE64696">
        <w:rPr>
          <w:szCs w:val="24"/>
        </w:rPr>
        <w:t xml:space="preserve">Key </w:t>
      </w:r>
      <w:r w:rsidR="00A70BC3" w:rsidRPr="5EE64696">
        <w:rPr>
          <w:szCs w:val="24"/>
        </w:rPr>
        <w:t xml:space="preserve">implications for the Australian Electricity Sector: </w:t>
      </w:r>
    </w:p>
    <w:p w14:paraId="7E82ACB7" w14:textId="5EFF6367" w:rsidR="00A70BC3" w:rsidRPr="000F2F97" w:rsidRDefault="00A70BC3" w:rsidP="000F2F97">
      <w:pPr>
        <w:pStyle w:val="BodyText"/>
        <w:numPr>
          <w:ilvl w:val="0"/>
          <w:numId w:val="82"/>
        </w:numPr>
        <w:jc w:val="both"/>
        <w:rPr>
          <w:rFonts w:asciiTheme="minorHAnsi" w:eastAsiaTheme="minorEastAsia" w:hAnsiTheme="minorHAnsi" w:cstheme="minorBidi"/>
          <w:szCs w:val="24"/>
        </w:rPr>
      </w:pPr>
      <w:r w:rsidRPr="5EE64696">
        <w:rPr>
          <w:szCs w:val="24"/>
        </w:rPr>
        <w:t xml:space="preserve">EVSE fleets must be recognised as Grid-interactive DERs rather than passive consumer </w:t>
      </w:r>
      <w:r w:rsidR="00C01F84" w:rsidRPr="5EE64696">
        <w:rPr>
          <w:szCs w:val="24"/>
        </w:rPr>
        <w:t>systems</w:t>
      </w:r>
      <w:r w:rsidRPr="5EE64696">
        <w:rPr>
          <w:szCs w:val="24"/>
        </w:rPr>
        <w:t xml:space="preserve">. </w:t>
      </w:r>
    </w:p>
    <w:p w14:paraId="58BC692B" w14:textId="06AD9EC7" w:rsidR="000F2F97" w:rsidRPr="000F2F97" w:rsidRDefault="000F2F97" w:rsidP="000F2F97">
      <w:pPr>
        <w:pStyle w:val="BodyText"/>
        <w:numPr>
          <w:ilvl w:val="0"/>
          <w:numId w:val="82"/>
        </w:numPr>
        <w:jc w:val="both"/>
        <w:rPr>
          <w:rFonts w:asciiTheme="minorHAnsi" w:eastAsiaTheme="minorEastAsia" w:hAnsiTheme="minorHAnsi" w:cstheme="minorBidi"/>
          <w:szCs w:val="24"/>
        </w:rPr>
      </w:pPr>
      <w:r w:rsidRPr="5EE64696">
        <w:rPr>
          <w:szCs w:val="24"/>
        </w:rPr>
        <w:t>Device-level cybersecurity assurance directly influences distribution network stability under high penetration scenarios.</w:t>
      </w:r>
    </w:p>
    <w:p w14:paraId="6F3F7C4A" w14:textId="23C103E2" w:rsidR="000F2F97" w:rsidRPr="000F2F97" w:rsidRDefault="000F2F97" w:rsidP="000F2F97">
      <w:pPr>
        <w:pStyle w:val="BodyText"/>
        <w:numPr>
          <w:ilvl w:val="0"/>
          <w:numId w:val="82"/>
        </w:numPr>
        <w:jc w:val="both"/>
        <w:rPr>
          <w:rFonts w:asciiTheme="minorHAnsi" w:eastAsiaTheme="minorEastAsia" w:hAnsiTheme="minorHAnsi" w:cstheme="minorBidi"/>
          <w:szCs w:val="24"/>
        </w:rPr>
      </w:pPr>
      <w:r w:rsidRPr="5EE64696">
        <w:rPr>
          <w:szCs w:val="24"/>
        </w:rPr>
        <w:t>Grid planning and DER integration frameworks should incorporate adversarial load-manipulation modelling.</w:t>
      </w:r>
    </w:p>
    <w:p w14:paraId="3F432FE6" w14:textId="205F22F9" w:rsidR="000F2F97" w:rsidRPr="000F2F97" w:rsidRDefault="000F2F97" w:rsidP="000F2F97">
      <w:pPr>
        <w:pStyle w:val="BodyText"/>
        <w:numPr>
          <w:ilvl w:val="0"/>
          <w:numId w:val="82"/>
        </w:numPr>
        <w:jc w:val="both"/>
        <w:rPr>
          <w:rFonts w:asciiTheme="minorHAnsi" w:eastAsiaTheme="minorEastAsia" w:hAnsiTheme="minorHAnsi" w:cstheme="minorBidi"/>
          <w:szCs w:val="24"/>
        </w:rPr>
      </w:pPr>
      <w:r w:rsidRPr="5EE64696">
        <w:rPr>
          <w:szCs w:val="24"/>
        </w:rPr>
        <w:t>Firmware integrity and command validation must be treated as grid-reliability controls.</w:t>
      </w:r>
    </w:p>
    <w:p w14:paraId="56389A36" w14:textId="1528A7CD" w:rsidR="000F2F97" w:rsidRPr="000F2F97" w:rsidRDefault="000F2F97" w:rsidP="000F2F97">
      <w:pPr>
        <w:pStyle w:val="BodyText"/>
        <w:numPr>
          <w:ilvl w:val="0"/>
          <w:numId w:val="82"/>
        </w:numPr>
        <w:jc w:val="both"/>
        <w:rPr>
          <w:rFonts w:asciiTheme="minorHAnsi" w:eastAsiaTheme="minorEastAsia" w:hAnsiTheme="minorHAnsi" w:cstheme="minorBidi"/>
          <w:szCs w:val="24"/>
        </w:rPr>
      </w:pPr>
      <w:r w:rsidRPr="5EE64696">
        <w:rPr>
          <w:szCs w:val="24"/>
        </w:rPr>
        <w:t>Sovereign verification mechanisms are required to ensure the ongoing integrity of imported charging hardware.</w:t>
      </w:r>
    </w:p>
    <w:p w14:paraId="0C830585" w14:textId="14D3D668" w:rsidR="000F2F97" w:rsidRDefault="000F2F97" w:rsidP="000F2F97">
      <w:pPr>
        <w:pStyle w:val="BodyText"/>
        <w:numPr>
          <w:ilvl w:val="0"/>
          <w:numId w:val="82"/>
        </w:numPr>
        <w:jc w:val="both"/>
        <w:rPr>
          <w:rFonts w:asciiTheme="minorHAnsi" w:eastAsiaTheme="minorEastAsia" w:hAnsiTheme="minorHAnsi" w:cstheme="minorBidi"/>
          <w:szCs w:val="24"/>
        </w:rPr>
      </w:pPr>
      <w:r w:rsidRPr="5EE64696">
        <w:rPr>
          <w:szCs w:val="24"/>
        </w:rPr>
        <w:t>Regulatory standards should mandate enforceable trust boundaries within grid-connected charging devices.</w:t>
      </w:r>
    </w:p>
    <w:p w14:paraId="0A9A86FD" w14:textId="0B3EE86C" w:rsidR="003D1E49" w:rsidRPr="000F2F97" w:rsidRDefault="00E57362" w:rsidP="00E57362">
      <w:pPr>
        <w:pStyle w:val="Heading2"/>
        <w:rPr>
          <w:rFonts w:asciiTheme="minorHAnsi" w:eastAsiaTheme="minorEastAsia" w:hAnsiTheme="minorHAnsi" w:cstheme="minorBidi"/>
        </w:rPr>
      </w:pPr>
      <w:bookmarkStart w:id="357" w:name="_Toc234310846"/>
      <w:r>
        <w:t>Sovereign Assurance Requirements</w:t>
      </w:r>
      <w:bookmarkEnd w:id="357"/>
    </w:p>
    <w:p w14:paraId="047A37F1" w14:textId="0F8DA76E" w:rsidR="00A70BC3" w:rsidRPr="00A70BC3" w:rsidRDefault="00E57362" w:rsidP="00440B83">
      <w:pPr>
        <w:jc w:val="both"/>
        <w:rPr>
          <w:rFonts w:asciiTheme="minorHAnsi" w:eastAsiaTheme="minorEastAsia" w:hAnsiTheme="minorHAnsi" w:cstheme="minorBidi"/>
          <w:sz w:val="24"/>
          <w:szCs w:val="24"/>
        </w:rPr>
      </w:pPr>
      <w:r w:rsidRPr="5EE64696">
        <w:rPr>
          <w:sz w:val="24"/>
          <w:szCs w:val="24"/>
        </w:rPr>
        <w:t xml:space="preserve">The risk patterns identified during the threat modelling exercise highlighted firmware integrity and trust </w:t>
      </w:r>
      <w:r w:rsidR="004713AC" w:rsidRPr="5EE64696">
        <w:rPr>
          <w:sz w:val="24"/>
          <w:szCs w:val="24"/>
        </w:rPr>
        <w:t xml:space="preserve">as </w:t>
      </w:r>
      <w:r w:rsidRPr="5EE64696">
        <w:rPr>
          <w:sz w:val="24"/>
          <w:szCs w:val="24"/>
        </w:rPr>
        <w:t xml:space="preserve">key </w:t>
      </w:r>
      <w:r w:rsidR="009344B6" w:rsidRPr="5EE64696">
        <w:rPr>
          <w:sz w:val="24"/>
          <w:szCs w:val="24"/>
        </w:rPr>
        <w:t>challenges</w:t>
      </w:r>
      <w:r w:rsidRPr="5EE64696">
        <w:rPr>
          <w:sz w:val="24"/>
          <w:szCs w:val="24"/>
        </w:rPr>
        <w:t xml:space="preserve"> </w:t>
      </w:r>
      <w:r w:rsidR="00483BD2" w:rsidRPr="5EE64696">
        <w:rPr>
          <w:sz w:val="24"/>
          <w:szCs w:val="24"/>
        </w:rPr>
        <w:t>originating</w:t>
      </w:r>
      <w:r w:rsidRPr="5EE64696">
        <w:rPr>
          <w:sz w:val="24"/>
          <w:szCs w:val="24"/>
        </w:rPr>
        <w:t xml:space="preserve"> form EVSE supply chain and </w:t>
      </w:r>
      <w:r w:rsidR="00A633E2" w:rsidRPr="5EE64696">
        <w:rPr>
          <w:sz w:val="24"/>
          <w:szCs w:val="24"/>
        </w:rPr>
        <w:t xml:space="preserve">a </w:t>
      </w:r>
      <w:r w:rsidRPr="5EE64696">
        <w:rPr>
          <w:sz w:val="24"/>
          <w:szCs w:val="24"/>
        </w:rPr>
        <w:t xml:space="preserve">lack of secure by design practices. This demonstrates that the conventional </w:t>
      </w:r>
      <w:r w:rsidR="00483BD2" w:rsidRPr="5EE64696">
        <w:rPr>
          <w:sz w:val="24"/>
          <w:szCs w:val="24"/>
        </w:rPr>
        <w:t>cybersecurity</w:t>
      </w:r>
      <w:r w:rsidRPr="5EE64696">
        <w:rPr>
          <w:sz w:val="24"/>
          <w:szCs w:val="24"/>
        </w:rPr>
        <w:t xml:space="preserve"> </w:t>
      </w:r>
      <w:r w:rsidR="00440B83" w:rsidRPr="5EE64696">
        <w:rPr>
          <w:sz w:val="24"/>
          <w:szCs w:val="24"/>
        </w:rPr>
        <w:t>practices</w:t>
      </w:r>
      <w:r w:rsidRPr="5EE64696">
        <w:rPr>
          <w:sz w:val="24"/>
          <w:szCs w:val="24"/>
        </w:rPr>
        <w:t xml:space="preserve"> with less focus on DERs grid connectivity and EVSE design and </w:t>
      </w:r>
      <w:r w:rsidR="00483BD2" w:rsidRPr="5EE64696">
        <w:rPr>
          <w:sz w:val="24"/>
          <w:szCs w:val="24"/>
        </w:rPr>
        <w:t>governance</w:t>
      </w:r>
      <w:r w:rsidRPr="5EE64696">
        <w:rPr>
          <w:sz w:val="24"/>
          <w:szCs w:val="24"/>
        </w:rPr>
        <w:t xml:space="preserve"> principles </w:t>
      </w:r>
      <w:r w:rsidR="00440B83" w:rsidRPr="5EE64696">
        <w:rPr>
          <w:sz w:val="24"/>
          <w:szCs w:val="24"/>
        </w:rPr>
        <w:t>need</w:t>
      </w:r>
      <w:r w:rsidRPr="5EE64696">
        <w:rPr>
          <w:sz w:val="24"/>
          <w:szCs w:val="24"/>
        </w:rPr>
        <w:t xml:space="preserve"> to be enhanced</w:t>
      </w:r>
      <w:r w:rsidR="00440B83" w:rsidRPr="5EE64696">
        <w:rPr>
          <w:sz w:val="24"/>
          <w:szCs w:val="24"/>
        </w:rPr>
        <w:t xml:space="preserve">, considering </w:t>
      </w:r>
      <w:r w:rsidR="00A8445A">
        <w:rPr>
          <w:sz w:val="24"/>
          <w:szCs w:val="24"/>
        </w:rPr>
        <w:t xml:space="preserve">the </w:t>
      </w:r>
      <w:r w:rsidR="00440B83" w:rsidRPr="5EE64696">
        <w:rPr>
          <w:sz w:val="24"/>
          <w:szCs w:val="24"/>
        </w:rPr>
        <w:t>cyber-physical complexity of these systems</w:t>
      </w:r>
      <w:r w:rsidRPr="5EE64696">
        <w:rPr>
          <w:sz w:val="24"/>
          <w:szCs w:val="24"/>
        </w:rPr>
        <w:t xml:space="preserve">. </w:t>
      </w:r>
      <w:r w:rsidR="00714AB0" w:rsidRPr="5EE64696">
        <w:rPr>
          <w:sz w:val="24"/>
          <w:szCs w:val="24"/>
        </w:rPr>
        <w:t>A core</w:t>
      </w:r>
      <w:r w:rsidR="00423B0A" w:rsidRPr="5EE64696">
        <w:rPr>
          <w:sz w:val="24"/>
          <w:szCs w:val="24"/>
        </w:rPr>
        <w:t xml:space="preserve"> lesson from this project is that </w:t>
      </w:r>
      <w:r w:rsidR="00AA5336" w:rsidRPr="5EE64696">
        <w:rPr>
          <w:sz w:val="24"/>
          <w:szCs w:val="24"/>
        </w:rPr>
        <w:t>device-level</w:t>
      </w:r>
      <w:r w:rsidR="00423B0A" w:rsidRPr="5EE64696">
        <w:rPr>
          <w:sz w:val="24"/>
          <w:szCs w:val="24"/>
        </w:rPr>
        <w:t xml:space="preserve"> trust (EV charging station) must be enforceable, </w:t>
      </w:r>
      <w:r w:rsidR="00F71D21" w:rsidRPr="5EE64696">
        <w:rPr>
          <w:sz w:val="24"/>
          <w:szCs w:val="24"/>
        </w:rPr>
        <w:t>non-bypassable</w:t>
      </w:r>
      <w:r w:rsidR="00AA5336" w:rsidRPr="5EE64696">
        <w:rPr>
          <w:sz w:val="24"/>
          <w:szCs w:val="24"/>
        </w:rPr>
        <w:t>,</w:t>
      </w:r>
      <w:r w:rsidR="00423B0A" w:rsidRPr="5EE64696">
        <w:rPr>
          <w:sz w:val="24"/>
          <w:szCs w:val="24"/>
        </w:rPr>
        <w:t xml:space="preserve"> and should be independently verifiable.</w:t>
      </w:r>
      <w:r w:rsidR="002F35BB" w:rsidRPr="5EE64696">
        <w:rPr>
          <w:sz w:val="24"/>
          <w:szCs w:val="24"/>
        </w:rPr>
        <w:t xml:space="preserve"> </w:t>
      </w:r>
      <w:r w:rsidR="00423B0A" w:rsidRPr="5EE64696">
        <w:rPr>
          <w:sz w:val="24"/>
          <w:szCs w:val="24"/>
        </w:rPr>
        <w:t xml:space="preserve"> </w:t>
      </w:r>
      <w:r w:rsidR="002F35BB" w:rsidRPr="5EE64696">
        <w:rPr>
          <w:sz w:val="24"/>
          <w:szCs w:val="24"/>
        </w:rPr>
        <w:t xml:space="preserve">Security controls implemented solely within application software </w:t>
      </w:r>
      <w:r w:rsidR="002E19EB" w:rsidRPr="5EE64696">
        <w:rPr>
          <w:sz w:val="24"/>
          <w:szCs w:val="24"/>
        </w:rPr>
        <w:t>and</w:t>
      </w:r>
      <w:r w:rsidR="002F35BB" w:rsidRPr="5EE64696">
        <w:rPr>
          <w:sz w:val="24"/>
          <w:szCs w:val="24"/>
        </w:rPr>
        <w:t xml:space="preserve"> communication stacks cannot guarantee containment once a compromise occurs. Structural separation between communication logic and physical power control is required to prevent escalation from network-layer compromise to </w:t>
      </w:r>
      <w:r w:rsidR="00AC1EDB" w:rsidRPr="5EE64696">
        <w:rPr>
          <w:sz w:val="24"/>
          <w:szCs w:val="24"/>
        </w:rPr>
        <w:t>Gr</w:t>
      </w:r>
      <w:r w:rsidR="002F35BB" w:rsidRPr="5EE64696">
        <w:rPr>
          <w:sz w:val="24"/>
          <w:szCs w:val="24"/>
        </w:rPr>
        <w:t>id-impacting behaviour.</w:t>
      </w:r>
      <w:r w:rsidR="002151FC" w:rsidRPr="5EE64696">
        <w:rPr>
          <w:sz w:val="24"/>
          <w:szCs w:val="24"/>
        </w:rPr>
        <w:t xml:space="preserve"> The architectural response explored in this project demonstrates that enforceable </w:t>
      </w:r>
      <w:r w:rsidR="00F71D21" w:rsidRPr="5EE64696">
        <w:rPr>
          <w:sz w:val="24"/>
          <w:szCs w:val="24"/>
        </w:rPr>
        <w:t xml:space="preserve">security controls at </w:t>
      </w:r>
      <w:r w:rsidR="00AF7291" w:rsidRPr="5EE64696">
        <w:rPr>
          <w:sz w:val="24"/>
          <w:szCs w:val="24"/>
        </w:rPr>
        <w:t xml:space="preserve">the </w:t>
      </w:r>
      <w:r w:rsidR="00F71D21" w:rsidRPr="5EE64696">
        <w:rPr>
          <w:sz w:val="24"/>
          <w:szCs w:val="24"/>
        </w:rPr>
        <w:t xml:space="preserve">architectural level </w:t>
      </w:r>
      <w:r w:rsidR="002151FC" w:rsidRPr="5EE64696">
        <w:rPr>
          <w:sz w:val="24"/>
          <w:szCs w:val="24"/>
        </w:rPr>
        <w:t xml:space="preserve">can operate as grid-reliability safeguards rather than optional cybersecurity features. By embedding independent verification layers within charging devices, escalation pathways can be structurally constrained even under adversarial </w:t>
      </w:r>
      <w:r w:rsidR="00AF7291" w:rsidRPr="5EE64696">
        <w:rPr>
          <w:sz w:val="24"/>
          <w:szCs w:val="24"/>
        </w:rPr>
        <w:t>conditions</w:t>
      </w:r>
      <w:r w:rsidR="00F71D21" w:rsidRPr="5EE64696">
        <w:rPr>
          <w:sz w:val="24"/>
          <w:szCs w:val="24"/>
        </w:rPr>
        <w:t xml:space="preserve">. </w:t>
      </w:r>
    </w:p>
    <w:p w14:paraId="522070A7" w14:textId="7A96AD6D" w:rsidR="00B727A8" w:rsidRDefault="00B727A8" w:rsidP="5EE64696">
      <w:pPr>
        <w:jc w:val="both"/>
        <w:rPr>
          <w:rFonts w:asciiTheme="minorHAnsi" w:eastAsiaTheme="minorEastAsia" w:hAnsiTheme="minorHAnsi" w:cstheme="minorBidi"/>
          <w:sz w:val="24"/>
          <w:szCs w:val="24"/>
        </w:rPr>
      </w:pPr>
      <w:r w:rsidRPr="5EE64696">
        <w:rPr>
          <w:sz w:val="24"/>
          <w:szCs w:val="24"/>
        </w:rPr>
        <w:t xml:space="preserve">From </w:t>
      </w:r>
      <w:r w:rsidR="00AA5336" w:rsidRPr="5EE64696">
        <w:rPr>
          <w:sz w:val="24"/>
          <w:szCs w:val="24"/>
        </w:rPr>
        <w:t xml:space="preserve">an </w:t>
      </w:r>
      <w:r w:rsidRPr="5EE64696">
        <w:rPr>
          <w:sz w:val="24"/>
          <w:szCs w:val="24"/>
        </w:rPr>
        <w:t xml:space="preserve">Australian </w:t>
      </w:r>
      <w:r w:rsidR="00AF7291" w:rsidRPr="5EE64696">
        <w:rPr>
          <w:sz w:val="24"/>
          <w:szCs w:val="24"/>
        </w:rPr>
        <w:t>Electricity transition</w:t>
      </w:r>
      <w:r w:rsidRPr="5EE64696">
        <w:rPr>
          <w:sz w:val="24"/>
          <w:szCs w:val="24"/>
        </w:rPr>
        <w:t xml:space="preserve"> perspective</w:t>
      </w:r>
      <w:r w:rsidR="00AA5336" w:rsidRPr="5EE64696">
        <w:rPr>
          <w:sz w:val="24"/>
          <w:szCs w:val="24"/>
        </w:rPr>
        <w:t>,</w:t>
      </w:r>
      <w:r w:rsidRPr="5EE64696">
        <w:rPr>
          <w:sz w:val="24"/>
          <w:szCs w:val="24"/>
        </w:rPr>
        <w:t xml:space="preserve"> this signals a shift towards </w:t>
      </w:r>
      <w:r w:rsidR="00AA5336" w:rsidRPr="5EE64696">
        <w:rPr>
          <w:sz w:val="24"/>
          <w:szCs w:val="24"/>
        </w:rPr>
        <w:t>sovereign-aligned</w:t>
      </w:r>
      <w:r w:rsidRPr="5EE64696">
        <w:rPr>
          <w:sz w:val="24"/>
          <w:szCs w:val="24"/>
        </w:rPr>
        <w:t xml:space="preserve"> assurance mechanisms. As DERs penetration accelerates</w:t>
      </w:r>
      <w:r w:rsidR="00AA5336" w:rsidRPr="5EE64696">
        <w:rPr>
          <w:sz w:val="24"/>
          <w:szCs w:val="24"/>
        </w:rPr>
        <w:t>,</w:t>
      </w:r>
      <w:r w:rsidRPr="5EE64696">
        <w:rPr>
          <w:sz w:val="24"/>
          <w:szCs w:val="24"/>
        </w:rPr>
        <w:t xml:space="preserve"> </w:t>
      </w:r>
      <w:r w:rsidR="00AA5336" w:rsidRPr="5EE64696">
        <w:rPr>
          <w:sz w:val="24"/>
          <w:szCs w:val="24"/>
        </w:rPr>
        <w:t>regulatory</w:t>
      </w:r>
      <w:r w:rsidRPr="5EE64696">
        <w:rPr>
          <w:sz w:val="24"/>
          <w:szCs w:val="24"/>
        </w:rPr>
        <w:t xml:space="preserve"> and planning frameworks must </w:t>
      </w:r>
      <w:r w:rsidR="00AA5336" w:rsidRPr="5EE64696">
        <w:rPr>
          <w:sz w:val="24"/>
          <w:szCs w:val="24"/>
        </w:rPr>
        <w:t>incorporate</w:t>
      </w:r>
      <w:r w:rsidRPr="5EE64696">
        <w:rPr>
          <w:sz w:val="24"/>
          <w:szCs w:val="24"/>
        </w:rPr>
        <w:t>:</w:t>
      </w:r>
    </w:p>
    <w:p w14:paraId="064F4A29" w14:textId="10C92DD7" w:rsidR="00B727A8" w:rsidRPr="005E16C6" w:rsidRDefault="00AA5336" w:rsidP="5EE64696">
      <w:pPr>
        <w:pStyle w:val="ListParagraph"/>
        <w:numPr>
          <w:ilvl w:val="0"/>
          <w:numId w:val="83"/>
        </w:numPr>
        <w:jc w:val="both"/>
        <w:rPr>
          <w:rFonts w:asciiTheme="minorHAnsi" w:eastAsiaTheme="minorEastAsia" w:hAnsiTheme="minorHAnsi" w:cstheme="minorBidi"/>
        </w:rPr>
      </w:pPr>
      <w:r w:rsidRPr="5EE64696">
        <w:t>Enforce</w:t>
      </w:r>
      <w:r w:rsidR="00A40CEB" w:rsidRPr="5EE64696">
        <w:t xml:space="preserve"> </w:t>
      </w:r>
      <w:r w:rsidRPr="5EE64696">
        <w:t>device-level</w:t>
      </w:r>
      <w:r w:rsidR="00A40CEB" w:rsidRPr="5EE64696">
        <w:t xml:space="preserve"> </w:t>
      </w:r>
      <w:r w:rsidR="001A66A6">
        <w:t>integrity</w:t>
      </w:r>
      <w:r w:rsidRPr="5EE64696">
        <w:t>,</w:t>
      </w:r>
      <w:r w:rsidR="00A40CEB" w:rsidRPr="5EE64696">
        <w:t xml:space="preserve"> applying security by </w:t>
      </w:r>
      <w:r w:rsidRPr="5EE64696">
        <w:t>design</w:t>
      </w:r>
      <w:r w:rsidR="00A40CEB" w:rsidRPr="5EE64696">
        <w:t xml:space="preserve"> principles.</w:t>
      </w:r>
    </w:p>
    <w:p w14:paraId="5A5B6F9C" w14:textId="48E8A3F8" w:rsidR="00A40CEB" w:rsidRPr="005E16C6" w:rsidRDefault="00F432E4" w:rsidP="5EE64696">
      <w:pPr>
        <w:pStyle w:val="ListParagraph"/>
        <w:numPr>
          <w:ilvl w:val="0"/>
          <w:numId w:val="83"/>
        </w:numPr>
        <w:jc w:val="both"/>
        <w:rPr>
          <w:rFonts w:asciiTheme="minorHAnsi" w:eastAsiaTheme="minorEastAsia" w:hAnsiTheme="minorHAnsi" w:cstheme="minorBidi"/>
        </w:rPr>
      </w:pPr>
      <w:r w:rsidRPr="5EE64696">
        <w:t>Integrity verification and validation at each layer of the local device</w:t>
      </w:r>
      <w:r w:rsidR="00AA5336" w:rsidRPr="5EE64696">
        <w:t>,</w:t>
      </w:r>
      <w:r w:rsidRPr="5EE64696">
        <w:t xml:space="preserve"> from firmware to </w:t>
      </w:r>
      <w:r w:rsidR="00AA5336" w:rsidRPr="5EE64696">
        <w:t>operational</w:t>
      </w:r>
      <w:r w:rsidRPr="5EE64696">
        <w:t xml:space="preserve"> control.</w:t>
      </w:r>
    </w:p>
    <w:p w14:paraId="1B41AE9B" w14:textId="7E2DEB87" w:rsidR="00F432E4" w:rsidRPr="005E16C6" w:rsidRDefault="00AA5336" w:rsidP="5EE64696">
      <w:pPr>
        <w:pStyle w:val="ListParagraph"/>
        <w:numPr>
          <w:ilvl w:val="0"/>
          <w:numId w:val="83"/>
        </w:numPr>
        <w:jc w:val="both"/>
        <w:rPr>
          <w:rFonts w:asciiTheme="minorHAnsi" w:eastAsiaTheme="minorEastAsia" w:hAnsiTheme="minorHAnsi" w:cstheme="minorBidi"/>
        </w:rPr>
      </w:pPr>
      <w:r w:rsidRPr="5EE64696">
        <w:t>Enforce</w:t>
      </w:r>
      <w:r w:rsidR="00AF7291" w:rsidRPr="5EE64696">
        <w:t xml:space="preserve"> attestation </w:t>
      </w:r>
      <w:r w:rsidRPr="5EE64696">
        <w:t>capabilities</w:t>
      </w:r>
      <w:r w:rsidR="00AF7291" w:rsidRPr="5EE64696">
        <w:t xml:space="preserve"> for remote compliance verification.</w:t>
      </w:r>
    </w:p>
    <w:p w14:paraId="47933988" w14:textId="4ABF98D4" w:rsidR="00AF7291" w:rsidRPr="005E16C6" w:rsidRDefault="00AF7291" w:rsidP="5EE64696">
      <w:pPr>
        <w:pStyle w:val="ListParagraph"/>
        <w:numPr>
          <w:ilvl w:val="0"/>
          <w:numId w:val="83"/>
        </w:numPr>
        <w:jc w:val="both"/>
        <w:rPr>
          <w:rFonts w:asciiTheme="minorHAnsi" w:eastAsiaTheme="minorEastAsia" w:hAnsiTheme="minorHAnsi" w:cstheme="minorBidi"/>
        </w:rPr>
      </w:pPr>
      <w:r w:rsidRPr="5EE64696">
        <w:t xml:space="preserve">Design level containment of </w:t>
      </w:r>
      <w:r w:rsidR="00AA5336" w:rsidRPr="5EE64696">
        <w:t>escalation</w:t>
      </w:r>
      <w:r w:rsidRPr="5EE64696">
        <w:t xml:space="preserve"> </w:t>
      </w:r>
      <w:r w:rsidR="00AA5336" w:rsidRPr="5EE64696">
        <w:t>pathways</w:t>
      </w:r>
      <w:r w:rsidRPr="5EE64696">
        <w:t xml:space="preserve"> instead of only focusing </w:t>
      </w:r>
      <w:r w:rsidR="00AA5336" w:rsidRPr="5EE64696">
        <w:t xml:space="preserve">on </w:t>
      </w:r>
      <w:r w:rsidRPr="5EE64696">
        <w:t xml:space="preserve">runtime </w:t>
      </w:r>
      <w:r w:rsidR="00AA5336" w:rsidRPr="5EE64696">
        <w:t>monitoring</w:t>
      </w:r>
      <w:r w:rsidRPr="5EE64696">
        <w:t xml:space="preserve">. </w:t>
      </w:r>
    </w:p>
    <w:p w14:paraId="70BD48E6" w14:textId="32130187" w:rsidR="005E16C6" w:rsidRPr="005E16C6" w:rsidRDefault="005E16C6" w:rsidP="005E16C6">
      <w:pPr>
        <w:jc w:val="both"/>
        <w:rPr>
          <w:rFonts w:asciiTheme="minorHAnsi" w:eastAsiaTheme="minorEastAsia" w:hAnsiTheme="minorHAnsi" w:cstheme="minorBidi"/>
          <w:sz w:val="24"/>
          <w:szCs w:val="24"/>
        </w:rPr>
      </w:pPr>
      <w:r w:rsidRPr="5EE64696">
        <w:rPr>
          <w:sz w:val="24"/>
          <w:szCs w:val="24"/>
        </w:rPr>
        <w:t>The project demonstrates that these requirements are technically feasible and operationally compatible with distributed coordination platforms. More importantly, they are necessary to ensure that the rapid electrification of transport does not introduce unmanaged systemic exposure into the national grid.</w:t>
      </w:r>
    </w:p>
    <w:p w14:paraId="7A8CC991" w14:textId="111F4AEF" w:rsidR="009D0C30" w:rsidRPr="009D0C30" w:rsidRDefault="009D0C30" w:rsidP="009D0C30">
      <w:pPr>
        <w:pStyle w:val="Heading1"/>
        <w:ind w:left="1134" w:hanging="1134"/>
        <w:rPr>
          <w:rFonts w:asciiTheme="minorHAnsi" w:eastAsiaTheme="minorEastAsia" w:hAnsiTheme="minorHAnsi" w:cstheme="minorBidi"/>
        </w:rPr>
      </w:pPr>
      <w:bookmarkStart w:id="358" w:name="_Toc222954518"/>
      <w:bookmarkStart w:id="359" w:name="_Toc223022385"/>
      <w:bookmarkStart w:id="360" w:name="_Toc234310847"/>
      <w:r w:rsidRPr="009D0C30">
        <w:t>Future work</w:t>
      </w:r>
      <w:bookmarkEnd w:id="358"/>
      <w:bookmarkEnd w:id="359"/>
      <w:bookmarkEnd w:id="360"/>
      <w:r w:rsidRPr="009D0C30">
        <w:t xml:space="preserve">  </w:t>
      </w:r>
    </w:p>
    <w:p w14:paraId="10919AE7" w14:textId="5D972F76" w:rsidR="009A240B" w:rsidRPr="00B814E4" w:rsidRDefault="074BF765" w:rsidP="00B814E4">
      <w:pPr>
        <w:pStyle w:val="BodyText"/>
        <w:jc w:val="both"/>
        <w:rPr>
          <w:rFonts w:asciiTheme="minorHAnsi" w:eastAsiaTheme="minorEastAsia" w:hAnsiTheme="minorHAnsi" w:cstheme="minorBidi"/>
          <w:szCs w:val="24"/>
        </w:rPr>
      </w:pPr>
      <w:r w:rsidRPr="47E4A548">
        <w:rPr>
          <w:szCs w:val="24"/>
        </w:rPr>
        <w:t>AR-PST Topic 9 (DER and Stability) has made significant progress in advancing dynamic modelling, inverter behaviour analysis, and weak-grid performance assessment, thereby strengthening the physical stability foundations of Australia’s high-DER transition. However, as DER ecosystems become increasingly digitalise</w:t>
      </w:r>
      <w:r w:rsidR="5BAE8C63" w:rsidRPr="47E4A548">
        <w:rPr>
          <w:szCs w:val="24"/>
        </w:rPr>
        <w:t xml:space="preserve">d, </w:t>
      </w:r>
      <w:r w:rsidRPr="47E4A548">
        <w:rPr>
          <w:szCs w:val="24"/>
        </w:rPr>
        <w:t>cybersecurity must be recognised not simply as an IT issue, but as a material driver of dynamic system stability</w:t>
      </w:r>
      <w:r w:rsidR="507C485D" w:rsidRPr="47E4A548">
        <w:rPr>
          <w:szCs w:val="24"/>
        </w:rPr>
        <w:t>.</w:t>
      </w:r>
      <w:r w:rsidRPr="47E4A548">
        <w:rPr>
          <w:szCs w:val="24"/>
        </w:rPr>
        <w:t xml:space="preserve"> </w:t>
      </w:r>
      <w:r w:rsidR="213F1D4A" w:rsidRPr="47E4A548">
        <w:rPr>
          <w:szCs w:val="24"/>
        </w:rPr>
        <w:t xml:space="preserve">Thus, </w:t>
      </w:r>
      <w:r w:rsidRPr="47E4A548">
        <w:rPr>
          <w:szCs w:val="24"/>
        </w:rPr>
        <w:t>future research under Topic 9 should systematically integrate adv</w:t>
      </w:r>
      <w:r w:rsidR="6482D46D" w:rsidRPr="47E4A548">
        <w:rPr>
          <w:szCs w:val="24"/>
        </w:rPr>
        <w:t>anced</w:t>
      </w:r>
      <w:r w:rsidRPr="47E4A548">
        <w:rPr>
          <w:szCs w:val="24"/>
        </w:rPr>
        <w:t xml:space="preserve"> threat modelling, cyber-physical </w:t>
      </w:r>
      <w:r w:rsidR="5D27AFD6" w:rsidRPr="47E4A548">
        <w:rPr>
          <w:szCs w:val="24"/>
        </w:rPr>
        <w:t>security</w:t>
      </w:r>
      <w:r w:rsidRPr="47E4A548">
        <w:rPr>
          <w:szCs w:val="24"/>
        </w:rPr>
        <w:t xml:space="preserve"> analysis, and resilience within stability assessment and planning frameworks</w:t>
      </w:r>
      <w:r w:rsidR="28F18860" w:rsidRPr="47E4A548">
        <w:rPr>
          <w:szCs w:val="24"/>
        </w:rPr>
        <w:t>, discussed in the following subsections</w:t>
      </w:r>
      <w:r w:rsidRPr="47E4A548">
        <w:rPr>
          <w:szCs w:val="24"/>
        </w:rPr>
        <w:t>.</w:t>
      </w:r>
    </w:p>
    <w:p w14:paraId="79207D37" w14:textId="50699D98" w:rsidR="009A1215" w:rsidRDefault="009A1215" w:rsidP="00594B77">
      <w:pPr>
        <w:pStyle w:val="Heading2"/>
        <w:rPr>
          <w:rFonts w:asciiTheme="minorHAnsi" w:eastAsiaTheme="minorEastAsia" w:hAnsiTheme="minorHAnsi" w:cstheme="minorBidi"/>
        </w:rPr>
      </w:pPr>
      <w:bookmarkStart w:id="361" w:name="_Toc234310848"/>
      <w:r w:rsidRPr="004F1CA5">
        <w:t>AR-PST Topic 9 (DER and Stability</w:t>
      </w:r>
      <w:r w:rsidR="008E5486">
        <w:t>)</w:t>
      </w:r>
      <w:bookmarkEnd w:id="361"/>
    </w:p>
    <w:p w14:paraId="33D93C53" w14:textId="291BAE25" w:rsidR="007231C9" w:rsidRPr="004F1CA5" w:rsidRDefault="007231C9" w:rsidP="00EE14F4">
      <w:pPr>
        <w:spacing w:before="100" w:beforeAutospacing="1" w:after="100" w:afterAutospacing="1"/>
        <w:jc w:val="both"/>
        <w:rPr>
          <w:rFonts w:asciiTheme="minorHAnsi" w:eastAsia="Times New Roman" w:hAnsiTheme="minorHAnsi" w:cstheme="minorBidi"/>
          <w:color w:val="auto"/>
          <w:sz w:val="24"/>
          <w:szCs w:val="24"/>
        </w:rPr>
      </w:pPr>
      <w:r w:rsidRPr="47E4A548">
        <w:rPr>
          <w:rFonts w:asciiTheme="minorHAnsi" w:eastAsia="Times New Roman" w:hAnsiTheme="minorHAnsi" w:cstheme="minorBidi"/>
          <w:color w:val="auto"/>
          <w:sz w:val="24"/>
          <w:szCs w:val="24"/>
        </w:rPr>
        <w:t>While AR-PST Topic 9 (DER and Stability) prioritises enhanced DER dynamic modelling and inverter behaviour analysis under weak-grid conditions to maintain system security [</w:t>
      </w:r>
      <w:r w:rsidR="00DF4D74" w:rsidRPr="47E4A548">
        <w:rPr>
          <w:rFonts w:asciiTheme="minorHAnsi" w:eastAsia="Times New Roman" w:hAnsiTheme="minorHAnsi" w:cstheme="minorBidi"/>
          <w:color w:val="auto"/>
          <w:sz w:val="24"/>
          <w:szCs w:val="24"/>
        </w:rPr>
        <w:t>16</w:t>
      </w:r>
      <w:r w:rsidRPr="47E4A548">
        <w:rPr>
          <w:rFonts w:asciiTheme="minorHAnsi" w:eastAsia="Times New Roman" w:hAnsiTheme="minorHAnsi" w:cstheme="minorBidi"/>
          <w:color w:val="auto"/>
          <w:sz w:val="24"/>
          <w:szCs w:val="24"/>
        </w:rPr>
        <w:t xml:space="preserve">, </w:t>
      </w:r>
      <w:r w:rsidR="00DF4D74" w:rsidRPr="47E4A548">
        <w:rPr>
          <w:rFonts w:asciiTheme="minorHAnsi" w:eastAsia="Times New Roman" w:hAnsiTheme="minorHAnsi" w:cstheme="minorBidi"/>
          <w:color w:val="auto"/>
          <w:sz w:val="24"/>
          <w:szCs w:val="24"/>
        </w:rPr>
        <w:t>17</w:t>
      </w:r>
      <w:r w:rsidRPr="47E4A548">
        <w:rPr>
          <w:rFonts w:asciiTheme="minorHAnsi" w:eastAsia="Times New Roman" w:hAnsiTheme="minorHAnsi" w:cstheme="minorBidi"/>
          <w:color w:val="auto"/>
          <w:sz w:val="24"/>
          <w:szCs w:val="24"/>
        </w:rPr>
        <w:t xml:space="preserve">], the rapid digitalisation of DER ecosystems introduces an additional and increasingly material dimension of risk: cybersecurity-driven instability. Modern DER fleets depend on ICT-enabled control architectures, aggregation platforms, cloud-based coordination, and remote fleet management systems. This evolving cyber layer fundamentally alters the stability landscape, creating new pathways through which cyber can propagate into physical system disturbances. </w:t>
      </w:r>
    </w:p>
    <w:p w14:paraId="25233B0C" w14:textId="0AB6FBBE" w:rsidR="007231C9" w:rsidRPr="004F1CA5" w:rsidRDefault="007231C9" w:rsidP="00EE14F4">
      <w:pPr>
        <w:spacing w:before="100" w:beforeAutospacing="1" w:after="100" w:afterAutospacing="1"/>
        <w:jc w:val="both"/>
        <w:rPr>
          <w:rFonts w:asciiTheme="minorHAnsi" w:eastAsia="Times New Roman" w:hAnsiTheme="minorHAnsi" w:cstheme="minorBidi"/>
          <w:color w:val="auto"/>
          <w:sz w:val="24"/>
          <w:szCs w:val="24"/>
        </w:rPr>
      </w:pPr>
      <w:r w:rsidRPr="47E4A548">
        <w:rPr>
          <w:rFonts w:asciiTheme="minorHAnsi" w:eastAsia="Times New Roman" w:hAnsiTheme="minorHAnsi" w:cstheme="minorBidi"/>
          <w:color w:val="auto"/>
          <w:sz w:val="24"/>
          <w:szCs w:val="24"/>
        </w:rPr>
        <w:t>Stage 4 and Stage 5 reporting documents substantial progress in DER interaction studies, hardware testing, and modelling improvements that strengthen the physical stability evidence base [</w:t>
      </w:r>
      <w:r w:rsidR="00DF4D74" w:rsidRPr="47E4A548">
        <w:rPr>
          <w:rFonts w:asciiTheme="minorHAnsi" w:eastAsia="Times New Roman" w:hAnsiTheme="minorHAnsi" w:cstheme="minorBidi"/>
          <w:color w:val="auto"/>
          <w:sz w:val="24"/>
          <w:szCs w:val="24"/>
        </w:rPr>
        <w:t>16</w:t>
      </w:r>
      <w:r w:rsidRPr="47E4A548">
        <w:rPr>
          <w:rFonts w:asciiTheme="minorHAnsi" w:eastAsia="Times New Roman" w:hAnsiTheme="minorHAnsi" w:cstheme="minorBidi"/>
          <w:color w:val="auto"/>
          <w:sz w:val="24"/>
          <w:szCs w:val="24"/>
        </w:rPr>
        <w:t xml:space="preserve">, </w:t>
      </w:r>
      <w:r w:rsidR="00DF4D74" w:rsidRPr="47E4A548">
        <w:rPr>
          <w:rFonts w:asciiTheme="minorHAnsi" w:eastAsia="Times New Roman" w:hAnsiTheme="minorHAnsi" w:cstheme="minorBidi"/>
          <w:color w:val="auto"/>
          <w:sz w:val="24"/>
          <w:szCs w:val="24"/>
        </w:rPr>
        <w:t>17</w:t>
      </w:r>
      <w:r w:rsidRPr="47E4A548">
        <w:rPr>
          <w:rFonts w:asciiTheme="minorHAnsi" w:eastAsia="Times New Roman" w:hAnsiTheme="minorHAnsi" w:cstheme="minorBidi"/>
          <w:color w:val="auto"/>
          <w:sz w:val="24"/>
          <w:szCs w:val="24"/>
        </w:rPr>
        <w:t>]. However, from a cyber-physical systems perspective, several structural gaps remain that warrant targeted research attention:</w:t>
      </w:r>
    </w:p>
    <w:p w14:paraId="67376A81" w14:textId="77777777" w:rsidR="008262CA" w:rsidRPr="004F1CA5" w:rsidRDefault="007231C9" w:rsidP="47E4A548">
      <w:pPr>
        <w:pStyle w:val="ListParagraph"/>
        <w:numPr>
          <w:ilvl w:val="0"/>
          <w:numId w:val="38"/>
        </w:numPr>
        <w:spacing w:before="100" w:beforeAutospacing="1" w:after="100" w:afterAutospacing="1"/>
        <w:ind w:left="284" w:hanging="284"/>
        <w:jc w:val="both"/>
        <w:rPr>
          <w:rFonts w:asciiTheme="minorHAnsi" w:eastAsia="Times New Roman" w:hAnsiTheme="minorHAnsi" w:cstheme="minorHAnsi"/>
          <w:color w:val="auto"/>
        </w:rPr>
      </w:pPr>
      <w:r w:rsidRPr="004F1CA5">
        <w:rPr>
          <w:rFonts w:asciiTheme="minorHAnsi" w:eastAsia="Times New Roman" w:hAnsiTheme="minorHAnsi" w:cstheme="minorHAnsi"/>
          <w:b/>
          <w:bCs/>
          <w:color w:val="auto"/>
        </w:rPr>
        <w:t>Limited cyber-physical threat modelling within Topic 9.</w:t>
      </w:r>
    </w:p>
    <w:p w14:paraId="539CF9EC" w14:textId="121753CD" w:rsidR="007231C9" w:rsidRPr="00041E94" w:rsidRDefault="007231C9" w:rsidP="00EE14F4">
      <w:pPr>
        <w:pStyle w:val="ListParagraph"/>
        <w:spacing w:before="100" w:beforeAutospacing="1" w:after="100" w:afterAutospacing="1"/>
        <w:ind w:left="284"/>
        <w:jc w:val="both"/>
        <w:rPr>
          <w:rFonts w:asciiTheme="minorHAnsi" w:eastAsia="Times New Roman" w:hAnsiTheme="minorHAnsi" w:cstheme="minorBidi"/>
          <w:color w:val="auto"/>
        </w:rPr>
      </w:pPr>
      <w:r w:rsidRPr="47E4A548">
        <w:rPr>
          <w:rFonts w:asciiTheme="minorHAnsi" w:eastAsia="Times New Roman" w:hAnsiTheme="minorHAnsi" w:cstheme="minorBidi"/>
          <w:color w:val="auto"/>
        </w:rPr>
        <w:t xml:space="preserve">Current Topic 9 reporting is not structured around explicit attacker models, compromise pathways, or cyber-physical causality frameworks that systematically map cyber </w:t>
      </w:r>
      <w:r w:rsidR="00BB215C" w:rsidRPr="47E4A548">
        <w:rPr>
          <w:rFonts w:asciiTheme="minorHAnsi" w:eastAsia="Times New Roman" w:hAnsiTheme="minorHAnsi" w:cstheme="minorBidi"/>
          <w:color w:val="auto"/>
        </w:rPr>
        <w:t xml:space="preserve">incidents </w:t>
      </w:r>
      <w:r w:rsidRPr="47E4A548">
        <w:rPr>
          <w:rFonts w:asciiTheme="minorHAnsi" w:eastAsia="Times New Roman" w:hAnsiTheme="minorHAnsi" w:cstheme="minorBidi"/>
          <w:color w:val="auto"/>
        </w:rPr>
        <w:t>to stability outcomes. The absence of adversarial scenario modelling limits the ability to assess cybersecurity-driven stability risks alongside conventional disturbance analysis [</w:t>
      </w:r>
      <w:r w:rsidR="00DF4D74" w:rsidRPr="47E4A548">
        <w:rPr>
          <w:rFonts w:asciiTheme="minorHAnsi" w:eastAsia="Times New Roman" w:hAnsiTheme="minorHAnsi" w:cstheme="minorBidi"/>
          <w:color w:val="auto"/>
        </w:rPr>
        <w:t>16</w:t>
      </w:r>
      <w:r w:rsidRPr="47E4A548">
        <w:rPr>
          <w:rFonts w:asciiTheme="minorHAnsi" w:eastAsia="Times New Roman" w:hAnsiTheme="minorHAnsi" w:cstheme="minorBidi"/>
          <w:color w:val="auto"/>
        </w:rPr>
        <w:t xml:space="preserve">, </w:t>
      </w:r>
      <w:r w:rsidR="00DF4D74" w:rsidRPr="47E4A548">
        <w:rPr>
          <w:rFonts w:asciiTheme="minorHAnsi" w:eastAsia="Times New Roman" w:hAnsiTheme="minorHAnsi" w:cstheme="minorBidi"/>
          <w:color w:val="auto"/>
        </w:rPr>
        <w:t>17</w:t>
      </w:r>
      <w:r w:rsidRPr="47E4A548">
        <w:rPr>
          <w:rFonts w:asciiTheme="minorHAnsi" w:eastAsia="Times New Roman" w:hAnsiTheme="minorHAnsi" w:cstheme="minorBidi"/>
          <w:color w:val="auto"/>
        </w:rPr>
        <w:t>].</w:t>
      </w:r>
    </w:p>
    <w:p w14:paraId="39F0F970" w14:textId="77777777" w:rsidR="008262CA" w:rsidRPr="004F1CA5" w:rsidRDefault="007231C9" w:rsidP="47E4A548">
      <w:pPr>
        <w:pStyle w:val="ListParagraph"/>
        <w:numPr>
          <w:ilvl w:val="0"/>
          <w:numId w:val="38"/>
        </w:numPr>
        <w:spacing w:before="100" w:beforeAutospacing="1" w:after="100" w:afterAutospacing="1"/>
        <w:ind w:left="284" w:hanging="284"/>
        <w:jc w:val="both"/>
        <w:rPr>
          <w:rFonts w:asciiTheme="minorHAnsi" w:eastAsia="Times New Roman" w:hAnsiTheme="minorHAnsi" w:cstheme="minorHAnsi"/>
          <w:color w:val="auto"/>
        </w:rPr>
      </w:pPr>
      <w:r w:rsidRPr="004F1CA5">
        <w:rPr>
          <w:rFonts w:asciiTheme="minorHAnsi" w:eastAsia="Times New Roman" w:hAnsiTheme="minorHAnsi" w:cstheme="minorHAnsi"/>
          <w:b/>
          <w:bCs/>
          <w:color w:val="auto"/>
        </w:rPr>
        <w:t>Governance, incident response, and recovery for DER ecosystems.</w:t>
      </w:r>
    </w:p>
    <w:p w14:paraId="482CC646" w14:textId="1FCD72F1" w:rsidR="007231C9" w:rsidRPr="004F1CA5" w:rsidRDefault="007231C9" w:rsidP="00EE14F4">
      <w:pPr>
        <w:pStyle w:val="ListParagraph"/>
        <w:spacing w:before="100" w:beforeAutospacing="1" w:after="100" w:afterAutospacing="1"/>
        <w:ind w:left="284"/>
        <w:jc w:val="both"/>
        <w:rPr>
          <w:rFonts w:asciiTheme="minorHAnsi" w:eastAsia="Times New Roman" w:hAnsiTheme="minorHAnsi" w:cstheme="minorHAnsi"/>
          <w:color w:val="auto"/>
        </w:rPr>
      </w:pPr>
      <w:r w:rsidRPr="47E4A548">
        <w:rPr>
          <w:rFonts w:asciiTheme="minorHAnsi" w:eastAsia="Times New Roman" w:hAnsiTheme="minorHAnsi" w:cstheme="minorBidi"/>
          <w:color w:val="auto"/>
        </w:rPr>
        <w:t xml:space="preserve">Existing AR-PST stability work does not yet articulate research directions for coordinated response and recovery operating models for DER operators and aggregators during cyber-induced stability </w:t>
      </w:r>
      <w:r w:rsidR="004A69BE" w:rsidRPr="47E4A548">
        <w:rPr>
          <w:rFonts w:asciiTheme="minorHAnsi" w:eastAsia="Times New Roman" w:hAnsiTheme="minorHAnsi" w:cstheme="minorBidi"/>
          <w:color w:val="auto"/>
        </w:rPr>
        <w:t>events and incidents</w:t>
      </w:r>
      <w:r w:rsidRPr="47E4A548">
        <w:rPr>
          <w:rFonts w:asciiTheme="minorHAnsi" w:eastAsia="Times New Roman" w:hAnsiTheme="minorHAnsi" w:cstheme="minorBidi"/>
          <w:color w:val="auto"/>
        </w:rPr>
        <w:t>. This is despite the presence of broader sector governance frameworks, such as the AESCSF, that provide high-level cyber guidance but are not yet operationalised within DER stability contexts [</w:t>
      </w:r>
      <w:r w:rsidR="00C52B0C" w:rsidRPr="47E4A548">
        <w:rPr>
          <w:rFonts w:asciiTheme="minorHAnsi" w:eastAsia="Times New Roman" w:hAnsiTheme="minorHAnsi" w:cstheme="minorBidi"/>
          <w:color w:val="auto"/>
        </w:rPr>
        <w:t>18</w:t>
      </w:r>
      <w:r w:rsidRPr="47E4A548">
        <w:rPr>
          <w:rFonts w:asciiTheme="minorHAnsi" w:eastAsia="Times New Roman" w:hAnsiTheme="minorHAnsi" w:cstheme="minorBidi"/>
          <w:color w:val="auto"/>
        </w:rPr>
        <w:t>, 5</w:t>
      </w:r>
      <w:r w:rsidR="00767112" w:rsidRPr="47E4A548">
        <w:rPr>
          <w:rFonts w:asciiTheme="minorHAnsi" w:eastAsia="Times New Roman" w:hAnsiTheme="minorHAnsi" w:cstheme="minorBidi"/>
          <w:color w:val="auto"/>
        </w:rPr>
        <w:t>, 44</w:t>
      </w:r>
      <w:r w:rsidRPr="47E4A548">
        <w:rPr>
          <w:rFonts w:asciiTheme="minorHAnsi" w:eastAsia="Times New Roman" w:hAnsiTheme="minorHAnsi" w:cstheme="minorBidi"/>
          <w:color w:val="auto"/>
        </w:rPr>
        <w:t>].</w:t>
      </w:r>
    </w:p>
    <w:p w14:paraId="644E2CDB" w14:textId="77777777" w:rsidR="008262CA" w:rsidRPr="004F1CA5" w:rsidRDefault="007231C9" w:rsidP="47E4A548">
      <w:pPr>
        <w:pStyle w:val="ListParagraph"/>
        <w:numPr>
          <w:ilvl w:val="0"/>
          <w:numId w:val="38"/>
        </w:numPr>
        <w:spacing w:before="100" w:beforeAutospacing="1" w:after="100" w:afterAutospacing="1"/>
        <w:ind w:left="284" w:hanging="284"/>
        <w:jc w:val="both"/>
        <w:rPr>
          <w:rFonts w:asciiTheme="minorHAnsi" w:eastAsia="Times New Roman" w:hAnsiTheme="minorHAnsi" w:cstheme="minorHAnsi"/>
          <w:color w:val="auto"/>
        </w:rPr>
      </w:pPr>
      <w:r w:rsidRPr="004F1CA5">
        <w:rPr>
          <w:rFonts w:asciiTheme="minorHAnsi" w:eastAsia="Times New Roman" w:hAnsiTheme="minorHAnsi" w:cstheme="minorHAnsi"/>
          <w:b/>
          <w:bCs/>
          <w:color w:val="auto"/>
        </w:rPr>
        <w:t>Standards and assurance mechanisms at the DER edge.</w:t>
      </w:r>
    </w:p>
    <w:p w14:paraId="78BF48B6" w14:textId="11CB3446" w:rsidR="007231C9" w:rsidRPr="00041E94" w:rsidRDefault="007231C9" w:rsidP="00EE14F4">
      <w:pPr>
        <w:pStyle w:val="ListParagraph"/>
        <w:spacing w:before="100" w:beforeAutospacing="1" w:after="100" w:afterAutospacing="1"/>
        <w:ind w:left="284"/>
        <w:jc w:val="both"/>
        <w:rPr>
          <w:rFonts w:asciiTheme="minorHAnsi" w:eastAsia="Times New Roman" w:hAnsiTheme="minorHAnsi" w:cstheme="minorBidi"/>
          <w:color w:val="auto"/>
        </w:rPr>
      </w:pPr>
      <w:r w:rsidRPr="47E4A548">
        <w:rPr>
          <w:rFonts w:asciiTheme="minorHAnsi" w:eastAsia="Times New Roman" w:hAnsiTheme="minorHAnsi" w:cstheme="minorBidi"/>
          <w:color w:val="auto"/>
        </w:rPr>
        <w:t>As DER ecosystems decentralise, the need for cybersecurity standards, certification pathways, and security-by-design integration at the device and inverter level becomes increasingly critical. Australian grid cybersecurity road-mapping emphasises coordinated standards uplift, and international guidance (including NIST-aligned practices) provides relevant security patterns. However, the integration of these mechanisms into stability-aware DER frameworks remains underdeveloped [</w:t>
      </w:r>
      <w:r w:rsidR="00C52B0C" w:rsidRPr="47E4A548">
        <w:rPr>
          <w:rFonts w:asciiTheme="minorHAnsi" w:eastAsia="Times New Roman" w:hAnsiTheme="minorHAnsi" w:cstheme="minorBidi"/>
          <w:color w:val="auto"/>
        </w:rPr>
        <w:t>19</w:t>
      </w:r>
      <w:r w:rsidRPr="47E4A548">
        <w:rPr>
          <w:rFonts w:asciiTheme="minorHAnsi" w:eastAsia="Times New Roman" w:hAnsiTheme="minorHAnsi" w:cstheme="minorBidi"/>
          <w:color w:val="auto"/>
        </w:rPr>
        <w:t>].</w:t>
      </w:r>
    </w:p>
    <w:p w14:paraId="5D5573CA" w14:textId="77777777" w:rsidR="007231C9" w:rsidRPr="004F1CA5" w:rsidRDefault="007231C9" w:rsidP="00EE14F4">
      <w:pPr>
        <w:spacing w:before="100" w:beforeAutospacing="1" w:after="100" w:afterAutospacing="1"/>
        <w:jc w:val="both"/>
        <w:rPr>
          <w:rFonts w:asciiTheme="minorHAnsi" w:eastAsia="Times New Roman" w:hAnsiTheme="minorHAnsi" w:cstheme="minorHAnsi"/>
          <w:color w:val="auto"/>
        </w:rPr>
      </w:pPr>
      <w:r w:rsidRPr="47E4A548">
        <w:rPr>
          <w:rFonts w:asciiTheme="minorHAnsi" w:eastAsia="Times New Roman" w:hAnsiTheme="minorHAnsi" w:cstheme="minorBidi"/>
          <w:color w:val="auto"/>
          <w:sz w:val="24"/>
          <w:szCs w:val="24"/>
        </w:rPr>
        <w:t>Addressing these gaps will require a coordinated cyber-physical research agenda that integrates stability analysis, threat modelling, governance design, and standards development to ensure DER-driven decarbonisation proceeds without introducing systemic cyber-induced instability risks.</w:t>
      </w:r>
    </w:p>
    <w:p w14:paraId="2C5AE865" w14:textId="6DECADF4" w:rsidR="00135901" w:rsidRPr="004F1CA5" w:rsidRDefault="003B1322" w:rsidP="00594B77">
      <w:pPr>
        <w:pStyle w:val="Heading2"/>
        <w:rPr>
          <w:rFonts w:asciiTheme="minorHAnsi" w:eastAsiaTheme="minorEastAsia" w:hAnsiTheme="minorHAnsi" w:cstheme="minorBidi"/>
        </w:rPr>
      </w:pPr>
      <w:bookmarkStart w:id="362" w:name="_Toc234310849"/>
      <w:r w:rsidRPr="004F1CA5">
        <w:t xml:space="preserve">Future Research </w:t>
      </w:r>
      <w:r w:rsidR="008B6024" w:rsidRPr="004F1CA5">
        <w:t xml:space="preserve">Work </w:t>
      </w:r>
      <w:r w:rsidRPr="004F1CA5">
        <w:t>Opportunities</w:t>
      </w:r>
      <w:bookmarkEnd w:id="362"/>
    </w:p>
    <w:p w14:paraId="4ED175EB" w14:textId="510488F1" w:rsidR="007E0F29" w:rsidRPr="00041E94" w:rsidRDefault="0080510B" w:rsidP="00EE14F4">
      <w:pPr>
        <w:pStyle w:val="BodyText"/>
        <w:jc w:val="both"/>
        <w:rPr>
          <w:rFonts w:asciiTheme="minorHAnsi" w:hAnsiTheme="minorHAnsi" w:cstheme="minorBidi"/>
          <w:szCs w:val="24"/>
        </w:rPr>
      </w:pPr>
      <w:r w:rsidRPr="43C7342A">
        <w:rPr>
          <w:rFonts w:asciiTheme="minorHAnsi" w:eastAsia="Times New Roman" w:hAnsiTheme="minorHAnsi" w:cstheme="minorBidi"/>
          <w:color w:val="auto"/>
          <w:szCs w:val="24"/>
        </w:rPr>
        <w:t>A key opportunity is the progression of the TSM prototype to higher technology readiness levels through iterative refinement, hardware integration, and field-facing evaluation.</w:t>
      </w:r>
      <w:r w:rsidR="00464E0C" w:rsidRPr="43C7342A">
        <w:rPr>
          <w:rFonts w:asciiTheme="minorHAnsi" w:eastAsia="Times New Roman" w:hAnsiTheme="minorHAnsi" w:cstheme="minorBidi"/>
          <w:color w:val="auto"/>
          <w:szCs w:val="24"/>
        </w:rPr>
        <w:t xml:space="preserve"> This includes direct engagement with EVSE OEMs, aggregators, operators, and government partners to conduct a pilot deployment that assesses real-world performance, operational constraints, and economic considerations associated with embedding sovereign trust anchors into DER fleets.</w:t>
      </w:r>
      <w:r w:rsidR="002E150B">
        <w:rPr>
          <w:rFonts w:asciiTheme="minorHAnsi" w:eastAsia="Times New Roman" w:hAnsiTheme="minorHAnsi" w:cstheme="minorBidi"/>
          <w:color w:val="auto"/>
          <w:szCs w:val="24"/>
        </w:rPr>
        <w:t xml:space="preserve"> </w:t>
      </w:r>
      <w:r w:rsidR="009A240B" w:rsidRPr="43C7342A">
        <w:rPr>
          <w:rFonts w:asciiTheme="minorHAnsi" w:hAnsiTheme="minorHAnsi" w:cstheme="minorBidi"/>
          <w:szCs w:val="24"/>
        </w:rPr>
        <w:t>Such a trial could be supported through ARP mechanisms or undertaken in partnership with ARENA, providing a rigorous evidence base for national adoption pathways.</w:t>
      </w:r>
    </w:p>
    <w:p w14:paraId="5839594B" w14:textId="2BB1F1D4" w:rsidR="007E0F29" w:rsidRPr="00041E94" w:rsidRDefault="009A240B" w:rsidP="00EE14F4">
      <w:pPr>
        <w:pStyle w:val="BodyText"/>
        <w:jc w:val="both"/>
        <w:rPr>
          <w:rFonts w:asciiTheme="minorHAnsi" w:hAnsiTheme="minorHAnsi" w:cstheme="minorBidi"/>
          <w:szCs w:val="24"/>
        </w:rPr>
      </w:pPr>
      <w:r w:rsidRPr="43C7342A">
        <w:rPr>
          <w:rFonts w:asciiTheme="minorHAnsi" w:hAnsiTheme="minorHAnsi" w:cstheme="minorBidi"/>
          <w:szCs w:val="24"/>
        </w:rPr>
        <w:t xml:space="preserve">In parallel, the cyber-physical co-simulation platform developed in this project should be advanced into a full testing rig for DER security and safety validation. While initial efforts focus on EV chargers, the platform should be extended to incorporate batteries, smart inverters, and emerging flexible loads, creating a scalable environment for validating device behaviour under disturbance, compromise, and coordinated adversarial conditions. </w:t>
      </w:r>
    </w:p>
    <w:p w14:paraId="2CBB1E51" w14:textId="7978B521" w:rsidR="009A240B" w:rsidRPr="00041E94" w:rsidRDefault="009A240B" w:rsidP="00EE14F4">
      <w:pPr>
        <w:pStyle w:val="BodyText"/>
        <w:jc w:val="both"/>
        <w:rPr>
          <w:rFonts w:asciiTheme="minorHAnsi" w:hAnsiTheme="minorHAnsi" w:cstheme="minorBidi"/>
          <w:szCs w:val="24"/>
        </w:rPr>
      </w:pPr>
      <w:r w:rsidRPr="43C7342A">
        <w:rPr>
          <w:rFonts w:asciiTheme="minorHAnsi" w:hAnsiTheme="minorHAnsi" w:cstheme="minorBidi"/>
          <w:szCs w:val="24"/>
        </w:rPr>
        <w:t xml:space="preserve">This work can </w:t>
      </w:r>
      <w:r w:rsidR="007E0F29" w:rsidRPr="43C7342A">
        <w:rPr>
          <w:rFonts w:asciiTheme="minorHAnsi" w:hAnsiTheme="minorHAnsi" w:cstheme="minorBidi"/>
          <w:szCs w:val="24"/>
        </w:rPr>
        <w:t>also</w:t>
      </w:r>
      <w:r w:rsidRPr="43C7342A">
        <w:rPr>
          <w:rFonts w:asciiTheme="minorHAnsi" w:hAnsiTheme="minorHAnsi" w:cstheme="minorBidi"/>
          <w:szCs w:val="24"/>
        </w:rPr>
        <w:t xml:space="preserve"> be directly linked to national policy developments through collaboration with the Department of Home Affairs and </w:t>
      </w:r>
      <w:r w:rsidR="00917CC1" w:rsidRPr="43C7342A">
        <w:rPr>
          <w:rFonts w:asciiTheme="minorHAnsi" w:hAnsiTheme="minorHAnsi" w:cstheme="minorBidi"/>
          <w:szCs w:val="24"/>
        </w:rPr>
        <w:t xml:space="preserve">the </w:t>
      </w:r>
      <w:r w:rsidRPr="43C7342A">
        <w:rPr>
          <w:rFonts w:asciiTheme="minorHAnsi" w:hAnsiTheme="minorHAnsi" w:cstheme="minorBidi"/>
          <w:szCs w:val="24"/>
        </w:rPr>
        <w:t xml:space="preserve">IoT Alliance Australia, supporting the evolution of an Australian DER cybersecurity certification or labelling scheme grounded in realistic cyber-physical performance criteria. </w:t>
      </w:r>
    </w:p>
    <w:p w14:paraId="7BC0E8CB" w14:textId="581FFA53" w:rsidR="009170A3" w:rsidRPr="00041E94" w:rsidRDefault="009A240B" w:rsidP="00EE14F4">
      <w:pPr>
        <w:pStyle w:val="BodyText"/>
        <w:jc w:val="both"/>
        <w:rPr>
          <w:rFonts w:asciiTheme="minorHAnsi" w:hAnsiTheme="minorHAnsi" w:cstheme="minorBidi"/>
          <w:szCs w:val="24"/>
        </w:rPr>
      </w:pPr>
      <w:r w:rsidRPr="43C7342A">
        <w:rPr>
          <w:rFonts w:asciiTheme="minorHAnsi" w:hAnsiTheme="minorHAnsi" w:cstheme="minorBidi"/>
          <w:szCs w:val="24"/>
        </w:rPr>
        <w:t xml:space="preserve">Building on these project-specific activities, broader research under Topic 9 </w:t>
      </w:r>
      <w:r w:rsidR="009170A3" w:rsidRPr="43C7342A">
        <w:rPr>
          <w:rFonts w:asciiTheme="minorHAnsi" w:hAnsiTheme="minorHAnsi" w:cstheme="minorBidi"/>
          <w:szCs w:val="24"/>
        </w:rPr>
        <w:t xml:space="preserve">should also examine how future national infrastructures, such as the emerging DER registry and </w:t>
      </w:r>
      <w:r w:rsidR="00055D6A" w:rsidRPr="43C7342A">
        <w:rPr>
          <w:rFonts w:asciiTheme="minorHAnsi" w:hAnsiTheme="minorHAnsi" w:cstheme="minorBidi"/>
          <w:szCs w:val="24"/>
        </w:rPr>
        <w:t xml:space="preserve">the </w:t>
      </w:r>
      <w:r w:rsidR="009170A3" w:rsidRPr="43C7342A">
        <w:rPr>
          <w:rFonts w:asciiTheme="minorHAnsi" w:hAnsiTheme="minorHAnsi" w:cstheme="minorBidi"/>
          <w:szCs w:val="24"/>
        </w:rPr>
        <w:t xml:space="preserve">national PKI ecosystem, can incorporate device-level attestation and trust signals to improve whole-of-system visibility, assurance, and operational coordination. This would support addressing control and visibility </w:t>
      </w:r>
      <w:r w:rsidR="000A02A9" w:rsidRPr="43C7342A">
        <w:rPr>
          <w:rFonts w:asciiTheme="minorHAnsi" w:hAnsiTheme="minorHAnsi" w:cstheme="minorBidi"/>
          <w:szCs w:val="24"/>
        </w:rPr>
        <w:t>constraints</w:t>
      </w:r>
      <w:r w:rsidR="009170A3" w:rsidRPr="43C7342A">
        <w:rPr>
          <w:rFonts w:asciiTheme="minorHAnsi" w:hAnsiTheme="minorHAnsi" w:cstheme="minorBidi"/>
          <w:szCs w:val="24"/>
        </w:rPr>
        <w:t xml:space="preserve"> around the “hidden market participants” that are responsive to pricing incentives.</w:t>
      </w:r>
    </w:p>
    <w:p w14:paraId="4B484ABF" w14:textId="2A59C0C6" w:rsidR="00DA4ADE" w:rsidRPr="00041E94" w:rsidRDefault="009A240B" w:rsidP="00EE14F4">
      <w:pPr>
        <w:pStyle w:val="BodyText"/>
        <w:jc w:val="both"/>
        <w:rPr>
          <w:rFonts w:asciiTheme="minorHAnsi" w:hAnsiTheme="minorHAnsi" w:cstheme="minorBidi"/>
          <w:szCs w:val="24"/>
        </w:rPr>
      </w:pPr>
      <w:r w:rsidRPr="43C7342A">
        <w:rPr>
          <w:rFonts w:asciiTheme="minorHAnsi" w:hAnsiTheme="minorHAnsi" w:cstheme="minorBidi"/>
          <w:szCs w:val="24"/>
        </w:rPr>
        <w:t xml:space="preserve">Topic 9 research should also explore how future national infrastructures, such as the emerging DER registry and </w:t>
      </w:r>
      <w:r w:rsidR="00630224" w:rsidRPr="43C7342A">
        <w:rPr>
          <w:rFonts w:asciiTheme="minorHAnsi" w:hAnsiTheme="minorHAnsi" w:cstheme="minorBidi"/>
          <w:szCs w:val="24"/>
        </w:rPr>
        <w:t xml:space="preserve">the </w:t>
      </w:r>
      <w:r w:rsidRPr="43C7342A">
        <w:rPr>
          <w:rFonts w:asciiTheme="minorHAnsi" w:hAnsiTheme="minorHAnsi" w:cstheme="minorBidi"/>
          <w:szCs w:val="24"/>
        </w:rPr>
        <w:t xml:space="preserve">national PKI ecosystem, can incorporate device-level attestation and trust signals to strengthen whole-of-system visibility. </w:t>
      </w:r>
    </w:p>
    <w:p w14:paraId="1C16AF27" w14:textId="465EBFA7" w:rsidR="000C0182" w:rsidRPr="00041E94" w:rsidRDefault="009A240B" w:rsidP="00563296">
      <w:pPr>
        <w:pStyle w:val="BodyText"/>
        <w:jc w:val="both"/>
        <w:rPr>
          <w:rFonts w:asciiTheme="minorHAnsi" w:hAnsiTheme="minorHAnsi" w:cstheme="minorBidi"/>
          <w:szCs w:val="24"/>
        </w:rPr>
      </w:pPr>
      <w:r w:rsidRPr="43C7342A">
        <w:rPr>
          <w:rFonts w:asciiTheme="minorHAnsi" w:hAnsiTheme="minorHAnsi" w:cstheme="minorBidi"/>
          <w:szCs w:val="24"/>
        </w:rPr>
        <w:t xml:space="preserve">Finally, as Australia approaches high levels of DER penetration, there is a need for research into incident management, coordinated response strategies, and graceful degradation of DER fleets during cyber-physical disruptions. Understanding how to contain compromised devices, operate securely in degraded states, and recover swiftly after coordinated disturbances will be essential to achieving the </w:t>
      </w:r>
      <w:r w:rsidR="00C53FCC" w:rsidRPr="43C7342A">
        <w:rPr>
          <w:rFonts w:asciiTheme="minorHAnsi" w:hAnsiTheme="minorHAnsi" w:cstheme="minorBidi"/>
          <w:szCs w:val="24"/>
        </w:rPr>
        <w:t>r</w:t>
      </w:r>
      <w:r w:rsidRPr="43C7342A">
        <w:rPr>
          <w:rFonts w:asciiTheme="minorHAnsi" w:hAnsiTheme="minorHAnsi" w:cstheme="minorBidi"/>
          <w:szCs w:val="24"/>
        </w:rPr>
        <w:t>oadmap’s long-term vision of a stable, resilient, and secure high-renewables grid.</w:t>
      </w:r>
    </w:p>
    <w:p w14:paraId="3EE9CF8A" w14:textId="3BEB4169" w:rsidR="000C0182" w:rsidRPr="00041E94" w:rsidRDefault="000C0182" w:rsidP="43C7342A">
      <w:pPr>
        <w:jc w:val="both"/>
        <w:rPr>
          <w:rFonts w:asciiTheme="minorHAnsi" w:hAnsiTheme="minorHAnsi" w:cstheme="minorBidi"/>
          <w:sz w:val="24"/>
          <w:szCs w:val="24"/>
        </w:rPr>
      </w:pPr>
      <w:r w:rsidRPr="43C7342A">
        <w:rPr>
          <w:rFonts w:asciiTheme="minorHAnsi" w:hAnsiTheme="minorHAnsi" w:cstheme="minorBidi"/>
          <w:sz w:val="24"/>
          <w:szCs w:val="24"/>
        </w:rPr>
        <w:t xml:space="preserve">These research directions establish a cyber-physical stability framework for high-DER grids, treating cybersecurity not only as a confidentiality, </w:t>
      </w:r>
      <w:r w:rsidR="00C53FCC" w:rsidRPr="43C7342A">
        <w:rPr>
          <w:rFonts w:asciiTheme="minorHAnsi" w:hAnsiTheme="minorHAnsi" w:cstheme="minorBidi"/>
          <w:sz w:val="24"/>
          <w:szCs w:val="24"/>
        </w:rPr>
        <w:t>i</w:t>
      </w:r>
      <w:r w:rsidRPr="43C7342A">
        <w:rPr>
          <w:rFonts w:asciiTheme="minorHAnsi" w:hAnsiTheme="minorHAnsi" w:cstheme="minorBidi"/>
          <w:sz w:val="24"/>
          <w:szCs w:val="24"/>
        </w:rPr>
        <w:t>ntegrity</w:t>
      </w:r>
      <w:r w:rsidR="00485F2C" w:rsidRPr="43C7342A">
        <w:rPr>
          <w:rFonts w:asciiTheme="minorHAnsi" w:hAnsiTheme="minorHAnsi" w:cstheme="minorBidi"/>
          <w:sz w:val="24"/>
          <w:szCs w:val="24"/>
        </w:rPr>
        <w:t>,</w:t>
      </w:r>
      <w:r w:rsidRPr="43C7342A">
        <w:rPr>
          <w:rFonts w:asciiTheme="minorHAnsi" w:hAnsiTheme="minorHAnsi" w:cstheme="minorBidi"/>
          <w:sz w:val="24"/>
          <w:szCs w:val="24"/>
        </w:rPr>
        <w:t xml:space="preserve"> and availability (CIA) issue</w:t>
      </w:r>
      <w:r w:rsidR="00485F2C" w:rsidRPr="43C7342A">
        <w:rPr>
          <w:rFonts w:asciiTheme="minorHAnsi" w:hAnsiTheme="minorHAnsi" w:cstheme="minorBidi"/>
          <w:sz w:val="24"/>
          <w:szCs w:val="24"/>
        </w:rPr>
        <w:t>,</w:t>
      </w:r>
      <w:r w:rsidRPr="43C7342A">
        <w:rPr>
          <w:rFonts w:asciiTheme="minorHAnsi" w:hAnsiTheme="minorHAnsi" w:cstheme="minorBidi"/>
          <w:sz w:val="24"/>
          <w:szCs w:val="24"/>
        </w:rPr>
        <w:t xml:space="preserve"> but as a driver of dynamic system instability. The following topics address both near-term translation and long-term national resilience needs.</w:t>
      </w:r>
    </w:p>
    <w:p w14:paraId="2ACBA984" w14:textId="77777777" w:rsidR="000C0182" w:rsidRPr="004F1CA5" w:rsidRDefault="000C0182" w:rsidP="000C0182">
      <w:pPr>
        <w:pStyle w:val="Heading4"/>
        <w:rPr>
          <w:rFonts w:asciiTheme="minorHAnsi" w:hAnsiTheme="minorHAnsi" w:cstheme="minorBidi"/>
        </w:rPr>
      </w:pPr>
      <w:bookmarkStart w:id="363" w:name="_Toc222909124"/>
      <w:r w:rsidRPr="19F71E1F">
        <w:rPr>
          <w:rFonts w:asciiTheme="minorHAnsi" w:hAnsiTheme="minorHAnsi" w:cstheme="minorBidi"/>
        </w:rPr>
        <w:t>1. Cyber-Physical Threat Propagation Through DER, Aggregator, DERMS, and VPP Architectures</w:t>
      </w:r>
      <w:bookmarkEnd w:id="363"/>
    </w:p>
    <w:p w14:paraId="6232F243" w14:textId="77777777" w:rsidR="000C0182" w:rsidRPr="00041E94" w:rsidRDefault="000C0182" w:rsidP="00041E94">
      <w:pPr>
        <w:pStyle w:val="NormalWeb"/>
        <w:jc w:val="both"/>
        <w:rPr>
          <w:rFonts w:asciiTheme="minorHAnsi" w:hAnsiTheme="minorHAnsi" w:cstheme="minorBidi"/>
        </w:rPr>
      </w:pPr>
      <w:r w:rsidRPr="43C7342A">
        <w:rPr>
          <w:rFonts w:asciiTheme="minorHAnsi" w:hAnsiTheme="minorHAnsi" w:cstheme="minorBidi"/>
        </w:rPr>
        <w:t>While a single DER compromise may have minimal impact, coordinated attacks on a substantial proportion of DERs — effectively forming a DER botnet — pose significant risks to area power system reliability. DER ecosystems are increasingly coordinated through aggregators, DERMS, and VPP platforms that rely on hierarchical communication architectures. These architectures create systemic coupling between thousands of distributed devices. A compromise at one node, or at the aggregator control layer, may propagate across fleets, enabling synchronised setpoints, coordinated disconnections, manipulation of inverter parameters, firmware updates, ride-through and trip thresholds, or induced oscillatory behaviour.</w:t>
      </w:r>
    </w:p>
    <w:p w14:paraId="5784CEDA" w14:textId="77777777" w:rsidR="000C0182" w:rsidRPr="00041E94" w:rsidRDefault="000C0182" w:rsidP="00041E94">
      <w:pPr>
        <w:pStyle w:val="NormalWeb"/>
        <w:jc w:val="both"/>
        <w:rPr>
          <w:rFonts w:asciiTheme="minorHAnsi" w:hAnsiTheme="minorHAnsi" w:cstheme="minorBidi"/>
        </w:rPr>
      </w:pPr>
      <w:r w:rsidRPr="43C7342A">
        <w:rPr>
          <w:rFonts w:asciiTheme="minorHAnsi" w:hAnsiTheme="minorHAnsi" w:cstheme="minorBidi"/>
        </w:rPr>
        <w:t>Current cyber risk assessments often focus on device-level vulnerabilities or perimeter security, but insufficiently address how architectural design, communication topology, and aggregator security posture influence attack propagation pathways and system-level impact. Current DER stability research similarly does not yet model attacker-induced propagation pathways within these architectures in a way that links compromise to stability outcomes.</w:t>
      </w:r>
    </w:p>
    <w:p w14:paraId="1D006B39" w14:textId="77777777" w:rsidR="000C0182" w:rsidRPr="004F1CA5" w:rsidRDefault="000C0182" w:rsidP="282A461E">
      <w:pPr>
        <w:pStyle w:val="Heading5"/>
        <w:jc w:val="both"/>
        <w:rPr>
          <w:rFonts w:asciiTheme="minorHAnsi" w:hAnsiTheme="minorHAnsi" w:cstheme="minorBidi"/>
          <w:sz w:val="24"/>
          <w:szCs w:val="24"/>
        </w:rPr>
      </w:pPr>
      <w:r w:rsidRPr="282A461E">
        <w:rPr>
          <w:rFonts w:asciiTheme="minorHAnsi" w:hAnsiTheme="minorHAnsi" w:cstheme="minorBidi"/>
          <w:sz w:val="24"/>
          <w:szCs w:val="24"/>
        </w:rPr>
        <w:t>Why It Matters for Stability</w:t>
      </w:r>
    </w:p>
    <w:p w14:paraId="341E1E02" w14:textId="471C6FB0" w:rsidR="000C0182" w:rsidRPr="00041E94" w:rsidRDefault="000C0182" w:rsidP="282A461E">
      <w:pPr>
        <w:pStyle w:val="NormalWeb"/>
        <w:jc w:val="both"/>
        <w:rPr>
          <w:rFonts w:asciiTheme="minorHAnsi" w:hAnsiTheme="minorHAnsi" w:cstheme="minorBidi"/>
        </w:rPr>
      </w:pPr>
      <w:commentRangeStart w:id="364"/>
      <w:r w:rsidRPr="282A461E">
        <w:rPr>
          <w:rFonts w:asciiTheme="minorHAnsi" w:hAnsiTheme="minorHAnsi" w:cstheme="minorBidi"/>
        </w:rPr>
        <w:t>Coordinated</w:t>
      </w:r>
      <w:commentRangeEnd w:id="364"/>
      <w:r w:rsidR="007E4081" w:rsidRPr="282A461E">
        <w:rPr>
          <w:rStyle w:val="CommentReference"/>
          <w:rFonts w:asciiTheme="minorHAnsi" w:hAnsiTheme="minorHAnsi" w:cstheme="minorBidi"/>
          <w:sz w:val="24"/>
          <w:szCs w:val="24"/>
        </w:rPr>
        <w:commentReference w:id="364"/>
      </w:r>
      <w:r w:rsidR="00550379" w:rsidRPr="282A461E">
        <w:rPr>
          <w:rFonts w:asciiTheme="minorHAnsi" w:hAnsiTheme="minorHAnsi" w:cstheme="minorBidi"/>
        </w:rPr>
        <w:t xml:space="preserve"> malicious</w:t>
      </w:r>
      <w:r w:rsidRPr="282A461E">
        <w:rPr>
          <w:rFonts w:asciiTheme="minorHAnsi" w:hAnsiTheme="minorHAnsi" w:cstheme="minorBidi"/>
        </w:rPr>
        <w:t xml:space="preserve"> DER behaviour can directly degrade:</w:t>
      </w:r>
    </w:p>
    <w:p w14:paraId="02720454" w14:textId="77777777" w:rsidR="000C0182" w:rsidRPr="00041E94" w:rsidRDefault="000C0182" w:rsidP="00846D08">
      <w:pPr>
        <w:pStyle w:val="NormalWeb"/>
        <w:numPr>
          <w:ilvl w:val="0"/>
          <w:numId w:val="39"/>
        </w:numPr>
        <w:spacing w:before="100" w:beforeAutospacing="1" w:after="100" w:afterAutospacing="1"/>
        <w:jc w:val="both"/>
        <w:rPr>
          <w:rFonts w:asciiTheme="minorHAnsi" w:hAnsiTheme="minorHAnsi" w:cstheme="minorBidi"/>
        </w:rPr>
      </w:pPr>
      <w:r w:rsidRPr="282A461E">
        <w:rPr>
          <w:rFonts w:asciiTheme="minorHAnsi" w:hAnsiTheme="minorHAnsi" w:cstheme="minorBidi"/>
        </w:rPr>
        <w:t>Frequency stability</w:t>
      </w:r>
    </w:p>
    <w:p w14:paraId="6B1CB692" w14:textId="77777777" w:rsidR="000C0182" w:rsidRPr="00041E94" w:rsidRDefault="000C0182" w:rsidP="00846D08">
      <w:pPr>
        <w:pStyle w:val="NormalWeb"/>
        <w:numPr>
          <w:ilvl w:val="0"/>
          <w:numId w:val="39"/>
        </w:numPr>
        <w:spacing w:before="100" w:beforeAutospacing="1" w:after="100" w:afterAutospacing="1"/>
        <w:jc w:val="both"/>
        <w:rPr>
          <w:rFonts w:asciiTheme="minorHAnsi" w:hAnsiTheme="minorHAnsi" w:cstheme="minorBidi"/>
        </w:rPr>
      </w:pPr>
      <w:r w:rsidRPr="282A461E">
        <w:rPr>
          <w:rFonts w:asciiTheme="minorHAnsi" w:hAnsiTheme="minorHAnsi" w:cstheme="minorBidi"/>
        </w:rPr>
        <w:t>Voltage margins in weak grids</w:t>
      </w:r>
    </w:p>
    <w:p w14:paraId="4794F7C0" w14:textId="77777777" w:rsidR="000C0182" w:rsidRPr="00041E94" w:rsidRDefault="000C0182" w:rsidP="00846D08">
      <w:pPr>
        <w:pStyle w:val="NormalWeb"/>
        <w:numPr>
          <w:ilvl w:val="0"/>
          <w:numId w:val="39"/>
        </w:numPr>
        <w:spacing w:before="100" w:beforeAutospacing="1" w:after="100" w:afterAutospacing="1"/>
        <w:jc w:val="both"/>
        <w:rPr>
          <w:rFonts w:asciiTheme="minorHAnsi" w:hAnsiTheme="minorHAnsi" w:cstheme="minorBidi"/>
        </w:rPr>
      </w:pPr>
      <w:r w:rsidRPr="282A461E">
        <w:rPr>
          <w:rFonts w:asciiTheme="minorHAnsi" w:hAnsiTheme="minorHAnsi" w:cstheme="minorBidi"/>
        </w:rPr>
        <w:t>Small-signal oscillatory damping</w:t>
      </w:r>
    </w:p>
    <w:p w14:paraId="38F16322" w14:textId="77777777" w:rsidR="000C0182" w:rsidRPr="00041E94" w:rsidRDefault="000C0182" w:rsidP="00846D08">
      <w:pPr>
        <w:pStyle w:val="NormalWeb"/>
        <w:numPr>
          <w:ilvl w:val="0"/>
          <w:numId w:val="39"/>
        </w:numPr>
        <w:spacing w:before="100" w:beforeAutospacing="1" w:after="100" w:afterAutospacing="1"/>
        <w:jc w:val="both"/>
        <w:rPr>
          <w:rFonts w:asciiTheme="minorHAnsi" w:hAnsiTheme="minorHAnsi" w:cstheme="minorBidi"/>
        </w:rPr>
      </w:pPr>
      <w:r w:rsidRPr="282A461E">
        <w:rPr>
          <w:rFonts w:asciiTheme="minorHAnsi" w:hAnsiTheme="minorHAnsi" w:cstheme="minorBidi"/>
        </w:rPr>
        <w:t>Protection coordination during disturbances</w:t>
      </w:r>
    </w:p>
    <w:p w14:paraId="1F74D5C9" w14:textId="77777777" w:rsidR="000C0182" w:rsidRPr="00041E94" w:rsidRDefault="000C0182" w:rsidP="00846D08">
      <w:pPr>
        <w:pStyle w:val="NormalWeb"/>
        <w:numPr>
          <w:ilvl w:val="0"/>
          <w:numId w:val="39"/>
        </w:numPr>
        <w:spacing w:before="100" w:beforeAutospacing="1" w:after="100" w:afterAutospacing="1"/>
        <w:jc w:val="both"/>
        <w:rPr>
          <w:rFonts w:asciiTheme="minorHAnsi" w:hAnsiTheme="minorHAnsi" w:cstheme="minorBidi"/>
        </w:rPr>
      </w:pPr>
      <w:r w:rsidRPr="282A461E">
        <w:rPr>
          <w:rFonts w:asciiTheme="minorHAnsi" w:hAnsiTheme="minorHAnsi" w:cstheme="minorBidi"/>
        </w:rPr>
        <w:t>Area reliability through cascading outages or power quality effects</w:t>
      </w:r>
    </w:p>
    <w:p w14:paraId="603A4FF7" w14:textId="77777777" w:rsidR="000C0182" w:rsidRPr="004F1CA5" w:rsidRDefault="000C0182" w:rsidP="282A461E">
      <w:pPr>
        <w:pStyle w:val="Heading5"/>
        <w:jc w:val="both"/>
        <w:rPr>
          <w:rFonts w:asciiTheme="minorHAnsi" w:hAnsiTheme="minorHAnsi" w:cstheme="minorBidi"/>
          <w:sz w:val="24"/>
          <w:szCs w:val="24"/>
        </w:rPr>
      </w:pPr>
      <w:r w:rsidRPr="282A461E">
        <w:rPr>
          <w:rFonts w:asciiTheme="minorHAnsi" w:hAnsiTheme="minorHAnsi" w:cstheme="minorBidi"/>
          <w:sz w:val="24"/>
          <w:szCs w:val="24"/>
        </w:rPr>
        <w:t>Key research questions</w:t>
      </w:r>
    </w:p>
    <w:p w14:paraId="381AAFAA" w14:textId="77777777" w:rsidR="000C0182" w:rsidRPr="00041E94" w:rsidRDefault="000C0182" w:rsidP="00846D08">
      <w:pPr>
        <w:pStyle w:val="NormalWeb"/>
        <w:numPr>
          <w:ilvl w:val="0"/>
          <w:numId w:val="40"/>
        </w:numPr>
        <w:spacing w:before="100" w:beforeAutospacing="1" w:after="100" w:afterAutospacing="1"/>
        <w:jc w:val="both"/>
        <w:rPr>
          <w:rFonts w:asciiTheme="minorHAnsi" w:hAnsiTheme="minorHAnsi" w:cstheme="minorBidi"/>
        </w:rPr>
      </w:pPr>
      <w:r w:rsidRPr="282A461E">
        <w:rPr>
          <w:rFonts w:asciiTheme="minorHAnsi" w:hAnsiTheme="minorHAnsi" w:cstheme="minorBidi"/>
        </w:rPr>
        <w:t>How does grid architecture and DER aggregator security posture influence the likelihood, propagation, and system-level impact of cyber intrusions originating at compromised DER assets?</w:t>
      </w:r>
    </w:p>
    <w:p w14:paraId="72D1ED0A" w14:textId="77777777" w:rsidR="000C0182" w:rsidRPr="00041E94" w:rsidRDefault="000C0182" w:rsidP="00846D08">
      <w:pPr>
        <w:pStyle w:val="NormalWeb"/>
        <w:numPr>
          <w:ilvl w:val="0"/>
          <w:numId w:val="40"/>
        </w:numPr>
        <w:spacing w:before="100" w:beforeAutospacing="1" w:after="100" w:afterAutospacing="1"/>
        <w:jc w:val="both"/>
        <w:rPr>
          <w:rFonts w:asciiTheme="minorHAnsi" w:hAnsiTheme="minorHAnsi" w:cstheme="minorBidi"/>
        </w:rPr>
      </w:pPr>
      <w:r w:rsidRPr="282A461E">
        <w:rPr>
          <w:rFonts w:asciiTheme="minorHAnsi" w:hAnsiTheme="minorHAnsi" w:cstheme="minorBidi"/>
        </w:rPr>
        <w:t>How can attacker-induced propagation pathways be modelled across hierarchical device–aggregator–grid architectures?</w:t>
      </w:r>
    </w:p>
    <w:p w14:paraId="7A7F8221" w14:textId="77777777" w:rsidR="000C0182" w:rsidRPr="00041E94" w:rsidRDefault="000C0182" w:rsidP="00846D08">
      <w:pPr>
        <w:pStyle w:val="NormalWeb"/>
        <w:numPr>
          <w:ilvl w:val="0"/>
          <w:numId w:val="40"/>
        </w:numPr>
        <w:spacing w:before="100" w:beforeAutospacing="1" w:after="100" w:afterAutospacing="1"/>
        <w:jc w:val="both"/>
        <w:rPr>
          <w:rFonts w:asciiTheme="minorHAnsi" w:hAnsiTheme="minorHAnsi" w:cstheme="minorBidi"/>
        </w:rPr>
      </w:pPr>
      <w:r w:rsidRPr="282A461E">
        <w:rPr>
          <w:rFonts w:asciiTheme="minorHAnsi" w:hAnsiTheme="minorHAnsi" w:cstheme="minorBidi"/>
        </w:rPr>
        <w:t>What resilient design strategies (e.g., trust zones, segmentation, redundancy, distributed enforcement) can constrain systemic instability?</w:t>
      </w:r>
    </w:p>
    <w:p w14:paraId="08B0229A" w14:textId="77777777" w:rsidR="000C0182" w:rsidRPr="004F1CA5" w:rsidRDefault="000C0182" w:rsidP="282A461E">
      <w:pPr>
        <w:pStyle w:val="Heading5"/>
        <w:jc w:val="both"/>
        <w:rPr>
          <w:rFonts w:asciiTheme="minorHAnsi" w:hAnsiTheme="minorHAnsi" w:cstheme="minorBidi"/>
          <w:sz w:val="24"/>
          <w:szCs w:val="24"/>
        </w:rPr>
      </w:pPr>
      <w:r w:rsidRPr="282A461E">
        <w:rPr>
          <w:rFonts w:asciiTheme="minorHAnsi" w:hAnsiTheme="minorHAnsi" w:cstheme="minorBidi"/>
          <w:sz w:val="24"/>
          <w:szCs w:val="24"/>
        </w:rPr>
        <w:t>Research Directions</w:t>
      </w:r>
    </w:p>
    <w:p w14:paraId="682C3619" w14:textId="764BA7BA" w:rsidR="000C0182" w:rsidRDefault="000C0182" w:rsidP="282A461E">
      <w:pPr>
        <w:pStyle w:val="NormalWeb"/>
        <w:jc w:val="both"/>
        <w:rPr>
          <w:rFonts w:asciiTheme="minorHAnsi" w:hAnsiTheme="minorHAnsi" w:cstheme="minorBidi"/>
          <w:sz w:val="22"/>
          <w:szCs w:val="22"/>
        </w:rPr>
      </w:pPr>
      <w:r w:rsidRPr="282A461E">
        <w:rPr>
          <w:rFonts w:asciiTheme="minorHAnsi" w:hAnsiTheme="minorHAnsi" w:cstheme="minorBidi"/>
        </w:rPr>
        <w:t>Develop hierarchical device–aggregator–grid cyber-physical threat models; apply graph-theoretic propagation analysis and stability sensitivity assessment; integrate cyber-induced behavioural changes into dynamic simulations; and develop an architecture-based cyber risk assessment framework that models attack propagation from compromised DER devices through aggregators and into upstream grid control systems, while proposing resilient design strategies that limit systemic impact.</w:t>
      </w:r>
    </w:p>
    <w:p w14:paraId="1D8C1E6E" w14:textId="4C0C774E" w:rsidR="00B73A3A" w:rsidRDefault="00B73A3A" w:rsidP="5EBEA1BC">
      <w:pPr>
        <w:pStyle w:val="NormalWeb"/>
        <w:rPr>
          <w:rFonts w:asciiTheme="minorHAnsi" w:hAnsiTheme="minorHAnsi" w:cstheme="minorBidi"/>
          <w:sz w:val="22"/>
          <w:szCs w:val="22"/>
        </w:rPr>
      </w:pPr>
    </w:p>
    <w:p w14:paraId="779686FA" w14:textId="74E5B680" w:rsidR="00B73A3A" w:rsidRPr="002F5091" w:rsidRDefault="00B73A3A" w:rsidP="5EBEA1BC">
      <w:pPr>
        <w:pStyle w:val="NormalWeb"/>
        <w:numPr>
          <w:ilvl w:val="0"/>
          <w:numId w:val="87"/>
        </w:numPr>
        <w:ind w:left="284" w:hanging="284"/>
        <w:rPr>
          <w:rFonts w:asciiTheme="minorHAnsi" w:eastAsiaTheme="majorEastAsia" w:hAnsiTheme="minorHAnsi" w:cstheme="minorBidi"/>
          <w:b/>
          <w:bCs/>
          <w:color w:val="757579" w:themeColor="accent3"/>
          <w:spacing w:val="1"/>
        </w:rPr>
      </w:pPr>
      <w:r w:rsidRPr="5EBEA1BC">
        <w:rPr>
          <w:rFonts w:asciiTheme="minorHAnsi" w:eastAsiaTheme="majorEastAsia" w:hAnsiTheme="minorHAnsi" w:cstheme="minorBidi"/>
          <w:b/>
          <w:bCs/>
          <w:color w:val="757579" w:themeColor="accent3"/>
          <w:spacing w:val="1"/>
        </w:rPr>
        <w:t>Cyber-Resilient Grid-Forming Inverter Control and Stability Limits in High Inverter-Based Resource Penetration Power Systems</w:t>
      </w:r>
    </w:p>
    <w:p w14:paraId="64C51E21" w14:textId="42A4F066" w:rsidR="00B73A3A" w:rsidRPr="002F5091" w:rsidRDefault="00B73A3A" w:rsidP="5EBEA1BC">
      <w:pPr>
        <w:pStyle w:val="NormalWeb"/>
        <w:jc w:val="both"/>
        <w:rPr>
          <w:rFonts w:asciiTheme="minorHAnsi" w:hAnsiTheme="minorHAnsi" w:cstheme="minorBidi"/>
        </w:rPr>
      </w:pPr>
      <w:r w:rsidRPr="282A461E">
        <w:rPr>
          <w:rFonts w:asciiTheme="minorHAnsi" w:hAnsiTheme="minorHAnsi" w:cstheme="minorBidi"/>
        </w:rPr>
        <w:t>As inverter-based resources (IBRs), grid-forming inverters (GFMIs), and inverter-based loads (IBLs) increasingly replace synchronous machines, system strength, fault response, frequency stability, and voltage control are becoming software-defined. This digitalisation exposes the power system to new cyber-physical vulnerabilities. GFMIs rely on firmware-based control (droop, virtual oscillator, VSG, predictive control). Cyber manipulation of frequency droop coefficients, virtual inertia constants, fault current limits, protection settings could destabilise the system.</w:t>
      </w:r>
    </w:p>
    <w:p w14:paraId="7921B4D2" w14:textId="37372A25" w:rsidR="00B73A3A" w:rsidRPr="002F5091" w:rsidRDefault="00B73A3A" w:rsidP="282A461E">
      <w:pPr>
        <w:pStyle w:val="Heading5"/>
        <w:jc w:val="both"/>
        <w:rPr>
          <w:rFonts w:asciiTheme="minorHAnsi" w:hAnsiTheme="minorHAnsi" w:cstheme="minorBidi"/>
          <w:sz w:val="24"/>
          <w:szCs w:val="24"/>
        </w:rPr>
      </w:pPr>
      <w:r w:rsidRPr="282A461E">
        <w:rPr>
          <w:rFonts w:asciiTheme="minorHAnsi" w:hAnsiTheme="minorHAnsi" w:cstheme="minorBidi"/>
          <w:sz w:val="24"/>
          <w:szCs w:val="24"/>
        </w:rPr>
        <w:t>Why It Matters for Stability</w:t>
      </w:r>
    </w:p>
    <w:p w14:paraId="1D22DE84" w14:textId="34AA590E" w:rsidR="00B73A3A" w:rsidRPr="002F5091" w:rsidRDefault="00B73A3A" w:rsidP="5EBEA1BC">
      <w:pPr>
        <w:pStyle w:val="NormalWeb"/>
        <w:numPr>
          <w:ilvl w:val="0"/>
          <w:numId w:val="88"/>
        </w:numPr>
        <w:spacing w:after="0"/>
        <w:ind w:left="714" w:hanging="357"/>
        <w:jc w:val="both"/>
        <w:rPr>
          <w:rFonts w:asciiTheme="minorHAnsi" w:hAnsiTheme="minorHAnsi" w:cstheme="minorBidi"/>
        </w:rPr>
      </w:pPr>
      <w:r w:rsidRPr="282A461E">
        <w:rPr>
          <w:rFonts w:asciiTheme="minorHAnsi" w:hAnsiTheme="minorHAnsi" w:cstheme="minorBidi"/>
        </w:rPr>
        <w:t xml:space="preserve">Power system stability is now software-defined. </w:t>
      </w:r>
    </w:p>
    <w:p w14:paraId="5DBF3C1A" w14:textId="2A00B75C" w:rsidR="00B73A3A" w:rsidRPr="002F5091" w:rsidRDefault="00B73A3A" w:rsidP="5EBEA1BC">
      <w:pPr>
        <w:pStyle w:val="NormalWeb"/>
        <w:numPr>
          <w:ilvl w:val="0"/>
          <w:numId w:val="88"/>
        </w:numPr>
        <w:spacing w:after="0"/>
        <w:ind w:left="714" w:hanging="357"/>
        <w:jc w:val="both"/>
        <w:rPr>
          <w:rFonts w:asciiTheme="minorHAnsi" w:hAnsiTheme="minorHAnsi" w:cstheme="minorBidi"/>
        </w:rPr>
      </w:pPr>
      <w:r w:rsidRPr="282A461E">
        <w:rPr>
          <w:rFonts w:asciiTheme="minorHAnsi" w:hAnsiTheme="minorHAnsi" w:cstheme="minorBidi"/>
        </w:rPr>
        <w:t xml:space="preserve">Grid-forming inverters replace synchronous machines, making frequency and voltage control digitally controlled—and therefore cyber-exposed. </w:t>
      </w:r>
    </w:p>
    <w:p w14:paraId="0C719C99" w14:textId="1C5AB6AA" w:rsidR="00B73A3A" w:rsidRPr="002F5091" w:rsidRDefault="00B73A3A" w:rsidP="5EBEA1BC">
      <w:pPr>
        <w:pStyle w:val="NormalWeb"/>
        <w:numPr>
          <w:ilvl w:val="0"/>
          <w:numId w:val="88"/>
        </w:numPr>
        <w:spacing w:after="0"/>
        <w:ind w:left="714" w:hanging="357"/>
        <w:jc w:val="both"/>
        <w:rPr>
          <w:rFonts w:asciiTheme="minorHAnsi" w:hAnsiTheme="minorHAnsi" w:cstheme="minorBidi"/>
        </w:rPr>
      </w:pPr>
      <w:r w:rsidRPr="282A461E">
        <w:rPr>
          <w:rFonts w:asciiTheme="minorHAnsi" w:hAnsiTheme="minorHAnsi" w:cstheme="minorBidi"/>
        </w:rPr>
        <w:t xml:space="preserve">High IBR penetration reduces physical inertia, meaning small malicious perturbations can cause disproportionate system-wide instability. </w:t>
      </w:r>
    </w:p>
    <w:p w14:paraId="7D914350" w14:textId="4CCD66D6" w:rsidR="00B73A3A" w:rsidRPr="002F5091" w:rsidRDefault="00B73A3A" w:rsidP="5EBEA1BC">
      <w:pPr>
        <w:pStyle w:val="NormalWeb"/>
        <w:numPr>
          <w:ilvl w:val="0"/>
          <w:numId w:val="88"/>
        </w:numPr>
        <w:spacing w:after="0"/>
        <w:ind w:left="714" w:hanging="357"/>
        <w:jc w:val="both"/>
        <w:rPr>
          <w:rFonts w:asciiTheme="minorHAnsi" w:hAnsiTheme="minorHAnsi" w:cstheme="minorBidi"/>
        </w:rPr>
      </w:pPr>
      <w:r w:rsidRPr="282A461E">
        <w:rPr>
          <w:rFonts w:asciiTheme="minorHAnsi" w:hAnsiTheme="minorHAnsi" w:cstheme="minorBidi"/>
        </w:rPr>
        <w:t>Weak-grid regions are more vulnerable, where control errors or manipulated parameters can rapidly escalate into cascading failures.</w:t>
      </w:r>
    </w:p>
    <w:p w14:paraId="48D05AEF" w14:textId="3D3AE000" w:rsidR="00B73A3A" w:rsidRPr="002F5091" w:rsidRDefault="00B73A3A" w:rsidP="5EBEA1BC">
      <w:pPr>
        <w:pStyle w:val="NormalWeb"/>
        <w:numPr>
          <w:ilvl w:val="0"/>
          <w:numId w:val="88"/>
        </w:numPr>
        <w:spacing w:after="0"/>
        <w:ind w:left="714" w:hanging="357"/>
        <w:jc w:val="both"/>
        <w:rPr>
          <w:rFonts w:asciiTheme="minorHAnsi" w:hAnsiTheme="minorHAnsi" w:cstheme="minorBidi"/>
        </w:rPr>
      </w:pPr>
      <w:r w:rsidRPr="282A461E">
        <w:rPr>
          <w:rFonts w:asciiTheme="minorHAnsi" w:hAnsiTheme="minorHAnsi" w:cstheme="minorBidi"/>
        </w:rPr>
        <w:t>Existing stability studies ignore adversarial conditions, potentially overestimating secure IBR penetration limits.</w:t>
      </w:r>
    </w:p>
    <w:p w14:paraId="7C3D5ADD" w14:textId="0E52DC30" w:rsidR="00B73A3A" w:rsidRDefault="00B73A3A" w:rsidP="282A461E">
      <w:pPr>
        <w:pStyle w:val="Heading5"/>
        <w:spacing w:before="120" w:after="240"/>
        <w:jc w:val="both"/>
        <w:rPr>
          <w:rFonts w:asciiTheme="minorHAnsi" w:eastAsiaTheme="minorEastAsia" w:hAnsiTheme="minorHAnsi" w:cstheme="minorBidi"/>
          <w:sz w:val="24"/>
          <w:szCs w:val="24"/>
        </w:rPr>
      </w:pPr>
      <w:r w:rsidRPr="282A461E">
        <w:rPr>
          <w:sz w:val="24"/>
          <w:szCs w:val="24"/>
        </w:rPr>
        <w:t>Key research questions</w:t>
      </w:r>
    </w:p>
    <w:p w14:paraId="58D3BA88" w14:textId="6FAF1299" w:rsidR="00B73A3A" w:rsidRPr="00B611DD" w:rsidRDefault="00B73A3A" w:rsidP="00217A2A">
      <w:pPr>
        <w:pStyle w:val="NormalWeb"/>
        <w:numPr>
          <w:ilvl w:val="0"/>
          <w:numId w:val="40"/>
        </w:numPr>
        <w:spacing w:after="0"/>
        <w:ind w:left="714" w:hanging="357"/>
        <w:jc w:val="both"/>
        <w:rPr>
          <w:rFonts w:asciiTheme="minorHAnsi" w:hAnsiTheme="minorHAnsi" w:cstheme="minorBidi"/>
        </w:rPr>
      </w:pPr>
      <w:r w:rsidRPr="282A461E">
        <w:rPr>
          <w:rFonts w:asciiTheme="minorHAnsi" w:hAnsiTheme="minorHAnsi" w:cstheme="minorBidi"/>
        </w:rPr>
        <w:t xml:space="preserve">How can grid-forming and inverter-based resources be designed, modelled, and standardised to ensure cyber-resilient operation under weak-grid and high-penetration conditions, particularly against false data injection (FDI), denial-of-service (DoS), parameter tampering, and coordinated wide-area cyber-attacks? </w:t>
      </w:r>
    </w:p>
    <w:p w14:paraId="4DA7E320" w14:textId="33F523B5" w:rsidR="00B73A3A" w:rsidRPr="00B611DD" w:rsidRDefault="00B73A3A" w:rsidP="5EBEA1BC">
      <w:pPr>
        <w:pStyle w:val="NormalWeb"/>
        <w:numPr>
          <w:ilvl w:val="0"/>
          <w:numId w:val="40"/>
        </w:numPr>
        <w:spacing w:before="100" w:beforeAutospacing="1" w:after="100" w:afterAutospacing="1"/>
        <w:jc w:val="both"/>
        <w:rPr>
          <w:rFonts w:asciiTheme="minorHAnsi" w:hAnsiTheme="minorHAnsi" w:cstheme="minorBidi"/>
        </w:rPr>
      </w:pPr>
      <w:r w:rsidRPr="282A461E">
        <w:rPr>
          <w:rFonts w:asciiTheme="minorHAnsi" w:hAnsiTheme="minorHAnsi" w:cstheme="minorBidi"/>
        </w:rPr>
        <w:t xml:space="preserve">What is the impact of coordinated FDI attacks on grid-forming droop control in weak-grid conditions? </w:t>
      </w:r>
    </w:p>
    <w:p w14:paraId="3CC115CC" w14:textId="537200AB" w:rsidR="00B73A3A" w:rsidRPr="00B611DD" w:rsidRDefault="00B73A3A" w:rsidP="5EBEA1BC">
      <w:pPr>
        <w:pStyle w:val="NormalWeb"/>
        <w:numPr>
          <w:ilvl w:val="0"/>
          <w:numId w:val="40"/>
        </w:numPr>
        <w:spacing w:before="100" w:beforeAutospacing="1" w:after="100" w:afterAutospacing="1"/>
        <w:jc w:val="both"/>
        <w:rPr>
          <w:rFonts w:asciiTheme="minorHAnsi" w:hAnsiTheme="minorHAnsi" w:cstheme="minorBidi"/>
        </w:rPr>
      </w:pPr>
      <w:r w:rsidRPr="282A461E">
        <w:rPr>
          <w:rFonts w:asciiTheme="minorHAnsi" w:hAnsiTheme="minorHAnsi" w:cstheme="minorBidi"/>
        </w:rPr>
        <w:t xml:space="preserve">How do DoS attacks on wide-area measurement systems affect transient instability? Can AI-driven predictive control remain stable under adversarial input perturbations? </w:t>
      </w:r>
    </w:p>
    <w:p w14:paraId="566DFE69" w14:textId="465379A2" w:rsidR="00B73A3A" w:rsidRPr="00AE0BBD" w:rsidRDefault="00B73A3A" w:rsidP="5EBEA1BC">
      <w:pPr>
        <w:pStyle w:val="NormalWeb"/>
        <w:numPr>
          <w:ilvl w:val="0"/>
          <w:numId w:val="40"/>
        </w:numPr>
        <w:spacing w:before="100" w:beforeAutospacing="1" w:after="100" w:afterAutospacing="1"/>
        <w:jc w:val="both"/>
        <w:rPr>
          <w:rFonts w:asciiTheme="minorHAnsi" w:hAnsiTheme="minorHAnsi" w:cstheme="minorBidi"/>
        </w:rPr>
      </w:pPr>
      <w:r w:rsidRPr="282A461E">
        <w:rPr>
          <w:rFonts w:asciiTheme="minorHAnsi" w:hAnsiTheme="minorHAnsi" w:cstheme="minorBidi"/>
        </w:rPr>
        <w:t>What are the cyber-induced limits to IBR penetration in the NEM?</w:t>
      </w:r>
    </w:p>
    <w:p w14:paraId="54C5F10A" w14:textId="685D299F" w:rsidR="00B73A3A" w:rsidRDefault="00B73A3A" w:rsidP="282A461E">
      <w:pPr>
        <w:pStyle w:val="Heading5"/>
        <w:jc w:val="both"/>
        <w:rPr>
          <w:rFonts w:asciiTheme="minorHAnsi" w:eastAsiaTheme="minorEastAsia" w:hAnsiTheme="minorHAnsi" w:cstheme="minorBidi"/>
          <w:sz w:val="24"/>
          <w:szCs w:val="24"/>
        </w:rPr>
      </w:pPr>
      <w:r w:rsidRPr="282A461E">
        <w:rPr>
          <w:sz w:val="24"/>
          <w:szCs w:val="24"/>
        </w:rPr>
        <w:t>Research Directions</w:t>
      </w:r>
    </w:p>
    <w:p w14:paraId="48BCDFE1" w14:textId="4062B380" w:rsidR="00B73A3A" w:rsidRPr="00F96F33" w:rsidRDefault="00B73A3A" w:rsidP="00217A2A">
      <w:pPr>
        <w:jc w:val="both"/>
        <w:rPr>
          <w:rFonts w:asciiTheme="minorHAnsi" w:eastAsiaTheme="minorEastAsia" w:hAnsiTheme="minorHAnsi" w:cstheme="minorBidi"/>
          <w:sz w:val="24"/>
          <w:szCs w:val="24"/>
        </w:rPr>
      </w:pPr>
      <w:r w:rsidRPr="282A461E">
        <w:rPr>
          <w:sz w:val="24"/>
          <w:szCs w:val="24"/>
        </w:rPr>
        <w:t>Develop a cyber-physical stability framework for inverter-dominated power systems by embedding cybersecurity directly into grid-forming inverter (GFMI) modelling, control, and planning. Construct integrated models that incorporate communication layers, firmware-level control logic, and adversarial attack vectors (e.g., false data injection, denial-of-service, and parameter tampering) within transmission-level networks. Develop resilient control and detection strategies to define cyber-aware IBR limits and inform secure grid-forming standards.</w:t>
      </w:r>
    </w:p>
    <w:p w14:paraId="03245A37" w14:textId="3E615C4C" w:rsidR="000C0182" w:rsidRPr="004F1CA5" w:rsidRDefault="00444620" w:rsidP="000C0182">
      <w:pPr>
        <w:pStyle w:val="Heading4"/>
        <w:rPr>
          <w:rFonts w:asciiTheme="minorHAnsi" w:hAnsiTheme="minorHAnsi" w:cstheme="minorBidi"/>
        </w:rPr>
      </w:pPr>
      <w:bookmarkStart w:id="365" w:name="_Toc222909125"/>
      <w:r>
        <w:rPr>
          <w:rFonts w:asciiTheme="minorHAnsi" w:hAnsiTheme="minorHAnsi" w:cstheme="minorBidi"/>
        </w:rPr>
        <w:t>3</w:t>
      </w:r>
      <w:r w:rsidR="000C0182" w:rsidRPr="19F71E1F">
        <w:rPr>
          <w:rFonts w:asciiTheme="minorHAnsi" w:hAnsiTheme="minorHAnsi" w:cstheme="minorBidi"/>
        </w:rPr>
        <w:t>. Stability-Aware Incident Response, Recovery, and Resilience Engineering for DER Operators</w:t>
      </w:r>
      <w:bookmarkEnd w:id="365"/>
    </w:p>
    <w:p w14:paraId="24A5B07F" w14:textId="2E999F21" w:rsidR="000C0182" w:rsidRPr="00041E94" w:rsidRDefault="000C0182" w:rsidP="282A461E">
      <w:pPr>
        <w:pStyle w:val="NormalWeb"/>
        <w:jc w:val="both"/>
        <w:rPr>
          <w:rFonts w:asciiTheme="minorHAnsi" w:hAnsiTheme="minorHAnsi" w:cstheme="minorBidi"/>
        </w:rPr>
      </w:pPr>
      <w:r w:rsidRPr="282A461E">
        <w:rPr>
          <w:rFonts w:asciiTheme="minorHAnsi" w:hAnsiTheme="minorHAnsi" w:cstheme="minorBidi"/>
        </w:rPr>
        <w:t xml:space="preserve">DER operators and aggregators lack stability-aware cyber incident response models. While sector frameworks (e.g., AESCSF) provide maturity benchmarks, they do not specify how cyber incidents affecting DER fleets should be detected, isolated, and recovered </w:t>
      </w:r>
      <w:r w:rsidR="00BB2DDB" w:rsidRPr="282A461E">
        <w:rPr>
          <w:rFonts w:asciiTheme="minorHAnsi" w:hAnsiTheme="minorHAnsi" w:cstheme="minorBidi"/>
        </w:rPr>
        <w:t xml:space="preserve">at an operational level </w:t>
      </w:r>
      <w:r w:rsidRPr="282A461E">
        <w:rPr>
          <w:rFonts w:asciiTheme="minorHAnsi" w:hAnsiTheme="minorHAnsi" w:cstheme="minorBidi"/>
        </w:rPr>
        <w:t>while preserving dynamic system security.</w:t>
      </w:r>
    </w:p>
    <w:p w14:paraId="0370BAAE" w14:textId="77777777" w:rsidR="000C0182" w:rsidRPr="004F1CA5" w:rsidRDefault="000C0182" w:rsidP="282A461E">
      <w:pPr>
        <w:pStyle w:val="Heading5"/>
        <w:jc w:val="both"/>
        <w:rPr>
          <w:rFonts w:asciiTheme="minorHAnsi" w:hAnsiTheme="minorHAnsi" w:cstheme="minorBidi"/>
          <w:sz w:val="24"/>
          <w:szCs w:val="24"/>
        </w:rPr>
      </w:pPr>
      <w:r w:rsidRPr="282A461E">
        <w:rPr>
          <w:rFonts w:asciiTheme="minorHAnsi" w:hAnsiTheme="minorHAnsi" w:cstheme="minorBidi"/>
          <w:sz w:val="24"/>
          <w:szCs w:val="24"/>
        </w:rPr>
        <w:t>Why It Matters for Stability</w:t>
      </w:r>
    </w:p>
    <w:p w14:paraId="16B654B8" w14:textId="77777777" w:rsidR="000C0182" w:rsidRPr="00041E94" w:rsidRDefault="000C0182" w:rsidP="282A461E">
      <w:pPr>
        <w:pStyle w:val="NormalWeb"/>
        <w:jc w:val="both"/>
        <w:rPr>
          <w:rFonts w:asciiTheme="minorHAnsi" w:hAnsiTheme="minorHAnsi" w:cstheme="minorBidi"/>
        </w:rPr>
      </w:pPr>
      <w:r w:rsidRPr="282A461E">
        <w:rPr>
          <w:rFonts w:asciiTheme="minorHAnsi" w:hAnsiTheme="minorHAnsi" w:cstheme="minorBidi"/>
        </w:rPr>
        <w:t>Delayed detection or poorly coordinated response may:</w:t>
      </w:r>
    </w:p>
    <w:p w14:paraId="6BDCD076" w14:textId="77777777" w:rsidR="000C0182" w:rsidRPr="00041E94" w:rsidRDefault="000C0182" w:rsidP="00846D08">
      <w:pPr>
        <w:pStyle w:val="NormalWeb"/>
        <w:numPr>
          <w:ilvl w:val="0"/>
          <w:numId w:val="41"/>
        </w:numPr>
        <w:spacing w:before="100" w:beforeAutospacing="1" w:after="100" w:afterAutospacing="1"/>
        <w:jc w:val="both"/>
        <w:rPr>
          <w:rFonts w:asciiTheme="minorHAnsi" w:hAnsiTheme="minorHAnsi" w:cstheme="minorBidi"/>
        </w:rPr>
      </w:pPr>
      <w:r w:rsidRPr="282A461E">
        <w:rPr>
          <w:rFonts w:asciiTheme="minorHAnsi" w:hAnsiTheme="minorHAnsi" w:cstheme="minorBidi"/>
        </w:rPr>
        <w:t>Prolong frequency deviations</w:t>
      </w:r>
    </w:p>
    <w:p w14:paraId="113632DC" w14:textId="77777777" w:rsidR="000C0182" w:rsidRPr="00041E94" w:rsidRDefault="000C0182" w:rsidP="00846D08">
      <w:pPr>
        <w:pStyle w:val="NormalWeb"/>
        <w:numPr>
          <w:ilvl w:val="0"/>
          <w:numId w:val="41"/>
        </w:numPr>
        <w:spacing w:before="100" w:beforeAutospacing="1" w:after="100" w:afterAutospacing="1"/>
        <w:jc w:val="both"/>
        <w:rPr>
          <w:rFonts w:asciiTheme="minorHAnsi" w:hAnsiTheme="minorHAnsi" w:cstheme="minorBidi"/>
        </w:rPr>
      </w:pPr>
      <w:r w:rsidRPr="282A461E">
        <w:rPr>
          <w:rFonts w:asciiTheme="minorHAnsi" w:hAnsiTheme="minorHAnsi" w:cstheme="minorBidi"/>
        </w:rPr>
        <w:t>Delay voltage restoration</w:t>
      </w:r>
    </w:p>
    <w:p w14:paraId="6749DC4A" w14:textId="77777777" w:rsidR="000C0182" w:rsidRPr="00041E94" w:rsidRDefault="000C0182" w:rsidP="00846D08">
      <w:pPr>
        <w:pStyle w:val="NormalWeb"/>
        <w:numPr>
          <w:ilvl w:val="0"/>
          <w:numId w:val="41"/>
        </w:numPr>
        <w:spacing w:before="100" w:beforeAutospacing="1" w:after="100" w:afterAutospacing="1"/>
        <w:jc w:val="both"/>
        <w:rPr>
          <w:rFonts w:asciiTheme="minorHAnsi" w:hAnsiTheme="minorHAnsi" w:cstheme="minorBidi"/>
        </w:rPr>
      </w:pPr>
      <w:r w:rsidRPr="282A461E">
        <w:rPr>
          <w:rFonts w:asciiTheme="minorHAnsi" w:hAnsiTheme="minorHAnsi" w:cstheme="minorBidi"/>
        </w:rPr>
        <w:t>Trigger cascading disconnections</w:t>
      </w:r>
    </w:p>
    <w:p w14:paraId="1794EFD5" w14:textId="77777777" w:rsidR="000C0182" w:rsidRPr="00041E94" w:rsidRDefault="000C0182" w:rsidP="00846D08">
      <w:pPr>
        <w:pStyle w:val="NormalWeb"/>
        <w:numPr>
          <w:ilvl w:val="0"/>
          <w:numId w:val="41"/>
        </w:numPr>
        <w:spacing w:before="100" w:beforeAutospacing="1" w:after="100" w:afterAutospacing="1"/>
        <w:jc w:val="both"/>
        <w:rPr>
          <w:rFonts w:asciiTheme="minorHAnsi" w:hAnsiTheme="minorHAnsi" w:cstheme="minorBidi"/>
        </w:rPr>
      </w:pPr>
      <w:r w:rsidRPr="282A461E">
        <w:rPr>
          <w:rFonts w:asciiTheme="minorHAnsi" w:hAnsiTheme="minorHAnsi" w:cstheme="minorBidi"/>
        </w:rPr>
        <w:t>Disrupt protection logic under abnormal flows</w:t>
      </w:r>
    </w:p>
    <w:p w14:paraId="47C175E7" w14:textId="77777777" w:rsidR="000C0182" w:rsidRPr="004F1CA5" w:rsidRDefault="000C0182" w:rsidP="282A461E">
      <w:pPr>
        <w:pStyle w:val="Heading5"/>
        <w:jc w:val="both"/>
        <w:rPr>
          <w:rFonts w:asciiTheme="minorHAnsi" w:hAnsiTheme="minorHAnsi" w:cstheme="minorBidi"/>
          <w:sz w:val="24"/>
          <w:szCs w:val="24"/>
        </w:rPr>
      </w:pPr>
      <w:r w:rsidRPr="282A461E">
        <w:rPr>
          <w:rFonts w:asciiTheme="minorHAnsi" w:hAnsiTheme="minorHAnsi" w:cstheme="minorBidi"/>
          <w:sz w:val="24"/>
          <w:szCs w:val="24"/>
        </w:rPr>
        <w:t>Key research questions</w:t>
      </w:r>
    </w:p>
    <w:p w14:paraId="63D4E93F" w14:textId="77777777" w:rsidR="000C0182" w:rsidRPr="00041E94" w:rsidRDefault="000C0182" w:rsidP="00846D08">
      <w:pPr>
        <w:pStyle w:val="NormalWeb"/>
        <w:numPr>
          <w:ilvl w:val="0"/>
          <w:numId w:val="42"/>
        </w:numPr>
        <w:spacing w:before="100" w:beforeAutospacing="1" w:after="100" w:afterAutospacing="1"/>
        <w:jc w:val="both"/>
        <w:rPr>
          <w:rFonts w:asciiTheme="minorHAnsi" w:hAnsiTheme="minorHAnsi" w:cstheme="minorBidi"/>
        </w:rPr>
      </w:pPr>
      <w:r w:rsidRPr="282A461E">
        <w:rPr>
          <w:rFonts w:asciiTheme="minorHAnsi" w:hAnsiTheme="minorHAnsi" w:cstheme="minorBidi"/>
        </w:rPr>
        <w:t>How can DER cyber incidents be detected and classified in ways that are meaningful for fleet operations and power system stability?</w:t>
      </w:r>
    </w:p>
    <w:p w14:paraId="7A04F6EA" w14:textId="77777777" w:rsidR="000C0182" w:rsidRPr="00041E94" w:rsidRDefault="000C0182" w:rsidP="00846D08">
      <w:pPr>
        <w:pStyle w:val="NormalWeb"/>
        <w:numPr>
          <w:ilvl w:val="0"/>
          <w:numId w:val="42"/>
        </w:numPr>
        <w:spacing w:before="100" w:beforeAutospacing="1" w:after="100" w:afterAutospacing="1"/>
        <w:jc w:val="both"/>
        <w:rPr>
          <w:rFonts w:asciiTheme="minorHAnsi" w:hAnsiTheme="minorHAnsi" w:cstheme="minorBidi"/>
        </w:rPr>
      </w:pPr>
      <w:r w:rsidRPr="282A461E">
        <w:rPr>
          <w:rFonts w:asciiTheme="minorHAnsi" w:hAnsiTheme="minorHAnsi" w:cstheme="minorBidi"/>
        </w:rPr>
        <w:t>What response and recovery strategies enable containment of compromised DER fleets while maintaining dynamic system security?</w:t>
      </w:r>
    </w:p>
    <w:p w14:paraId="2B8177D4" w14:textId="77777777" w:rsidR="000C0182" w:rsidRPr="00041E94" w:rsidRDefault="000C0182" w:rsidP="00846D08">
      <w:pPr>
        <w:pStyle w:val="NormalWeb"/>
        <w:numPr>
          <w:ilvl w:val="0"/>
          <w:numId w:val="42"/>
        </w:numPr>
        <w:spacing w:before="100" w:beforeAutospacing="1" w:after="100" w:afterAutospacing="1"/>
        <w:jc w:val="both"/>
        <w:rPr>
          <w:rFonts w:asciiTheme="minorHAnsi" w:hAnsiTheme="minorHAnsi" w:cstheme="minorBidi"/>
        </w:rPr>
      </w:pPr>
      <w:r w:rsidRPr="282A461E">
        <w:rPr>
          <w:rFonts w:asciiTheme="minorHAnsi" w:hAnsiTheme="minorHAnsi" w:cstheme="minorBidi"/>
        </w:rPr>
        <w:t>How can restoration approaches (e.g., staged reconnection) be designed to support secure recovery without inducing further instability?</w:t>
      </w:r>
    </w:p>
    <w:p w14:paraId="20DECD92" w14:textId="77777777" w:rsidR="000C0182" w:rsidRPr="004F1CA5" w:rsidRDefault="000C0182" w:rsidP="282A461E">
      <w:pPr>
        <w:pStyle w:val="Heading5"/>
        <w:jc w:val="both"/>
        <w:rPr>
          <w:rFonts w:asciiTheme="minorHAnsi" w:hAnsiTheme="minorHAnsi" w:cstheme="minorBidi"/>
          <w:sz w:val="24"/>
          <w:szCs w:val="24"/>
        </w:rPr>
      </w:pPr>
      <w:r w:rsidRPr="282A461E">
        <w:rPr>
          <w:rFonts w:asciiTheme="minorHAnsi" w:hAnsiTheme="minorHAnsi" w:cstheme="minorBidi"/>
          <w:sz w:val="24"/>
          <w:szCs w:val="24"/>
        </w:rPr>
        <w:t>Research Directions</w:t>
      </w:r>
    </w:p>
    <w:p w14:paraId="1E810D71" w14:textId="77777777" w:rsidR="000C0182" w:rsidRPr="00041E94" w:rsidRDefault="000C0182" w:rsidP="282A461E">
      <w:pPr>
        <w:pStyle w:val="NormalWeb"/>
        <w:jc w:val="both"/>
        <w:rPr>
          <w:rFonts w:asciiTheme="minorHAnsi" w:hAnsiTheme="minorHAnsi" w:cstheme="minorBidi"/>
        </w:rPr>
      </w:pPr>
      <w:r w:rsidRPr="282A461E">
        <w:rPr>
          <w:rFonts w:asciiTheme="minorHAnsi" w:hAnsiTheme="minorHAnsi" w:cstheme="minorBidi"/>
        </w:rPr>
        <w:t>Define DER-specific incident taxonomies (e.g., coordinated ramp events, ride-through manipulation, fleet-level disconnections); develop stability-aware detection linked to frequency and voltage signals; model-controlled recovery strategies such as staggered reconnection; and quantify performance using restoration time, voltage recovery, and damping metrics.</w:t>
      </w:r>
    </w:p>
    <w:p w14:paraId="57ED72C1" w14:textId="4302C8AF" w:rsidR="000C0182" w:rsidRPr="004F1CA5" w:rsidRDefault="00444620" w:rsidP="000C0182">
      <w:pPr>
        <w:pStyle w:val="Heading4"/>
        <w:rPr>
          <w:rFonts w:asciiTheme="minorHAnsi" w:hAnsiTheme="minorHAnsi" w:cstheme="minorBidi"/>
        </w:rPr>
      </w:pPr>
      <w:bookmarkStart w:id="366" w:name="_Toc222909126"/>
      <w:r>
        <w:rPr>
          <w:rFonts w:asciiTheme="minorHAnsi" w:hAnsiTheme="minorHAnsi" w:cstheme="minorBidi"/>
        </w:rPr>
        <w:t>4</w:t>
      </w:r>
      <w:r w:rsidR="000C0182" w:rsidRPr="19F71E1F">
        <w:rPr>
          <w:rFonts w:asciiTheme="minorHAnsi" w:hAnsiTheme="minorHAnsi" w:cstheme="minorBidi"/>
        </w:rPr>
        <w:t>. Secure, Coordinated, and Grid-Aware Firmware Updating and Lifecycle Governance for DER Fleets</w:t>
      </w:r>
      <w:bookmarkEnd w:id="366"/>
    </w:p>
    <w:p w14:paraId="4B5833A0" w14:textId="77777777" w:rsidR="000C0182" w:rsidRPr="00041E94" w:rsidRDefault="000C0182" w:rsidP="00041E94">
      <w:pPr>
        <w:pStyle w:val="NormalWeb"/>
        <w:jc w:val="both"/>
        <w:rPr>
          <w:rFonts w:asciiTheme="minorHAnsi" w:hAnsiTheme="minorHAnsi" w:cstheme="minorBidi"/>
        </w:rPr>
      </w:pPr>
      <w:r w:rsidRPr="282A461E">
        <w:rPr>
          <w:rFonts w:asciiTheme="minorHAnsi" w:hAnsiTheme="minorHAnsi" w:cstheme="minorBidi"/>
        </w:rPr>
        <w:t>Current DER standards (e.g., CSIP-AUS) lack scalable, grid-aware secure update frameworks tailored for aggregated fleets. DER fleets require firmware updates for performance and compliance, but the mass rollout of updates can unintentionally modify aggregated dynamic characteristics. Compromised update channels can also introduce malicious logic at scale. A poorly coordinated mass update could disrupt aggregated power output, affect voltage or frequency stability, violate market obligations, or introduce systemic cyber vulnerabilities.</w:t>
      </w:r>
    </w:p>
    <w:p w14:paraId="11C14EFB" w14:textId="77777777" w:rsidR="000C0182" w:rsidRPr="004F1CA5" w:rsidRDefault="000C0182" w:rsidP="282A461E">
      <w:pPr>
        <w:pStyle w:val="Heading5"/>
        <w:jc w:val="both"/>
        <w:rPr>
          <w:rFonts w:asciiTheme="minorHAnsi" w:hAnsiTheme="minorHAnsi" w:cstheme="minorBidi"/>
          <w:sz w:val="24"/>
          <w:szCs w:val="24"/>
        </w:rPr>
      </w:pPr>
      <w:r w:rsidRPr="282A461E">
        <w:rPr>
          <w:rFonts w:asciiTheme="minorHAnsi" w:hAnsiTheme="minorHAnsi" w:cstheme="minorBidi"/>
          <w:sz w:val="24"/>
          <w:szCs w:val="24"/>
        </w:rPr>
        <w:t>Why It Matters for Stability</w:t>
      </w:r>
    </w:p>
    <w:p w14:paraId="3FFF9C18" w14:textId="77777777" w:rsidR="000C0182" w:rsidRPr="004F1CA5" w:rsidRDefault="000C0182" w:rsidP="282A461E">
      <w:pPr>
        <w:pStyle w:val="NormalWeb"/>
        <w:jc w:val="both"/>
        <w:rPr>
          <w:rFonts w:asciiTheme="minorHAnsi" w:hAnsiTheme="minorHAnsi" w:cstheme="minorHAnsi"/>
        </w:rPr>
      </w:pPr>
      <w:r w:rsidRPr="004F1CA5">
        <w:rPr>
          <w:rFonts w:asciiTheme="minorHAnsi" w:hAnsiTheme="minorHAnsi" w:cstheme="minorHAnsi"/>
        </w:rPr>
        <w:t>Firmware changes can alter:</w:t>
      </w:r>
    </w:p>
    <w:p w14:paraId="4C14254D" w14:textId="77777777" w:rsidR="000C0182" w:rsidRPr="00F03688" w:rsidRDefault="000C0182" w:rsidP="00846D08">
      <w:pPr>
        <w:pStyle w:val="NormalWeb"/>
        <w:numPr>
          <w:ilvl w:val="0"/>
          <w:numId w:val="43"/>
        </w:numPr>
        <w:spacing w:before="100" w:beforeAutospacing="1" w:after="100" w:afterAutospacing="1"/>
        <w:jc w:val="both"/>
        <w:rPr>
          <w:rFonts w:asciiTheme="minorHAnsi" w:hAnsiTheme="minorHAnsi" w:cstheme="minorHAnsi"/>
        </w:rPr>
      </w:pPr>
      <w:r w:rsidRPr="00F03688">
        <w:rPr>
          <w:rFonts w:asciiTheme="minorHAnsi" w:hAnsiTheme="minorHAnsi" w:cstheme="minorHAnsi"/>
        </w:rPr>
        <w:t>Ramp rates</w:t>
      </w:r>
    </w:p>
    <w:p w14:paraId="3BE7D9FB" w14:textId="77777777" w:rsidR="000C0182" w:rsidRPr="00F03688" w:rsidRDefault="000C0182" w:rsidP="00846D08">
      <w:pPr>
        <w:pStyle w:val="NormalWeb"/>
        <w:numPr>
          <w:ilvl w:val="0"/>
          <w:numId w:val="43"/>
        </w:numPr>
        <w:spacing w:before="100" w:beforeAutospacing="1" w:after="100" w:afterAutospacing="1"/>
        <w:jc w:val="both"/>
        <w:rPr>
          <w:rFonts w:asciiTheme="minorHAnsi" w:hAnsiTheme="minorHAnsi" w:cstheme="minorHAnsi"/>
        </w:rPr>
      </w:pPr>
      <w:r w:rsidRPr="00F03688">
        <w:rPr>
          <w:rFonts w:asciiTheme="minorHAnsi" w:hAnsiTheme="minorHAnsi" w:cstheme="minorHAnsi"/>
        </w:rPr>
        <w:t>Reactive power support</w:t>
      </w:r>
    </w:p>
    <w:p w14:paraId="48A25850" w14:textId="77777777" w:rsidR="000C0182" w:rsidRPr="00F03688" w:rsidRDefault="000C0182" w:rsidP="00846D08">
      <w:pPr>
        <w:pStyle w:val="NormalWeb"/>
        <w:numPr>
          <w:ilvl w:val="0"/>
          <w:numId w:val="43"/>
        </w:numPr>
        <w:spacing w:before="100" w:beforeAutospacing="1" w:after="100" w:afterAutospacing="1"/>
        <w:jc w:val="both"/>
        <w:rPr>
          <w:rFonts w:asciiTheme="minorHAnsi" w:hAnsiTheme="minorHAnsi" w:cstheme="minorHAnsi"/>
        </w:rPr>
      </w:pPr>
      <w:r w:rsidRPr="00F03688">
        <w:rPr>
          <w:rFonts w:asciiTheme="minorHAnsi" w:hAnsiTheme="minorHAnsi" w:cstheme="minorHAnsi"/>
        </w:rPr>
        <w:t>Ride-through thresholds</w:t>
      </w:r>
    </w:p>
    <w:p w14:paraId="1722BEA5" w14:textId="77777777" w:rsidR="000C0182" w:rsidRPr="00F03688" w:rsidRDefault="000C0182" w:rsidP="00F03688">
      <w:pPr>
        <w:pStyle w:val="NormalWeb"/>
        <w:numPr>
          <w:ilvl w:val="0"/>
          <w:numId w:val="41"/>
        </w:numPr>
        <w:spacing w:before="100" w:beforeAutospacing="1" w:after="100" w:afterAutospacing="1"/>
        <w:jc w:val="both"/>
        <w:rPr>
          <w:rFonts w:asciiTheme="minorHAnsi" w:hAnsiTheme="minorHAnsi" w:cstheme="minorHAnsi"/>
        </w:rPr>
      </w:pPr>
      <w:r w:rsidRPr="00F03688">
        <w:rPr>
          <w:rFonts w:asciiTheme="minorHAnsi" w:hAnsiTheme="minorHAnsi" w:cstheme="minorHAnsi"/>
        </w:rPr>
        <w:t xml:space="preserve">Frequency response </w:t>
      </w:r>
      <w:r w:rsidRPr="282A461E">
        <w:rPr>
          <w:rFonts w:asciiTheme="minorHAnsi" w:hAnsiTheme="minorHAnsi" w:cstheme="minorBidi"/>
        </w:rPr>
        <w:t>behaviour</w:t>
      </w:r>
    </w:p>
    <w:p w14:paraId="2AF881A8" w14:textId="77777777" w:rsidR="000C0182" w:rsidRPr="004F1CA5" w:rsidRDefault="000C0182" w:rsidP="282A461E">
      <w:pPr>
        <w:pStyle w:val="Heading5"/>
        <w:jc w:val="both"/>
        <w:rPr>
          <w:rFonts w:asciiTheme="minorHAnsi" w:hAnsiTheme="minorHAnsi" w:cstheme="minorBidi"/>
          <w:sz w:val="24"/>
          <w:szCs w:val="24"/>
        </w:rPr>
      </w:pPr>
      <w:r w:rsidRPr="282A461E">
        <w:rPr>
          <w:rFonts w:asciiTheme="minorHAnsi" w:hAnsiTheme="minorHAnsi" w:cstheme="minorBidi"/>
          <w:sz w:val="24"/>
          <w:szCs w:val="24"/>
        </w:rPr>
        <w:t>Key research questions</w:t>
      </w:r>
    </w:p>
    <w:p w14:paraId="1A92C8F9" w14:textId="77777777" w:rsidR="000C0182" w:rsidRPr="00041E94" w:rsidRDefault="000C0182" w:rsidP="00846D08">
      <w:pPr>
        <w:pStyle w:val="NormalWeb"/>
        <w:numPr>
          <w:ilvl w:val="0"/>
          <w:numId w:val="44"/>
        </w:numPr>
        <w:spacing w:before="100" w:beforeAutospacing="1" w:after="100" w:afterAutospacing="1"/>
        <w:jc w:val="both"/>
        <w:rPr>
          <w:rFonts w:asciiTheme="minorHAnsi" w:hAnsiTheme="minorHAnsi" w:cstheme="minorBidi"/>
        </w:rPr>
      </w:pPr>
      <w:r w:rsidRPr="282A461E">
        <w:rPr>
          <w:rFonts w:asciiTheme="minorHAnsi" w:hAnsiTheme="minorHAnsi" w:cstheme="minorBidi"/>
        </w:rPr>
        <w:t>How can DER aggregators securely, reliably, and economically deploy large-scale software/firmware updates across heterogeneous, multi-owner DER fleets participating in wholesale markets—without compromising grid stability or creating new cyber vulnerabilities?</w:t>
      </w:r>
    </w:p>
    <w:p w14:paraId="0C34C21D" w14:textId="77777777" w:rsidR="000C0182" w:rsidRPr="00041E94" w:rsidRDefault="000C0182" w:rsidP="00846D08">
      <w:pPr>
        <w:pStyle w:val="NormalWeb"/>
        <w:numPr>
          <w:ilvl w:val="0"/>
          <w:numId w:val="44"/>
        </w:numPr>
        <w:spacing w:before="100" w:beforeAutospacing="1" w:after="100" w:afterAutospacing="1"/>
        <w:jc w:val="both"/>
        <w:rPr>
          <w:rFonts w:asciiTheme="minorHAnsi" w:hAnsiTheme="minorHAnsi" w:cstheme="minorBidi"/>
        </w:rPr>
      </w:pPr>
      <w:r w:rsidRPr="282A461E">
        <w:rPr>
          <w:rFonts w:asciiTheme="minorHAnsi" w:hAnsiTheme="minorHAnsi" w:cstheme="minorBidi"/>
        </w:rPr>
        <w:t>How can aggregators validate firmware integrity independently of vendors, and what options are available through certification schemes arising from IoT labelling standards and certification regimes?</w:t>
      </w:r>
    </w:p>
    <w:p w14:paraId="5F079B37" w14:textId="77777777" w:rsidR="000C0182" w:rsidRPr="00041E94" w:rsidRDefault="000C0182" w:rsidP="00846D08">
      <w:pPr>
        <w:pStyle w:val="NormalWeb"/>
        <w:numPr>
          <w:ilvl w:val="0"/>
          <w:numId w:val="44"/>
        </w:numPr>
        <w:spacing w:before="100" w:beforeAutospacing="1" w:after="100" w:afterAutospacing="1"/>
        <w:jc w:val="both"/>
        <w:rPr>
          <w:rFonts w:asciiTheme="minorHAnsi" w:hAnsiTheme="minorHAnsi" w:cstheme="minorBidi"/>
        </w:rPr>
      </w:pPr>
      <w:r w:rsidRPr="282A461E">
        <w:rPr>
          <w:rFonts w:asciiTheme="minorHAnsi" w:hAnsiTheme="minorHAnsi" w:cstheme="minorBidi"/>
        </w:rPr>
        <w:t>How should update sequencing and rollout strategies be constrained to preserve stability and market obligations?</w:t>
      </w:r>
    </w:p>
    <w:p w14:paraId="41DA6E2A" w14:textId="77777777" w:rsidR="000C0182" w:rsidRPr="004F1CA5" w:rsidRDefault="000C0182" w:rsidP="00846D08">
      <w:pPr>
        <w:pStyle w:val="NormalWeb"/>
        <w:numPr>
          <w:ilvl w:val="0"/>
          <w:numId w:val="44"/>
        </w:numPr>
        <w:spacing w:before="100" w:beforeAutospacing="1" w:after="100" w:afterAutospacing="1"/>
        <w:jc w:val="both"/>
        <w:rPr>
          <w:rFonts w:asciiTheme="minorHAnsi" w:hAnsiTheme="minorHAnsi" w:cstheme="minorHAnsi"/>
        </w:rPr>
      </w:pPr>
      <w:r w:rsidRPr="282A461E">
        <w:rPr>
          <w:rFonts w:asciiTheme="minorHAnsi" w:hAnsiTheme="minorHAnsi" w:cstheme="minorBidi"/>
        </w:rPr>
        <w:t>How does partial DER compromise affect wholesale market clearing, ancillary services, and price stability during remediation and lifecycle operations</w:t>
      </w:r>
      <w:r w:rsidRPr="004F1CA5">
        <w:rPr>
          <w:rFonts w:asciiTheme="minorHAnsi" w:hAnsiTheme="minorHAnsi" w:cstheme="minorHAnsi"/>
        </w:rPr>
        <w:t>?</w:t>
      </w:r>
    </w:p>
    <w:p w14:paraId="73C10B49" w14:textId="77777777" w:rsidR="000C0182" w:rsidRPr="004F1CA5" w:rsidRDefault="000C0182" w:rsidP="282A461E">
      <w:pPr>
        <w:pStyle w:val="Heading5"/>
        <w:jc w:val="both"/>
        <w:rPr>
          <w:rFonts w:asciiTheme="minorHAnsi" w:hAnsiTheme="minorHAnsi" w:cstheme="minorBidi"/>
          <w:sz w:val="24"/>
          <w:szCs w:val="24"/>
        </w:rPr>
      </w:pPr>
      <w:r w:rsidRPr="282A461E">
        <w:rPr>
          <w:rFonts w:asciiTheme="minorHAnsi" w:hAnsiTheme="minorHAnsi" w:cstheme="minorBidi"/>
          <w:sz w:val="24"/>
          <w:szCs w:val="24"/>
        </w:rPr>
        <w:t>Research Directions</w:t>
      </w:r>
    </w:p>
    <w:p w14:paraId="4FDADB0A" w14:textId="77777777" w:rsidR="000C0182" w:rsidRPr="00041E94" w:rsidRDefault="000C0182" w:rsidP="00041E94">
      <w:pPr>
        <w:pStyle w:val="NormalWeb"/>
        <w:jc w:val="both"/>
        <w:rPr>
          <w:rFonts w:asciiTheme="minorHAnsi" w:hAnsiTheme="minorHAnsi" w:cstheme="minorBidi"/>
        </w:rPr>
      </w:pPr>
      <w:r w:rsidRPr="282A461E">
        <w:rPr>
          <w:rFonts w:asciiTheme="minorHAnsi" w:hAnsiTheme="minorHAnsi" w:cstheme="minorBidi"/>
        </w:rPr>
        <w:t>Develop a cyber-resilient, grid-aware framework for secure mass firmware updates in DER/CER aggregator fleets, noting that some aggregators already control DER updates from certain providers; model firmware-induced behavioural changes in inverter dynamics; develop stability-constrained rollout strategies (phased, state-aware updates); formalise cryptographic assurance with independent integrity validation; simulate aggregate behavioural impacts on frequency and voltage; and establish governance principles linking lifecycle control to stability thresholds. This should be complemented by a dynamic, system-aware cyber risk assessment framework that quantifies operational and economic impacts of partial DER compromise, including standardized risk metrics, probabilistic risk assessment integrated with power system stability analysis, and cyber-physical digital twin models for scenario testing.</w:t>
      </w:r>
    </w:p>
    <w:p w14:paraId="1A1201A6" w14:textId="05117E54" w:rsidR="000C0182" w:rsidRPr="004F1CA5" w:rsidRDefault="00444620" w:rsidP="000C0182">
      <w:pPr>
        <w:pStyle w:val="Heading4"/>
        <w:rPr>
          <w:rFonts w:asciiTheme="minorHAnsi" w:hAnsiTheme="minorHAnsi" w:cstheme="minorBidi"/>
        </w:rPr>
      </w:pPr>
      <w:bookmarkStart w:id="367" w:name="_Toc222909127"/>
      <w:r>
        <w:rPr>
          <w:rFonts w:asciiTheme="minorHAnsi" w:hAnsiTheme="minorHAnsi" w:cstheme="minorBidi"/>
        </w:rPr>
        <w:t>5</w:t>
      </w:r>
      <w:r w:rsidR="000C0182" w:rsidRPr="19F71E1F">
        <w:rPr>
          <w:rFonts w:asciiTheme="minorHAnsi" w:hAnsiTheme="minorHAnsi" w:cstheme="minorBidi"/>
        </w:rPr>
        <w:t>. Aggregator and Energy Market Interface Security, Including False Data Injection and DOE Misuse</w:t>
      </w:r>
      <w:bookmarkEnd w:id="367"/>
    </w:p>
    <w:p w14:paraId="3FD6102D" w14:textId="77777777" w:rsidR="000C0182" w:rsidRPr="00041E94" w:rsidRDefault="000C0182" w:rsidP="00041E94">
      <w:pPr>
        <w:pStyle w:val="NormalWeb"/>
        <w:jc w:val="both"/>
        <w:rPr>
          <w:rFonts w:asciiTheme="minorHAnsi" w:hAnsiTheme="minorHAnsi" w:cstheme="minorBidi"/>
        </w:rPr>
      </w:pPr>
      <w:r w:rsidRPr="3E0A5B84">
        <w:rPr>
          <w:rFonts w:asciiTheme="minorHAnsi" w:hAnsiTheme="minorHAnsi" w:cstheme="minorBidi"/>
        </w:rPr>
        <w:t>The operation of modern energy markets relies on the real-time exchange of data packets across communication networks for pricing, dispatch, and settlement. Aggregators interact with energy and ancillary service markets, and compromise of dispatch optimisation algorithms or measurement integrity can distort balancing signals and degrade reserve provision. These data flows and interfaces are vulnerable to cyberattacks, particularly false data injection (FDI), telemetry manipulation, and optimisation compromise. As markets integrate high levels of DER and automated controls such as Dynamic Operating Envelopes (DOEs), attackers may manipulate or spoof market information to influence economic incentives, disrupt operations, or subvert DOE-based control and market mechanisms.</w:t>
      </w:r>
    </w:p>
    <w:p w14:paraId="12376425" w14:textId="77777777" w:rsidR="000C0182" w:rsidRPr="00041E94" w:rsidRDefault="000C0182" w:rsidP="00041E94">
      <w:pPr>
        <w:pStyle w:val="NormalWeb"/>
        <w:jc w:val="both"/>
        <w:rPr>
          <w:rFonts w:asciiTheme="minorHAnsi" w:hAnsiTheme="minorHAnsi" w:cstheme="minorBidi"/>
        </w:rPr>
      </w:pPr>
      <w:r w:rsidRPr="3E0A5B84">
        <w:rPr>
          <w:rFonts w:asciiTheme="minorHAnsi" w:hAnsiTheme="minorHAnsi" w:cstheme="minorBidi"/>
        </w:rPr>
        <w:t>This study should sit alongside work on DOE in Topic 8 and identify threats and suitable controls that protect the emerging use of DOEs across Australia, including both supply-side and emerging consumption-side DOEs.</w:t>
      </w:r>
    </w:p>
    <w:p w14:paraId="72099217" w14:textId="77777777" w:rsidR="000C0182" w:rsidRPr="004F1CA5" w:rsidRDefault="000C0182" w:rsidP="000C0182">
      <w:pPr>
        <w:pStyle w:val="Heading5"/>
        <w:rPr>
          <w:rFonts w:asciiTheme="minorHAnsi" w:hAnsiTheme="minorHAnsi" w:cstheme="minorBidi"/>
          <w:sz w:val="24"/>
          <w:szCs w:val="24"/>
        </w:rPr>
      </w:pPr>
      <w:r w:rsidRPr="3E0A5B84">
        <w:rPr>
          <w:rFonts w:asciiTheme="minorHAnsi" w:hAnsiTheme="minorHAnsi" w:cstheme="minorBidi"/>
          <w:sz w:val="24"/>
          <w:szCs w:val="24"/>
        </w:rPr>
        <w:t>Why It Matters</w:t>
      </w:r>
    </w:p>
    <w:p w14:paraId="74367476" w14:textId="77777777" w:rsidR="000C0182" w:rsidRPr="00041E94" w:rsidRDefault="000C0182" w:rsidP="000C0182">
      <w:pPr>
        <w:pStyle w:val="NormalWeb"/>
        <w:rPr>
          <w:rFonts w:asciiTheme="minorHAnsi" w:hAnsiTheme="minorHAnsi" w:cstheme="minorBidi"/>
        </w:rPr>
      </w:pPr>
      <w:r w:rsidRPr="3E0A5B84">
        <w:rPr>
          <w:rFonts w:asciiTheme="minorHAnsi" w:hAnsiTheme="minorHAnsi" w:cstheme="minorBidi"/>
        </w:rPr>
        <w:t>Compromised market participation and communications may result in:</w:t>
      </w:r>
    </w:p>
    <w:p w14:paraId="681ED9A9" w14:textId="77777777" w:rsidR="000C0182" w:rsidRPr="00041E94" w:rsidRDefault="000C0182" w:rsidP="00846D08">
      <w:pPr>
        <w:pStyle w:val="NormalWeb"/>
        <w:numPr>
          <w:ilvl w:val="0"/>
          <w:numId w:val="45"/>
        </w:numPr>
        <w:spacing w:before="100" w:beforeAutospacing="1" w:after="100" w:afterAutospacing="1"/>
        <w:jc w:val="both"/>
        <w:rPr>
          <w:rFonts w:asciiTheme="minorHAnsi" w:hAnsiTheme="minorHAnsi" w:cstheme="minorBidi"/>
        </w:rPr>
      </w:pPr>
      <w:r w:rsidRPr="3E0A5B84">
        <w:rPr>
          <w:rFonts w:asciiTheme="minorHAnsi" w:hAnsiTheme="minorHAnsi" w:cstheme="minorBidi"/>
        </w:rPr>
        <w:t>Incorrect market clearing and settlement</w:t>
      </w:r>
    </w:p>
    <w:p w14:paraId="02911FE9" w14:textId="77777777" w:rsidR="000C0182" w:rsidRPr="00041E94" w:rsidRDefault="000C0182" w:rsidP="00846D08">
      <w:pPr>
        <w:pStyle w:val="NormalWeb"/>
        <w:numPr>
          <w:ilvl w:val="0"/>
          <w:numId w:val="45"/>
        </w:numPr>
        <w:spacing w:before="100" w:beforeAutospacing="1" w:after="100" w:afterAutospacing="1"/>
        <w:jc w:val="both"/>
        <w:rPr>
          <w:rFonts w:asciiTheme="minorHAnsi" w:hAnsiTheme="minorHAnsi" w:cstheme="minorBidi"/>
        </w:rPr>
      </w:pPr>
      <w:r w:rsidRPr="3E0A5B84">
        <w:rPr>
          <w:rFonts w:asciiTheme="minorHAnsi" w:hAnsiTheme="minorHAnsi" w:cstheme="minorBidi"/>
        </w:rPr>
        <w:t>Financial losses and distorted incentives</w:t>
      </w:r>
    </w:p>
    <w:p w14:paraId="1481D642" w14:textId="77777777" w:rsidR="000C0182" w:rsidRPr="00041E94" w:rsidRDefault="000C0182" w:rsidP="00846D08">
      <w:pPr>
        <w:pStyle w:val="NormalWeb"/>
        <w:numPr>
          <w:ilvl w:val="0"/>
          <w:numId w:val="45"/>
        </w:numPr>
        <w:spacing w:before="100" w:beforeAutospacing="1" w:after="100" w:afterAutospacing="1"/>
        <w:jc w:val="both"/>
        <w:rPr>
          <w:rFonts w:asciiTheme="minorHAnsi" w:hAnsiTheme="minorHAnsi" w:cstheme="minorBidi"/>
        </w:rPr>
      </w:pPr>
      <w:r w:rsidRPr="3E0A5B84">
        <w:rPr>
          <w:rFonts w:asciiTheme="minorHAnsi" w:hAnsiTheme="minorHAnsi" w:cstheme="minorBidi"/>
        </w:rPr>
        <w:t>Under-delivery of frequency containment and ancillary services</w:t>
      </w:r>
    </w:p>
    <w:p w14:paraId="540566B0" w14:textId="77777777" w:rsidR="000C0182" w:rsidRPr="00041E94" w:rsidRDefault="000C0182" w:rsidP="00846D08">
      <w:pPr>
        <w:pStyle w:val="NormalWeb"/>
        <w:numPr>
          <w:ilvl w:val="0"/>
          <w:numId w:val="45"/>
        </w:numPr>
        <w:spacing w:before="100" w:beforeAutospacing="1" w:after="100" w:afterAutospacing="1"/>
        <w:jc w:val="both"/>
        <w:rPr>
          <w:rFonts w:asciiTheme="minorHAnsi" w:hAnsiTheme="minorHAnsi" w:cstheme="minorBidi"/>
        </w:rPr>
      </w:pPr>
      <w:r w:rsidRPr="3E0A5B84">
        <w:rPr>
          <w:rFonts w:asciiTheme="minorHAnsi" w:hAnsiTheme="minorHAnsi" w:cstheme="minorBidi"/>
        </w:rPr>
        <w:t>Voltage violations due to incorrect dispatch</w:t>
      </w:r>
    </w:p>
    <w:p w14:paraId="6E414E11" w14:textId="77777777" w:rsidR="000C0182" w:rsidRPr="00041E94" w:rsidRDefault="000C0182" w:rsidP="00846D08">
      <w:pPr>
        <w:pStyle w:val="NormalWeb"/>
        <w:numPr>
          <w:ilvl w:val="0"/>
          <w:numId w:val="45"/>
        </w:numPr>
        <w:spacing w:before="100" w:beforeAutospacing="1" w:after="100" w:afterAutospacing="1"/>
        <w:jc w:val="both"/>
        <w:rPr>
          <w:rFonts w:asciiTheme="minorHAnsi" w:hAnsiTheme="minorHAnsi" w:cstheme="minorBidi"/>
        </w:rPr>
      </w:pPr>
      <w:r w:rsidRPr="3E0A5B84">
        <w:rPr>
          <w:rFonts w:asciiTheme="minorHAnsi" w:hAnsiTheme="minorHAnsi" w:cstheme="minorBidi"/>
        </w:rPr>
        <w:t>Reduced balancing capability during disturbances</w:t>
      </w:r>
    </w:p>
    <w:p w14:paraId="5A5CE41A" w14:textId="77777777" w:rsidR="000C0182" w:rsidRPr="004F1CA5" w:rsidRDefault="000C0182" w:rsidP="000C0182">
      <w:pPr>
        <w:pStyle w:val="Heading5"/>
        <w:rPr>
          <w:rFonts w:asciiTheme="minorHAnsi" w:hAnsiTheme="minorHAnsi" w:cstheme="minorBidi"/>
          <w:sz w:val="24"/>
          <w:szCs w:val="24"/>
        </w:rPr>
      </w:pPr>
      <w:r w:rsidRPr="3E0A5B84">
        <w:rPr>
          <w:rFonts w:asciiTheme="minorHAnsi" w:hAnsiTheme="minorHAnsi" w:cstheme="minorBidi"/>
          <w:sz w:val="24"/>
          <w:szCs w:val="24"/>
        </w:rPr>
        <w:t>Key research questions</w:t>
      </w:r>
    </w:p>
    <w:p w14:paraId="38A79216" w14:textId="77777777" w:rsidR="000C0182" w:rsidRPr="00041E94" w:rsidRDefault="000C0182" w:rsidP="00846D08">
      <w:pPr>
        <w:pStyle w:val="NormalWeb"/>
        <w:numPr>
          <w:ilvl w:val="0"/>
          <w:numId w:val="46"/>
        </w:numPr>
        <w:spacing w:before="100" w:beforeAutospacing="1" w:after="100" w:afterAutospacing="1"/>
        <w:jc w:val="both"/>
        <w:rPr>
          <w:rFonts w:asciiTheme="minorHAnsi" w:hAnsiTheme="minorHAnsi" w:cstheme="minorBidi"/>
        </w:rPr>
      </w:pPr>
      <w:r w:rsidRPr="3E0A5B84">
        <w:rPr>
          <w:rFonts w:asciiTheme="minorHAnsi" w:hAnsiTheme="minorHAnsi" w:cstheme="minorBidi"/>
        </w:rPr>
        <w:t>How can energy market communication systems and aggregator market interfaces be secured against false data injection attacks to ensure accurate, reliable, and resilient market operation under high DER penetration and automated grid control?</w:t>
      </w:r>
    </w:p>
    <w:p w14:paraId="0F9C2B44" w14:textId="77777777" w:rsidR="000C0182" w:rsidRPr="00041E94" w:rsidRDefault="000C0182" w:rsidP="00846D08">
      <w:pPr>
        <w:pStyle w:val="NormalWeb"/>
        <w:numPr>
          <w:ilvl w:val="0"/>
          <w:numId w:val="46"/>
        </w:numPr>
        <w:spacing w:before="100" w:beforeAutospacing="1" w:after="100" w:afterAutospacing="1"/>
        <w:jc w:val="both"/>
        <w:rPr>
          <w:rFonts w:asciiTheme="minorHAnsi" w:hAnsiTheme="minorHAnsi" w:cstheme="minorBidi"/>
        </w:rPr>
      </w:pPr>
      <w:r w:rsidRPr="3E0A5B84">
        <w:rPr>
          <w:rFonts w:asciiTheme="minorHAnsi" w:hAnsiTheme="minorHAnsi" w:cstheme="minorBidi"/>
        </w:rPr>
        <w:t>How can Dynamic Operating Envelopes be mis-used to distort the market, considering both supply and emerging consumption DOEs?</w:t>
      </w:r>
    </w:p>
    <w:p w14:paraId="753477F0" w14:textId="77777777" w:rsidR="000C0182" w:rsidRPr="00041E94" w:rsidRDefault="000C0182" w:rsidP="00846D08">
      <w:pPr>
        <w:pStyle w:val="NormalWeb"/>
        <w:numPr>
          <w:ilvl w:val="0"/>
          <w:numId w:val="46"/>
        </w:numPr>
        <w:spacing w:before="100" w:beforeAutospacing="1" w:after="100" w:afterAutospacing="1"/>
        <w:jc w:val="both"/>
        <w:rPr>
          <w:rFonts w:asciiTheme="minorHAnsi" w:hAnsiTheme="minorHAnsi" w:cstheme="minorBidi"/>
        </w:rPr>
      </w:pPr>
      <w:r w:rsidRPr="3E0A5B84">
        <w:rPr>
          <w:rFonts w:asciiTheme="minorHAnsi" w:hAnsiTheme="minorHAnsi" w:cstheme="minorBidi"/>
        </w:rPr>
        <w:t>How does partial DER compromise affect wholesale market clearing, ancillary services, and price stability?</w:t>
      </w:r>
    </w:p>
    <w:p w14:paraId="78EA20C7" w14:textId="77777777" w:rsidR="000C0182" w:rsidRPr="00041E94" w:rsidRDefault="000C0182" w:rsidP="00846D08">
      <w:pPr>
        <w:pStyle w:val="NormalWeb"/>
        <w:numPr>
          <w:ilvl w:val="0"/>
          <w:numId w:val="46"/>
        </w:numPr>
        <w:spacing w:before="100" w:beforeAutospacing="1" w:after="100" w:afterAutospacing="1"/>
        <w:jc w:val="both"/>
        <w:rPr>
          <w:rFonts w:asciiTheme="minorHAnsi" w:hAnsiTheme="minorHAnsi" w:cstheme="minorBidi"/>
        </w:rPr>
      </w:pPr>
      <w:r w:rsidRPr="3E0A5B84">
        <w:rPr>
          <w:rFonts w:asciiTheme="minorHAnsi" w:hAnsiTheme="minorHAnsi" w:cstheme="minorBidi"/>
        </w:rPr>
        <w:t>How can secure optimisation and dispatch integrity be maintained while preserving stability outcomes?</w:t>
      </w:r>
    </w:p>
    <w:p w14:paraId="48F87664" w14:textId="77777777" w:rsidR="000C0182" w:rsidRPr="004F1CA5" w:rsidRDefault="000C0182" w:rsidP="000C0182">
      <w:pPr>
        <w:pStyle w:val="Heading5"/>
        <w:rPr>
          <w:rFonts w:asciiTheme="minorHAnsi" w:hAnsiTheme="minorHAnsi" w:cstheme="minorBidi"/>
          <w:sz w:val="24"/>
          <w:szCs w:val="24"/>
        </w:rPr>
      </w:pPr>
      <w:r w:rsidRPr="3E0A5B84">
        <w:rPr>
          <w:rFonts w:asciiTheme="minorHAnsi" w:hAnsiTheme="minorHAnsi" w:cstheme="minorBidi"/>
          <w:sz w:val="24"/>
          <w:szCs w:val="24"/>
        </w:rPr>
        <w:t>Research Directions</w:t>
      </w:r>
    </w:p>
    <w:p w14:paraId="7EE2BD28" w14:textId="77777777" w:rsidR="000C0182" w:rsidRPr="00041E94" w:rsidRDefault="000C0182" w:rsidP="00041E94">
      <w:pPr>
        <w:pStyle w:val="NormalWeb"/>
        <w:jc w:val="both"/>
        <w:rPr>
          <w:rFonts w:asciiTheme="minorHAnsi" w:hAnsiTheme="minorHAnsi" w:cstheme="minorBidi"/>
        </w:rPr>
      </w:pPr>
      <w:r w:rsidRPr="3E0A5B84">
        <w:rPr>
          <w:rFonts w:asciiTheme="minorHAnsi" w:hAnsiTheme="minorHAnsi" w:cstheme="minorBidi"/>
        </w:rPr>
        <w:t>Develop a cyber-resilient framework for energy market communications and aggregator interfaces capable of detecting, mitigating, and preventing false data injection attacks while ensuring stable, reliable market and grid operations; model the market-dispatch-to-dynamic-response chain; introduce adversarial manipulation into optimisation algorithms; quantify impacts on FCAS performance and frequency containment; develop secure optimisation frameworks with authenticated dispatch and stability-constrained bidding; and link market integrity metrics directly to physical stability outcomes.</w:t>
      </w:r>
    </w:p>
    <w:p w14:paraId="5B7F97C6" w14:textId="2AF221EA" w:rsidR="000C0182" w:rsidRPr="004F1CA5" w:rsidRDefault="00444620" w:rsidP="000C0182">
      <w:pPr>
        <w:pStyle w:val="Heading4"/>
        <w:rPr>
          <w:rFonts w:asciiTheme="minorHAnsi" w:hAnsiTheme="minorHAnsi" w:cstheme="minorBidi"/>
        </w:rPr>
      </w:pPr>
      <w:bookmarkStart w:id="368" w:name="_Toc222909128"/>
      <w:r>
        <w:rPr>
          <w:rFonts w:asciiTheme="minorHAnsi" w:hAnsiTheme="minorHAnsi" w:cstheme="minorBidi"/>
        </w:rPr>
        <w:t>6</w:t>
      </w:r>
      <w:r w:rsidR="000C0182" w:rsidRPr="19F71E1F">
        <w:rPr>
          <w:rFonts w:asciiTheme="minorHAnsi" w:hAnsiTheme="minorHAnsi" w:cstheme="minorBidi"/>
        </w:rPr>
        <w:t>. Cybersecurity Risks in Microgrid Control Systems (AC and DC)</w:t>
      </w:r>
      <w:bookmarkEnd w:id="368"/>
    </w:p>
    <w:p w14:paraId="48EE64AA" w14:textId="77777777" w:rsidR="000C0182" w:rsidRPr="00041E94" w:rsidRDefault="000C0182" w:rsidP="00041E94">
      <w:pPr>
        <w:pStyle w:val="NormalWeb"/>
        <w:jc w:val="both"/>
        <w:rPr>
          <w:rFonts w:asciiTheme="minorHAnsi" w:hAnsiTheme="minorHAnsi" w:cstheme="minorBidi"/>
        </w:rPr>
      </w:pPr>
      <w:r w:rsidRPr="3E0A5B84">
        <w:rPr>
          <w:rFonts w:asciiTheme="minorHAnsi" w:hAnsiTheme="minorHAnsi" w:cstheme="minorBidi"/>
        </w:rPr>
        <w:t>Microgrids are small-scale power systems capable of operating in both grid-connected and islanded modes. They are increasingly deployed to integrate renewable energy resources. Their operation depends heavily on communication between system components and controllers, making them vulnerable to cyberattacks. In AC microgrids, Remote Terminal Units (RTUs) transmit operational data to controllers, which could be falsified by attackers. In DC microgrids, voltage and current measurements sent to controllers or used by current differential relays can also be manipulated. Such falsified data may destabilize the microgrid, interfere with protection schemes, or disrupt power sharing between resources.</w:t>
      </w:r>
    </w:p>
    <w:p w14:paraId="7C98B083" w14:textId="77777777" w:rsidR="000C0182" w:rsidRPr="004F1CA5" w:rsidRDefault="000C0182" w:rsidP="000C0182">
      <w:pPr>
        <w:pStyle w:val="Heading5"/>
        <w:rPr>
          <w:rFonts w:asciiTheme="minorHAnsi" w:hAnsiTheme="minorHAnsi" w:cstheme="minorBidi"/>
          <w:sz w:val="24"/>
          <w:szCs w:val="24"/>
        </w:rPr>
      </w:pPr>
      <w:r w:rsidRPr="3E0A5B84">
        <w:rPr>
          <w:rFonts w:asciiTheme="minorHAnsi" w:hAnsiTheme="minorHAnsi" w:cstheme="minorBidi"/>
          <w:sz w:val="24"/>
          <w:szCs w:val="24"/>
        </w:rPr>
        <w:t>Why It Matters for Stability</w:t>
      </w:r>
    </w:p>
    <w:p w14:paraId="08B87ADE" w14:textId="77777777" w:rsidR="000C0182" w:rsidRPr="00912B3B" w:rsidRDefault="000C0182" w:rsidP="00EE14F4">
      <w:pPr>
        <w:rPr>
          <w:rFonts w:asciiTheme="minorHAnsi" w:hAnsiTheme="minorHAnsi" w:cstheme="minorBidi"/>
          <w:sz w:val="24"/>
          <w:szCs w:val="24"/>
        </w:rPr>
      </w:pPr>
      <w:r w:rsidRPr="3E0A5B84">
        <w:rPr>
          <w:rFonts w:asciiTheme="minorHAnsi" w:hAnsiTheme="minorHAnsi" w:cstheme="minorBidi"/>
          <w:sz w:val="24"/>
          <w:szCs w:val="24"/>
        </w:rPr>
        <w:t>Manipulated measurement data in AC and DC microgrids can lead to:</w:t>
      </w:r>
    </w:p>
    <w:p w14:paraId="284E5211" w14:textId="77777777" w:rsidR="000C0182" w:rsidRPr="00041E94" w:rsidRDefault="000C0182" w:rsidP="00846D08">
      <w:pPr>
        <w:pStyle w:val="NormalWeb"/>
        <w:numPr>
          <w:ilvl w:val="0"/>
          <w:numId w:val="53"/>
        </w:numPr>
        <w:spacing w:before="100" w:beforeAutospacing="1" w:after="100" w:afterAutospacing="1"/>
        <w:jc w:val="both"/>
        <w:rPr>
          <w:rFonts w:asciiTheme="minorHAnsi" w:hAnsiTheme="minorHAnsi" w:cstheme="minorBidi"/>
        </w:rPr>
      </w:pPr>
      <w:r w:rsidRPr="3E0A5B84">
        <w:rPr>
          <w:rFonts w:asciiTheme="minorHAnsi" w:hAnsiTheme="minorHAnsi" w:cstheme="minorBidi"/>
        </w:rPr>
        <w:t>Voltage, frequency, and power-sharing instability, compromising operational reliability.</w:t>
      </w:r>
    </w:p>
    <w:p w14:paraId="5FAF3196" w14:textId="77777777" w:rsidR="000C0182" w:rsidRPr="00041E94" w:rsidRDefault="000C0182" w:rsidP="00846D08">
      <w:pPr>
        <w:pStyle w:val="NormalWeb"/>
        <w:numPr>
          <w:ilvl w:val="0"/>
          <w:numId w:val="53"/>
        </w:numPr>
        <w:spacing w:before="100" w:beforeAutospacing="1" w:after="100" w:afterAutospacing="1"/>
        <w:jc w:val="both"/>
        <w:rPr>
          <w:rFonts w:asciiTheme="minorHAnsi" w:hAnsiTheme="minorHAnsi" w:cstheme="minorBidi"/>
        </w:rPr>
      </w:pPr>
      <w:r w:rsidRPr="3E0A5B84">
        <w:rPr>
          <w:rFonts w:asciiTheme="minorHAnsi" w:hAnsiTheme="minorHAnsi" w:cstheme="minorBidi"/>
        </w:rPr>
        <w:t>Protection maloperation or failure-to-trip events, increasing risk of equipment damage and cascading faults.</w:t>
      </w:r>
    </w:p>
    <w:p w14:paraId="5F0E3868" w14:textId="77777777" w:rsidR="000C0182" w:rsidRPr="00041E94" w:rsidRDefault="000C0182" w:rsidP="00846D08">
      <w:pPr>
        <w:pStyle w:val="NormalWeb"/>
        <w:numPr>
          <w:ilvl w:val="0"/>
          <w:numId w:val="53"/>
        </w:numPr>
        <w:spacing w:before="100" w:beforeAutospacing="1" w:after="100" w:afterAutospacing="1"/>
        <w:jc w:val="both"/>
        <w:rPr>
          <w:rFonts w:asciiTheme="minorHAnsi" w:hAnsiTheme="minorHAnsi" w:cstheme="minorBidi"/>
        </w:rPr>
      </w:pPr>
      <w:r w:rsidRPr="3E0A5B84">
        <w:rPr>
          <w:rFonts w:asciiTheme="minorHAnsi" w:hAnsiTheme="minorHAnsi" w:cstheme="minorBidi"/>
        </w:rPr>
        <w:t>Severe impact on inverter-dominated systems, which rely heavily on accurate real-time measurements.</w:t>
      </w:r>
    </w:p>
    <w:p w14:paraId="1AAADFF0" w14:textId="4AAD1BC7" w:rsidR="000C0182" w:rsidRPr="00041E94" w:rsidRDefault="000C0182" w:rsidP="000C0182">
      <w:pPr>
        <w:pStyle w:val="Heading5"/>
        <w:rPr>
          <w:rFonts w:asciiTheme="minorHAnsi" w:hAnsiTheme="minorHAnsi" w:cstheme="minorBidi"/>
          <w:sz w:val="24"/>
          <w:szCs w:val="24"/>
        </w:rPr>
      </w:pPr>
      <w:r w:rsidRPr="3E0A5B84">
        <w:rPr>
          <w:rFonts w:asciiTheme="minorHAnsi" w:hAnsiTheme="minorHAnsi" w:cstheme="minorBidi"/>
          <w:sz w:val="24"/>
          <w:szCs w:val="24"/>
        </w:rPr>
        <w:t>Key research questions</w:t>
      </w:r>
    </w:p>
    <w:p w14:paraId="285DC8B7" w14:textId="77777777" w:rsidR="000C0182" w:rsidRPr="00041E94" w:rsidRDefault="000C0182" w:rsidP="00846D08">
      <w:pPr>
        <w:pStyle w:val="NormalWeb"/>
        <w:numPr>
          <w:ilvl w:val="0"/>
          <w:numId w:val="47"/>
        </w:numPr>
        <w:spacing w:before="100" w:beforeAutospacing="1" w:after="100" w:afterAutospacing="1"/>
        <w:jc w:val="both"/>
        <w:rPr>
          <w:rFonts w:asciiTheme="minorHAnsi" w:hAnsiTheme="minorHAnsi" w:cstheme="minorBidi"/>
        </w:rPr>
      </w:pPr>
      <w:r w:rsidRPr="3E0A5B84">
        <w:rPr>
          <w:rFonts w:asciiTheme="minorHAnsi" w:hAnsiTheme="minorHAnsi" w:cstheme="minorBidi"/>
        </w:rPr>
        <w:t>How can microgrid control and protection systems be secured against falsified measurement data to prevent cyber-induced instability in both AC and DC microgrids?</w:t>
      </w:r>
    </w:p>
    <w:p w14:paraId="30E9D5BF" w14:textId="77777777" w:rsidR="000C0182" w:rsidRPr="00041E94" w:rsidRDefault="000C0182" w:rsidP="00846D08">
      <w:pPr>
        <w:pStyle w:val="NormalWeb"/>
        <w:numPr>
          <w:ilvl w:val="0"/>
          <w:numId w:val="47"/>
        </w:numPr>
        <w:spacing w:before="100" w:beforeAutospacing="1" w:after="100" w:afterAutospacing="1"/>
        <w:jc w:val="both"/>
        <w:rPr>
          <w:rFonts w:asciiTheme="minorHAnsi" w:hAnsiTheme="minorHAnsi" w:cstheme="minorBidi"/>
        </w:rPr>
      </w:pPr>
      <w:r w:rsidRPr="3E0A5B84">
        <w:rPr>
          <w:rFonts w:asciiTheme="minorHAnsi" w:hAnsiTheme="minorHAnsi" w:cstheme="minorBidi"/>
        </w:rPr>
        <w:t>Develop a cyber-resilient framework for AC and DC microgrids, securing communication and measurement data, and ensuring stable operation under both normal and adversarial conditions.</w:t>
      </w:r>
    </w:p>
    <w:p w14:paraId="15B9BBE2" w14:textId="2B1668C3" w:rsidR="000C0182" w:rsidRPr="004F1CA5" w:rsidRDefault="00444620" w:rsidP="000C0182">
      <w:pPr>
        <w:pStyle w:val="Heading4"/>
        <w:rPr>
          <w:rFonts w:asciiTheme="minorHAnsi" w:hAnsiTheme="minorHAnsi" w:cstheme="minorBidi"/>
        </w:rPr>
      </w:pPr>
      <w:bookmarkStart w:id="369" w:name="_Toc222909129"/>
      <w:r>
        <w:rPr>
          <w:rFonts w:asciiTheme="minorHAnsi" w:hAnsiTheme="minorHAnsi" w:cstheme="minorBidi"/>
        </w:rPr>
        <w:t>7</w:t>
      </w:r>
      <w:r w:rsidR="000C0182" w:rsidRPr="19F71E1F">
        <w:rPr>
          <w:rFonts w:asciiTheme="minorHAnsi" w:hAnsiTheme="minorHAnsi" w:cstheme="minorBidi"/>
        </w:rPr>
        <w:t>. Cybersecurity Risks and Resilience of Power System Control Algorithms and Platforms (Control Centres and Cloud-Based Control)</w:t>
      </w:r>
      <w:bookmarkEnd w:id="369"/>
    </w:p>
    <w:p w14:paraId="1169891F" w14:textId="77777777" w:rsidR="000C0182" w:rsidRPr="00041E94" w:rsidRDefault="000C0182" w:rsidP="4EC7F16B">
      <w:pPr>
        <w:pStyle w:val="NormalWeb"/>
        <w:jc w:val="both"/>
        <w:rPr>
          <w:rFonts w:asciiTheme="minorHAnsi" w:hAnsiTheme="minorHAnsi" w:cstheme="minorBidi"/>
        </w:rPr>
      </w:pPr>
      <w:r w:rsidRPr="3E0A5B84">
        <w:rPr>
          <w:rFonts w:asciiTheme="minorHAnsi" w:hAnsiTheme="minorHAnsi" w:cstheme="minorBidi"/>
        </w:rPr>
        <w:t>Control centre operations are critical to power system monitoring, analysis, and decision-making, relying heavily on data received from sensors, SCADA systems, and forecasting inputs. These algorithms include state estimation, power flow, load forecasting, and EMS computations, and are vulnerable to cyberattacks where attackers falsify measurements or input data to manipulate system behaviour without immediate detection.</w:t>
      </w:r>
    </w:p>
    <w:p w14:paraId="18BE30B2" w14:textId="64BADB0A" w:rsidR="000C0182" w:rsidRPr="004F1CA5" w:rsidRDefault="000C0182" w:rsidP="4EC7F16B">
      <w:pPr>
        <w:pStyle w:val="NormalWeb"/>
        <w:jc w:val="both"/>
        <w:rPr>
          <w:rFonts w:asciiTheme="minorHAnsi" w:hAnsiTheme="minorHAnsi" w:cstheme="minorHAnsi"/>
        </w:rPr>
      </w:pPr>
      <w:r w:rsidRPr="3E0A5B84">
        <w:rPr>
          <w:rFonts w:asciiTheme="minorHAnsi" w:hAnsiTheme="minorHAnsi" w:cstheme="minorBidi"/>
        </w:rPr>
        <w:t xml:space="preserve">As modern power systems evolve, an increasing portion of control, monitoring, and analytics functions </w:t>
      </w:r>
      <w:r w:rsidR="000E5A84" w:rsidRPr="3E0A5B84">
        <w:rPr>
          <w:rFonts w:asciiTheme="minorHAnsi" w:hAnsiTheme="minorHAnsi" w:cstheme="minorBidi"/>
        </w:rPr>
        <w:t>is</w:t>
      </w:r>
      <w:r w:rsidRPr="3E0A5B84">
        <w:rPr>
          <w:rFonts w:asciiTheme="minorHAnsi" w:hAnsiTheme="minorHAnsi" w:cstheme="minorBidi"/>
        </w:rPr>
        <w:t xml:space="preserve"> migrating to cloud-based platforms. Cloud integration offers benefits such as scalability, real-time data processing, remote management, and advanced optimization for DERs, microgrids, and energy markets. However, this shift introduces additional cybersecurity risks because critical grid operations depend on externally hosted infrastructure, increasing exposure to unauthorized access, data integrity compromise, service disruption, and supply chain vulnerabilities</w:t>
      </w:r>
      <w:r w:rsidRPr="004F1CA5">
        <w:rPr>
          <w:rFonts w:asciiTheme="minorHAnsi" w:hAnsiTheme="minorHAnsi" w:cstheme="minorHAnsi"/>
        </w:rPr>
        <w:t>.</w:t>
      </w:r>
    </w:p>
    <w:p w14:paraId="535EEC9D" w14:textId="77777777" w:rsidR="000C0182" w:rsidRPr="00EE78FB" w:rsidRDefault="000C0182" w:rsidP="4EC7F16B">
      <w:pPr>
        <w:pStyle w:val="Heading5"/>
        <w:jc w:val="both"/>
        <w:rPr>
          <w:rFonts w:asciiTheme="minorHAnsi" w:hAnsiTheme="minorHAnsi" w:cstheme="minorBidi"/>
          <w:sz w:val="24"/>
          <w:szCs w:val="24"/>
        </w:rPr>
      </w:pPr>
      <w:r w:rsidRPr="3E0A5B84">
        <w:rPr>
          <w:rFonts w:asciiTheme="minorHAnsi" w:hAnsiTheme="minorHAnsi" w:cstheme="minorBidi"/>
          <w:sz w:val="24"/>
          <w:szCs w:val="24"/>
        </w:rPr>
        <w:t xml:space="preserve">Why it Matters </w:t>
      </w:r>
    </w:p>
    <w:p w14:paraId="7BA8159A" w14:textId="77777777" w:rsidR="000C0182" w:rsidRPr="00041E94" w:rsidRDefault="000C0182" w:rsidP="00846D08">
      <w:pPr>
        <w:pStyle w:val="NormalWeb"/>
        <w:numPr>
          <w:ilvl w:val="0"/>
          <w:numId w:val="45"/>
        </w:numPr>
        <w:spacing w:before="100" w:beforeAutospacing="1" w:after="100" w:afterAutospacing="1"/>
        <w:jc w:val="both"/>
        <w:rPr>
          <w:rFonts w:asciiTheme="minorHAnsi" w:hAnsiTheme="minorHAnsi" w:cstheme="minorBidi"/>
        </w:rPr>
      </w:pPr>
      <w:r w:rsidRPr="3E0A5B84">
        <w:rPr>
          <w:rFonts w:asciiTheme="minorHAnsi" w:hAnsiTheme="minorHAnsi" w:cstheme="minorBidi"/>
        </w:rPr>
        <w:t xml:space="preserve">Incorrect state estimation, masking instability conditions </w:t>
      </w:r>
    </w:p>
    <w:p w14:paraId="7A51BB97" w14:textId="77777777" w:rsidR="000C0182" w:rsidRPr="00041E94" w:rsidRDefault="000C0182" w:rsidP="00846D08">
      <w:pPr>
        <w:pStyle w:val="NormalWeb"/>
        <w:numPr>
          <w:ilvl w:val="0"/>
          <w:numId w:val="45"/>
        </w:numPr>
        <w:spacing w:before="100" w:beforeAutospacing="1" w:after="100" w:afterAutospacing="1"/>
        <w:jc w:val="both"/>
        <w:rPr>
          <w:rFonts w:asciiTheme="minorHAnsi" w:hAnsiTheme="minorHAnsi" w:cstheme="minorBidi"/>
        </w:rPr>
      </w:pPr>
      <w:r w:rsidRPr="3E0A5B84">
        <w:rPr>
          <w:rFonts w:asciiTheme="minorHAnsi" w:hAnsiTheme="minorHAnsi" w:cstheme="minorBidi"/>
        </w:rPr>
        <w:t>Inappropriate dispatch and remedial actions, exacerbating voltage deviations</w:t>
      </w:r>
    </w:p>
    <w:p w14:paraId="2C96796E" w14:textId="77777777" w:rsidR="000C0182" w:rsidRPr="00041E94" w:rsidRDefault="000C0182" w:rsidP="00846D08">
      <w:pPr>
        <w:pStyle w:val="NormalWeb"/>
        <w:numPr>
          <w:ilvl w:val="0"/>
          <w:numId w:val="45"/>
        </w:numPr>
        <w:spacing w:before="100" w:beforeAutospacing="1" w:after="100" w:afterAutospacing="1"/>
        <w:jc w:val="both"/>
        <w:rPr>
          <w:rFonts w:asciiTheme="minorHAnsi" w:hAnsiTheme="minorHAnsi" w:cstheme="minorBidi"/>
        </w:rPr>
      </w:pPr>
      <w:r w:rsidRPr="3E0A5B84">
        <w:rPr>
          <w:rFonts w:asciiTheme="minorHAnsi" w:hAnsiTheme="minorHAnsi" w:cstheme="minorBidi"/>
        </w:rPr>
        <w:t>Delayed contingency detection, reducing damping and response effectiveness</w:t>
      </w:r>
    </w:p>
    <w:p w14:paraId="23BD4841" w14:textId="77777777" w:rsidR="000C0182" w:rsidRPr="00041E94" w:rsidRDefault="000C0182" w:rsidP="00846D08">
      <w:pPr>
        <w:pStyle w:val="NormalWeb"/>
        <w:numPr>
          <w:ilvl w:val="0"/>
          <w:numId w:val="45"/>
        </w:numPr>
        <w:spacing w:before="100" w:beforeAutospacing="1" w:after="100" w:afterAutospacing="1"/>
        <w:jc w:val="both"/>
        <w:rPr>
          <w:rFonts w:asciiTheme="minorHAnsi" w:hAnsiTheme="minorHAnsi" w:cstheme="minorBidi"/>
        </w:rPr>
      </w:pPr>
      <w:r w:rsidRPr="3E0A5B84">
        <w:rPr>
          <w:rFonts w:asciiTheme="minorHAnsi" w:hAnsiTheme="minorHAnsi" w:cstheme="minorBidi"/>
        </w:rPr>
        <w:t>Distorted DER coordination, leading to unstable aggregate behaviour</w:t>
      </w:r>
    </w:p>
    <w:p w14:paraId="2F89B08B" w14:textId="77777777" w:rsidR="000C0182" w:rsidRPr="00041E94" w:rsidRDefault="000C0182" w:rsidP="00846D08">
      <w:pPr>
        <w:pStyle w:val="NormalWeb"/>
        <w:numPr>
          <w:ilvl w:val="0"/>
          <w:numId w:val="45"/>
        </w:numPr>
        <w:spacing w:before="100" w:beforeAutospacing="1" w:after="100" w:afterAutospacing="1"/>
        <w:jc w:val="both"/>
        <w:rPr>
          <w:rFonts w:asciiTheme="minorHAnsi" w:eastAsiaTheme="majorEastAsia" w:hAnsiTheme="minorHAnsi" w:cstheme="minorBidi"/>
        </w:rPr>
      </w:pPr>
      <w:r w:rsidRPr="3E0A5B84">
        <w:rPr>
          <w:rFonts w:asciiTheme="minorHAnsi" w:hAnsiTheme="minorHAnsi" w:cstheme="minorBidi"/>
        </w:rPr>
        <w:t>Loss of secure fallback capability, impairing and disrupting control continuity</w:t>
      </w:r>
    </w:p>
    <w:p w14:paraId="5046908C" w14:textId="77777777" w:rsidR="000C0182" w:rsidRPr="004F1CA5" w:rsidRDefault="000C0182" w:rsidP="4EC7F16B">
      <w:pPr>
        <w:pStyle w:val="Heading5"/>
        <w:jc w:val="both"/>
        <w:rPr>
          <w:rFonts w:asciiTheme="minorHAnsi" w:hAnsiTheme="minorHAnsi" w:cstheme="minorBidi"/>
          <w:sz w:val="24"/>
          <w:szCs w:val="24"/>
        </w:rPr>
      </w:pPr>
      <w:r w:rsidRPr="3E0A5B84">
        <w:rPr>
          <w:rFonts w:asciiTheme="minorHAnsi" w:hAnsiTheme="minorHAnsi" w:cstheme="minorBidi"/>
          <w:sz w:val="24"/>
          <w:szCs w:val="24"/>
        </w:rPr>
        <w:t>Key research questions</w:t>
      </w:r>
    </w:p>
    <w:p w14:paraId="3E2432B6" w14:textId="77777777" w:rsidR="000C0182" w:rsidRPr="00041E94" w:rsidRDefault="000C0182" w:rsidP="00846D08">
      <w:pPr>
        <w:pStyle w:val="NormalWeb"/>
        <w:numPr>
          <w:ilvl w:val="0"/>
          <w:numId w:val="48"/>
        </w:numPr>
        <w:spacing w:before="100" w:beforeAutospacing="1" w:after="100" w:afterAutospacing="1"/>
        <w:jc w:val="both"/>
        <w:rPr>
          <w:rFonts w:asciiTheme="minorHAnsi" w:hAnsiTheme="minorHAnsi" w:cstheme="minorBidi"/>
        </w:rPr>
      </w:pPr>
      <w:r w:rsidRPr="3E0A5B84">
        <w:rPr>
          <w:rFonts w:asciiTheme="minorHAnsi" w:hAnsiTheme="minorHAnsi" w:cstheme="minorBidi"/>
        </w:rPr>
        <w:t>How can control centre algorithms, including state estimation, power flow, load forecasting, and EMS computations, be secured against falsified data to ensure accurate monitoring and reliable decision-making in the power system?</w:t>
      </w:r>
    </w:p>
    <w:p w14:paraId="0DBA4085" w14:textId="77777777" w:rsidR="000C0182" w:rsidRPr="00041E94" w:rsidRDefault="000C0182" w:rsidP="00846D08">
      <w:pPr>
        <w:pStyle w:val="NormalWeb"/>
        <w:numPr>
          <w:ilvl w:val="0"/>
          <w:numId w:val="48"/>
        </w:numPr>
        <w:spacing w:before="100" w:beforeAutospacing="1" w:after="100" w:afterAutospacing="1"/>
        <w:jc w:val="both"/>
        <w:rPr>
          <w:rFonts w:asciiTheme="minorHAnsi" w:hAnsiTheme="minorHAnsi" w:cstheme="minorBidi"/>
        </w:rPr>
      </w:pPr>
      <w:r w:rsidRPr="3E0A5B84">
        <w:rPr>
          <w:rFonts w:asciiTheme="minorHAnsi" w:hAnsiTheme="minorHAnsi" w:cstheme="minorBidi"/>
        </w:rPr>
        <w:t>How can cloud-based power system control platforms be designed and secured to ensure resilient, real-time operation of critical grid functions, while mitigating cyber threats, unauthorized access, and data integrity compromises?</w:t>
      </w:r>
    </w:p>
    <w:p w14:paraId="3D49DDF9" w14:textId="77777777" w:rsidR="000C0182" w:rsidRPr="00041E94" w:rsidRDefault="000C0182" w:rsidP="00846D08">
      <w:pPr>
        <w:pStyle w:val="NormalWeb"/>
        <w:numPr>
          <w:ilvl w:val="0"/>
          <w:numId w:val="48"/>
        </w:numPr>
        <w:spacing w:before="100" w:beforeAutospacing="1" w:after="100" w:afterAutospacing="1"/>
        <w:jc w:val="both"/>
        <w:rPr>
          <w:rFonts w:asciiTheme="minorHAnsi" w:hAnsiTheme="minorHAnsi" w:cstheme="minorBidi"/>
        </w:rPr>
      </w:pPr>
      <w:r w:rsidRPr="3E0A5B84">
        <w:rPr>
          <w:rFonts w:asciiTheme="minorHAnsi" w:hAnsiTheme="minorHAnsi" w:cstheme="minorBidi"/>
        </w:rPr>
        <w:t>How can control continuity and secure fallback be maintained when cloud services are degraded or unavailable?</w:t>
      </w:r>
    </w:p>
    <w:p w14:paraId="55D56103" w14:textId="77777777" w:rsidR="000C0182" w:rsidRPr="004F1CA5" w:rsidRDefault="000C0182" w:rsidP="4EC7F16B">
      <w:pPr>
        <w:pStyle w:val="Heading5"/>
        <w:jc w:val="both"/>
        <w:rPr>
          <w:rFonts w:asciiTheme="minorHAnsi" w:hAnsiTheme="minorHAnsi" w:cstheme="minorBidi"/>
          <w:sz w:val="24"/>
          <w:szCs w:val="24"/>
        </w:rPr>
      </w:pPr>
      <w:r w:rsidRPr="3E0A5B84">
        <w:rPr>
          <w:rFonts w:asciiTheme="minorHAnsi" w:hAnsiTheme="minorHAnsi" w:cstheme="minorBidi"/>
          <w:sz w:val="24"/>
          <w:szCs w:val="24"/>
        </w:rPr>
        <w:t>Research Directions</w:t>
      </w:r>
    </w:p>
    <w:p w14:paraId="75F79BD5" w14:textId="77777777" w:rsidR="000C0182" w:rsidRPr="004F1CA5" w:rsidRDefault="000C0182" w:rsidP="00041E94">
      <w:pPr>
        <w:pStyle w:val="NormalWeb"/>
        <w:jc w:val="both"/>
        <w:rPr>
          <w:rFonts w:asciiTheme="minorHAnsi" w:hAnsiTheme="minorHAnsi" w:cstheme="minorHAnsi"/>
        </w:rPr>
      </w:pPr>
      <w:r w:rsidRPr="3E0A5B84">
        <w:rPr>
          <w:rFonts w:asciiTheme="minorHAnsi" w:hAnsiTheme="minorHAnsi" w:cstheme="minorBidi"/>
        </w:rPr>
        <w:t>Develop a cyber-resilient framework for control centre algorithms and cloud-based power system control that detects, mitigates, and withstands falsified data attacks; ensures accurate state estimation, power flow analysis, load forecasting, and EMS operations; and supports secure, reliable, and real-time operation of grid functions while addressing threats from data manipulation, unauthorized access, service disruption, and supply chain vulnerabilities</w:t>
      </w:r>
      <w:r w:rsidRPr="004F1CA5">
        <w:rPr>
          <w:rFonts w:asciiTheme="minorHAnsi" w:hAnsiTheme="minorHAnsi" w:cstheme="minorHAnsi"/>
        </w:rPr>
        <w:t>.</w:t>
      </w:r>
    </w:p>
    <w:p w14:paraId="3722423A" w14:textId="312BDDAC" w:rsidR="000C0182" w:rsidRPr="004F1CA5" w:rsidRDefault="00444620" w:rsidP="000C0182">
      <w:pPr>
        <w:pStyle w:val="Heading4"/>
        <w:rPr>
          <w:rFonts w:asciiTheme="minorHAnsi" w:hAnsiTheme="minorHAnsi" w:cstheme="minorBidi"/>
        </w:rPr>
      </w:pPr>
      <w:bookmarkStart w:id="370" w:name="_Toc222909130"/>
      <w:r>
        <w:rPr>
          <w:rFonts w:asciiTheme="minorHAnsi" w:hAnsiTheme="minorHAnsi" w:cstheme="minorBidi"/>
        </w:rPr>
        <w:t>8</w:t>
      </w:r>
      <w:r w:rsidR="000C0182" w:rsidRPr="19F71E1F">
        <w:rPr>
          <w:rFonts w:asciiTheme="minorHAnsi" w:hAnsiTheme="minorHAnsi" w:cstheme="minorBidi"/>
        </w:rPr>
        <w:t>. Cybersecurity Vulnerabilities in Power System Communication Networks</w:t>
      </w:r>
      <w:bookmarkEnd w:id="370"/>
    </w:p>
    <w:p w14:paraId="38536AAF" w14:textId="77777777" w:rsidR="000C0182" w:rsidRPr="00041E94" w:rsidRDefault="000C0182" w:rsidP="00041E94">
      <w:pPr>
        <w:pStyle w:val="NormalWeb"/>
        <w:jc w:val="both"/>
        <w:rPr>
          <w:rFonts w:asciiTheme="minorHAnsi" w:hAnsiTheme="minorHAnsi" w:cstheme="minorBidi"/>
        </w:rPr>
      </w:pPr>
      <w:r w:rsidRPr="4EC7F16B">
        <w:rPr>
          <w:rFonts w:asciiTheme="minorHAnsi" w:hAnsiTheme="minorHAnsi" w:cstheme="minorBidi"/>
        </w:rPr>
        <w:t>Communication networks are critical to modern power system operations, enabling data exchange between devices, controllers, and control centres using standard protocols. However, these networks are vulnerable to cyberattacks, including false data injection (FDI), denial-of-service (DoS), and GPS spoofing, which can compromise the accuracy, timing, and integrity of transmitted data. Data packets transmitted over protocols such as IEC 61850, TCP/IP, and GOOSE can be falsified or intercepted. GPS signals used for precise timing can be spoofed, affecting synchronization-dependent operations.</w:t>
      </w:r>
    </w:p>
    <w:p w14:paraId="73309D94" w14:textId="1C25ABE1" w:rsidR="000C0182" w:rsidRPr="00041E94" w:rsidRDefault="000C0182" w:rsidP="00041E94">
      <w:pPr>
        <w:pStyle w:val="NormalWeb"/>
        <w:jc w:val="both"/>
        <w:rPr>
          <w:rFonts w:asciiTheme="minorHAnsi" w:hAnsiTheme="minorHAnsi" w:cstheme="minorBidi"/>
        </w:rPr>
      </w:pPr>
      <w:r w:rsidRPr="4EC7F16B">
        <w:rPr>
          <w:rFonts w:asciiTheme="minorHAnsi" w:hAnsiTheme="minorHAnsi" w:cstheme="minorBidi"/>
        </w:rPr>
        <w:t xml:space="preserve">This has been identified by Office of National </w:t>
      </w:r>
      <w:r w:rsidR="451898ED" w:rsidRPr="4EC7F16B">
        <w:rPr>
          <w:rFonts w:asciiTheme="minorHAnsi" w:hAnsiTheme="minorHAnsi" w:cstheme="minorBidi"/>
        </w:rPr>
        <w:t>Security</w:t>
      </w:r>
      <w:r w:rsidRPr="4EC7F16B">
        <w:rPr>
          <w:rFonts w:asciiTheme="minorHAnsi" w:hAnsiTheme="minorHAnsi" w:cstheme="minorBidi"/>
        </w:rPr>
        <w:t xml:space="preserve"> (ON</w:t>
      </w:r>
      <w:r w:rsidR="3BEB1900" w:rsidRPr="4EC7F16B">
        <w:rPr>
          <w:rFonts w:asciiTheme="minorHAnsi" w:hAnsiTheme="minorHAnsi" w:cstheme="minorBidi"/>
        </w:rPr>
        <w:t>S</w:t>
      </w:r>
      <w:r w:rsidRPr="4EC7F16B">
        <w:rPr>
          <w:rFonts w:asciiTheme="minorHAnsi" w:hAnsiTheme="minorHAnsi" w:cstheme="minorBidi"/>
        </w:rPr>
        <w:t xml:space="preserve">) </w:t>
      </w:r>
      <w:r w:rsidR="00174027" w:rsidRPr="4EC7F16B">
        <w:rPr>
          <w:rFonts w:asciiTheme="minorHAnsi" w:hAnsiTheme="minorHAnsi" w:cstheme="minorBidi"/>
        </w:rPr>
        <w:t>and</w:t>
      </w:r>
      <w:r w:rsidRPr="4EC7F16B">
        <w:rPr>
          <w:rFonts w:asciiTheme="minorHAnsi" w:hAnsiTheme="minorHAnsi" w:cstheme="minorBidi"/>
        </w:rPr>
        <w:t xml:space="preserve"> the European Union [7] as a research priority for existing energy networks, and the increased distributed generation through DER is likely to further exacerbate this reliance and it is not clear how the developing Australian market is exposed to these threats.</w:t>
      </w:r>
    </w:p>
    <w:p w14:paraId="2B1A2716" w14:textId="77777777" w:rsidR="000C0182" w:rsidRPr="004213B4" w:rsidRDefault="000C0182" w:rsidP="4EC7F16B">
      <w:pPr>
        <w:pStyle w:val="Heading5"/>
        <w:jc w:val="both"/>
        <w:rPr>
          <w:rFonts w:asciiTheme="minorHAnsi" w:hAnsiTheme="minorHAnsi" w:cstheme="minorBidi"/>
          <w:sz w:val="24"/>
          <w:szCs w:val="24"/>
        </w:rPr>
      </w:pPr>
      <w:r w:rsidRPr="4EC7F16B">
        <w:rPr>
          <w:rFonts w:asciiTheme="minorHAnsi" w:hAnsiTheme="minorHAnsi" w:cstheme="minorBidi"/>
          <w:sz w:val="24"/>
          <w:szCs w:val="24"/>
        </w:rPr>
        <w:t>Why it matters</w:t>
      </w:r>
    </w:p>
    <w:p w14:paraId="255A3542" w14:textId="77777777" w:rsidR="000C0182" w:rsidRPr="00041E94" w:rsidRDefault="000C0182" w:rsidP="4EC7F16B">
      <w:pPr>
        <w:pStyle w:val="NormalWeb"/>
        <w:jc w:val="both"/>
        <w:rPr>
          <w:rFonts w:asciiTheme="minorHAnsi" w:hAnsiTheme="minorHAnsi" w:cstheme="minorBidi"/>
        </w:rPr>
      </w:pPr>
      <w:r w:rsidRPr="4EC7F16B">
        <w:rPr>
          <w:rFonts w:asciiTheme="minorHAnsi" w:hAnsiTheme="minorHAnsi" w:cstheme="minorBidi"/>
        </w:rPr>
        <w:t>Cyber vulnerabilities in power system communication networks can lead to:</w:t>
      </w:r>
    </w:p>
    <w:p w14:paraId="10B9FCA5" w14:textId="77777777" w:rsidR="000C0182" w:rsidRPr="00041E94" w:rsidRDefault="000C0182" w:rsidP="00846D08">
      <w:pPr>
        <w:pStyle w:val="NormalWeb"/>
        <w:numPr>
          <w:ilvl w:val="0"/>
          <w:numId w:val="54"/>
        </w:numPr>
        <w:spacing w:before="100" w:beforeAutospacing="1" w:after="100" w:afterAutospacing="1"/>
        <w:jc w:val="both"/>
        <w:rPr>
          <w:rFonts w:asciiTheme="minorHAnsi" w:hAnsiTheme="minorHAnsi" w:cstheme="minorBidi"/>
        </w:rPr>
      </w:pPr>
      <w:r w:rsidRPr="4EC7F16B">
        <w:rPr>
          <w:rFonts w:asciiTheme="minorHAnsi" w:hAnsiTheme="minorHAnsi" w:cstheme="minorBidi"/>
        </w:rPr>
        <w:t>Loss of data integrity and timing accuracy, resulting in incorrect control and protection actions.</w:t>
      </w:r>
    </w:p>
    <w:p w14:paraId="4A1E0D59" w14:textId="77777777" w:rsidR="000C0182" w:rsidRPr="00041E94" w:rsidRDefault="000C0182" w:rsidP="00846D08">
      <w:pPr>
        <w:pStyle w:val="NormalWeb"/>
        <w:numPr>
          <w:ilvl w:val="0"/>
          <w:numId w:val="54"/>
        </w:numPr>
        <w:spacing w:before="100" w:beforeAutospacing="1" w:after="100" w:afterAutospacing="1"/>
        <w:jc w:val="both"/>
        <w:rPr>
          <w:rFonts w:asciiTheme="minorHAnsi" w:hAnsiTheme="minorHAnsi" w:cstheme="minorBidi"/>
        </w:rPr>
      </w:pPr>
      <w:r w:rsidRPr="4EC7F16B">
        <w:rPr>
          <w:rFonts w:asciiTheme="minorHAnsi" w:hAnsiTheme="minorHAnsi" w:cstheme="minorBidi"/>
        </w:rPr>
        <w:t>Widespread operational disruption from FDI, DoS, or GPS spoofing attacks affecting multiple grid devices simultaneously.</w:t>
      </w:r>
    </w:p>
    <w:p w14:paraId="7DF2ED24" w14:textId="77777777" w:rsidR="000C0182" w:rsidRPr="00041E94" w:rsidRDefault="000C0182" w:rsidP="00846D08">
      <w:pPr>
        <w:pStyle w:val="NormalWeb"/>
        <w:numPr>
          <w:ilvl w:val="0"/>
          <w:numId w:val="54"/>
        </w:numPr>
        <w:spacing w:before="100" w:beforeAutospacing="1" w:after="100" w:afterAutospacing="1"/>
        <w:jc w:val="both"/>
        <w:rPr>
          <w:rFonts w:asciiTheme="minorHAnsi" w:hAnsiTheme="minorHAnsi" w:cstheme="minorBidi"/>
        </w:rPr>
      </w:pPr>
      <w:r w:rsidRPr="4EC7F16B">
        <w:rPr>
          <w:rFonts w:asciiTheme="minorHAnsi" w:hAnsiTheme="minorHAnsi" w:cstheme="minorBidi"/>
        </w:rPr>
        <w:t>Compromised synchronization-dependent functions, such as wide-area monitoring and differential protection.</w:t>
      </w:r>
    </w:p>
    <w:p w14:paraId="6B8067CD" w14:textId="77777777" w:rsidR="000C0182" w:rsidRPr="00041E94" w:rsidRDefault="000C0182" w:rsidP="00846D08">
      <w:pPr>
        <w:pStyle w:val="NormalWeb"/>
        <w:numPr>
          <w:ilvl w:val="0"/>
          <w:numId w:val="54"/>
        </w:numPr>
        <w:spacing w:before="100" w:beforeAutospacing="1" w:after="100" w:afterAutospacing="1"/>
        <w:jc w:val="both"/>
        <w:rPr>
          <w:rFonts w:asciiTheme="minorHAnsi" w:hAnsiTheme="minorHAnsi" w:cstheme="minorBidi"/>
        </w:rPr>
      </w:pPr>
      <w:r w:rsidRPr="4EC7F16B">
        <w:rPr>
          <w:rFonts w:asciiTheme="minorHAnsi" w:hAnsiTheme="minorHAnsi" w:cstheme="minorBidi"/>
        </w:rPr>
        <w:t>Uncertain vulnerability of the evolving Australian electricity market stability, requiring targeted assessment and mitigation strategies</w:t>
      </w:r>
    </w:p>
    <w:p w14:paraId="0029A428" w14:textId="77777777" w:rsidR="000C0182" w:rsidRPr="004F1CA5" w:rsidRDefault="000C0182" w:rsidP="4EC7F16B">
      <w:pPr>
        <w:pStyle w:val="Heading5"/>
        <w:jc w:val="both"/>
        <w:rPr>
          <w:rFonts w:asciiTheme="minorHAnsi" w:hAnsiTheme="minorHAnsi" w:cstheme="minorBidi"/>
          <w:sz w:val="24"/>
          <w:szCs w:val="24"/>
        </w:rPr>
      </w:pPr>
      <w:r w:rsidRPr="4EC7F16B">
        <w:rPr>
          <w:rFonts w:asciiTheme="minorHAnsi" w:hAnsiTheme="minorHAnsi" w:cstheme="minorBidi"/>
          <w:sz w:val="24"/>
          <w:szCs w:val="24"/>
        </w:rPr>
        <w:t>Key research questions</w:t>
      </w:r>
    </w:p>
    <w:p w14:paraId="588B3FF0" w14:textId="77777777" w:rsidR="000C0182" w:rsidRPr="00041E94" w:rsidRDefault="000C0182" w:rsidP="00846D08">
      <w:pPr>
        <w:pStyle w:val="NormalWeb"/>
        <w:numPr>
          <w:ilvl w:val="0"/>
          <w:numId w:val="49"/>
        </w:numPr>
        <w:spacing w:before="100" w:beforeAutospacing="1" w:after="100" w:afterAutospacing="1"/>
        <w:jc w:val="both"/>
        <w:rPr>
          <w:rFonts w:asciiTheme="minorHAnsi" w:hAnsiTheme="minorHAnsi" w:cstheme="minorBidi"/>
        </w:rPr>
      </w:pPr>
      <w:r w:rsidRPr="4EC7F16B">
        <w:rPr>
          <w:rFonts w:asciiTheme="minorHAnsi" w:hAnsiTheme="minorHAnsi" w:cstheme="minorBidi"/>
        </w:rPr>
        <w:t>How can power system communication networks be secured against FDI, DoS, and GPS spoofing attacks while maintaining reliable, accurate, and timely data exchange across grid devices and control systems?</w:t>
      </w:r>
    </w:p>
    <w:p w14:paraId="7120B6DF" w14:textId="77777777" w:rsidR="000C0182" w:rsidRPr="00041E94" w:rsidRDefault="000C0182" w:rsidP="00846D08">
      <w:pPr>
        <w:pStyle w:val="NormalWeb"/>
        <w:numPr>
          <w:ilvl w:val="0"/>
          <w:numId w:val="49"/>
        </w:numPr>
        <w:spacing w:before="100" w:beforeAutospacing="1" w:after="100" w:afterAutospacing="1"/>
        <w:jc w:val="both"/>
        <w:rPr>
          <w:rFonts w:asciiTheme="minorHAnsi" w:hAnsiTheme="minorHAnsi" w:cstheme="minorBidi"/>
        </w:rPr>
      </w:pPr>
      <w:r w:rsidRPr="4EC7F16B">
        <w:rPr>
          <w:rFonts w:asciiTheme="minorHAnsi" w:hAnsiTheme="minorHAnsi" w:cstheme="minorBidi"/>
        </w:rPr>
        <w:t>Develop a cyber-resilient framework for power system communication networks that ensures secure, accurate, and timely data exchange, mitigates FDI, DoS, and GPS spoofing attacks, and protects connected control and protection devices from compromise.</w:t>
      </w:r>
    </w:p>
    <w:p w14:paraId="0F148BB1" w14:textId="3C5276BB" w:rsidR="000C0182" w:rsidRPr="004F1CA5" w:rsidRDefault="00444620" w:rsidP="000C0182">
      <w:pPr>
        <w:pStyle w:val="Heading4"/>
        <w:rPr>
          <w:rFonts w:asciiTheme="minorHAnsi" w:hAnsiTheme="minorHAnsi" w:cstheme="minorBidi"/>
        </w:rPr>
      </w:pPr>
      <w:bookmarkStart w:id="371" w:name="_Toc222909131"/>
      <w:r>
        <w:rPr>
          <w:rFonts w:asciiTheme="minorHAnsi" w:hAnsiTheme="minorHAnsi" w:cstheme="minorBidi"/>
        </w:rPr>
        <w:t>9</w:t>
      </w:r>
      <w:r w:rsidR="000C0182" w:rsidRPr="19F71E1F">
        <w:rPr>
          <w:rFonts w:asciiTheme="minorHAnsi" w:hAnsiTheme="minorHAnsi" w:cstheme="minorBidi"/>
        </w:rPr>
        <w:t>. EV Charging and V2G Cybersecurity and Stability</w:t>
      </w:r>
      <w:bookmarkEnd w:id="371"/>
    </w:p>
    <w:p w14:paraId="223FB063" w14:textId="77777777" w:rsidR="000C0182" w:rsidRPr="00041E94" w:rsidRDefault="000C0182" w:rsidP="4EC7F16B">
      <w:pPr>
        <w:pStyle w:val="NormalWeb"/>
        <w:jc w:val="both"/>
        <w:rPr>
          <w:rFonts w:asciiTheme="minorHAnsi" w:hAnsiTheme="minorHAnsi" w:cstheme="minorBidi"/>
        </w:rPr>
      </w:pPr>
      <w:r w:rsidRPr="4EC7F16B">
        <w:rPr>
          <w:rFonts w:asciiTheme="minorHAnsi" w:hAnsiTheme="minorHAnsi" w:cstheme="minorBidi"/>
        </w:rPr>
        <w:t>EVSE and V2G systems introduce bidirectional power flows with rapid, aggregated response characteristics. Manipulated charging schedules or dispatch instructions can create synchronised load spikes or injection surges. These systems are increasingly network-connected and remotely managed.</w:t>
      </w:r>
    </w:p>
    <w:p w14:paraId="005E8A74" w14:textId="77777777" w:rsidR="000C0182" w:rsidRPr="004F1CA5" w:rsidRDefault="000C0182" w:rsidP="4EC7F16B">
      <w:pPr>
        <w:pStyle w:val="Heading5"/>
        <w:jc w:val="both"/>
        <w:rPr>
          <w:rFonts w:asciiTheme="minorHAnsi" w:hAnsiTheme="minorHAnsi" w:cstheme="minorBidi"/>
          <w:sz w:val="24"/>
          <w:szCs w:val="24"/>
        </w:rPr>
      </w:pPr>
      <w:r w:rsidRPr="4EC7F16B">
        <w:rPr>
          <w:rFonts w:asciiTheme="minorHAnsi" w:hAnsiTheme="minorHAnsi" w:cstheme="minorBidi"/>
          <w:sz w:val="24"/>
          <w:szCs w:val="24"/>
        </w:rPr>
        <w:t>Why It Matters for Stability</w:t>
      </w:r>
    </w:p>
    <w:p w14:paraId="45F2385E" w14:textId="77777777" w:rsidR="000C0182" w:rsidRPr="00041E94" w:rsidRDefault="000C0182" w:rsidP="4EC7F16B">
      <w:pPr>
        <w:pStyle w:val="NormalWeb"/>
        <w:jc w:val="both"/>
        <w:rPr>
          <w:rFonts w:asciiTheme="minorHAnsi" w:hAnsiTheme="minorHAnsi" w:cstheme="minorBidi"/>
        </w:rPr>
      </w:pPr>
      <w:r w:rsidRPr="4EC7F16B">
        <w:rPr>
          <w:rFonts w:asciiTheme="minorHAnsi" w:hAnsiTheme="minorHAnsi" w:cstheme="minorBidi"/>
        </w:rPr>
        <w:t>Coordinated EV charging manipulation can cause:</w:t>
      </w:r>
    </w:p>
    <w:p w14:paraId="786938C6" w14:textId="77777777" w:rsidR="000C0182" w:rsidRPr="00041E94" w:rsidRDefault="000C0182" w:rsidP="00846D08">
      <w:pPr>
        <w:pStyle w:val="NormalWeb"/>
        <w:numPr>
          <w:ilvl w:val="0"/>
          <w:numId w:val="37"/>
        </w:numPr>
        <w:spacing w:before="100" w:beforeAutospacing="1" w:after="100" w:afterAutospacing="1"/>
        <w:jc w:val="both"/>
        <w:rPr>
          <w:rFonts w:asciiTheme="minorHAnsi" w:hAnsiTheme="minorHAnsi" w:cstheme="minorBidi"/>
        </w:rPr>
      </w:pPr>
      <w:r w:rsidRPr="4EC7F16B">
        <w:rPr>
          <w:rFonts w:asciiTheme="minorHAnsi" w:hAnsiTheme="minorHAnsi" w:cstheme="minorBidi"/>
        </w:rPr>
        <w:t>Rapid frequency dips</w:t>
      </w:r>
    </w:p>
    <w:p w14:paraId="77B40F38" w14:textId="77777777" w:rsidR="000C0182" w:rsidRPr="00041E94" w:rsidRDefault="000C0182" w:rsidP="00846D08">
      <w:pPr>
        <w:pStyle w:val="NormalWeb"/>
        <w:numPr>
          <w:ilvl w:val="0"/>
          <w:numId w:val="37"/>
        </w:numPr>
        <w:spacing w:before="100" w:beforeAutospacing="1" w:after="100" w:afterAutospacing="1"/>
        <w:jc w:val="both"/>
        <w:rPr>
          <w:rFonts w:asciiTheme="minorHAnsi" w:hAnsiTheme="minorHAnsi" w:cstheme="minorBidi"/>
        </w:rPr>
      </w:pPr>
      <w:r w:rsidRPr="4EC7F16B">
        <w:rPr>
          <w:rFonts w:asciiTheme="minorHAnsi" w:hAnsiTheme="minorHAnsi" w:cstheme="minorBidi"/>
        </w:rPr>
        <w:t>Feeder overvoltage</w:t>
      </w:r>
    </w:p>
    <w:p w14:paraId="51B8CAF5" w14:textId="77777777" w:rsidR="000C0182" w:rsidRPr="00041E94" w:rsidRDefault="000C0182" w:rsidP="00846D08">
      <w:pPr>
        <w:pStyle w:val="NormalWeb"/>
        <w:numPr>
          <w:ilvl w:val="0"/>
          <w:numId w:val="37"/>
        </w:numPr>
        <w:spacing w:before="100" w:beforeAutospacing="1" w:after="100" w:afterAutospacing="1"/>
        <w:jc w:val="both"/>
        <w:rPr>
          <w:rFonts w:asciiTheme="minorHAnsi" w:hAnsiTheme="minorHAnsi" w:cstheme="minorBidi"/>
        </w:rPr>
      </w:pPr>
      <w:r w:rsidRPr="4EC7F16B">
        <w:rPr>
          <w:rFonts w:asciiTheme="minorHAnsi" w:hAnsiTheme="minorHAnsi" w:cstheme="minorBidi"/>
        </w:rPr>
        <w:t>Oscillatory instability in weak grids</w:t>
      </w:r>
    </w:p>
    <w:p w14:paraId="394EFD55" w14:textId="77777777" w:rsidR="000C0182" w:rsidRPr="00041E94" w:rsidRDefault="000C0182" w:rsidP="00846D08">
      <w:pPr>
        <w:pStyle w:val="NormalWeb"/>
        <w:numPr>
          <w:ilvl w:val="0"/>
          <w:numId w:val="37"/>
        </w:numPr>
        <w:spacing w:before="100" w:beforeAutospacing="1" w:after="100" w:afterAutospacing="1"/>
        <w:jc w:val="both"/>
        <w:rPr>
          <w:rFonts w:asciiTheme="minorHAnsi" w:hAnsiTheme="minorHAnsi" w:cstheme="minorBidi"/>
        </w:rPr>
      </w:pPr>
      <w:r w:rsidRPr="4EC7F16B">
        <w:rPr>
          <w:rFonts w:asciiTheme="minorHAnsi" w:hAnsiTheme="minorHAnsi" w:cstheme="minorBidi"/>
        </w:rPr>
        <w:t>Transformer overload and protection tripping</w:t>
      </w:r>
    </w:p>
    <w:p w14:paraId="26598809" w14:textId="77777777" w:rsidR="000C0182" w:rsidRPr="004F1CA5" w:rsidRDefault="000C0182" w:rsidP="4EC7F16B">
      <w:pPr>
        <w:pStyle w:val="Heading5"/>
        <w:jc w:val="both"/>
        <w:rPr>
          <w:rFonts w:asciiTheme="minorHAnsi" w:hAnsiTheme="minorHAnsi" w:cstheme="minorBidi"/>
          <w:sz w:val="24"/>
          <w:szCs w:val="24"/>
        </w:rPr>
      </w:pPr>
      <w:r w:rsidRPr="4EC7F16B">
        <w:rPr>
          <w:rFonts w:asciiTheme="minorHAnsi" w:hAnsiTheme="minorHAnsi" w:cstheme="minorBidi"/>
          <w:sz w:val="24"/>
          <w:szCs w:val="24"/>
        </w:rPr>
        <w:t>Key research questions</w:t>
      </w:r>
    </w:p>
    <w:p w14:paraId="53C49929" w14:textId="77777777" w:rsidR="000C0182" w:rsidRPr="00041E94" w:rsidRDefault="000C0182" w:rsidP="00846D08">
      <w:pPr>
        <w:pStyle w:val="NormalWeb"/>
        <w:numPr>
          <w:ilvl w:val="0"/>
          <w:numId w:val="50"/>
        </w:numPr>
        <w:spacing w:before="100" w:beforeAutospacing="1" w:after="100" w:afterAutospacing="1"/>
        <w:jc w:val="both"/>
        <w:rPr>
          <w:rFonts w:asciiTheme="minorHAnsi" w:hAnsiTheme="minorHAnsi" w:cstheme="minorBidi"/>
        </w:rPr>
      </w:pPr>
      <w:r w:rsidRPr="4EC7F16B">
        <w:rPr>
          <w:rFonts w:asciiTheme="minorHAnsi" w:hAnsiTheme="minorHAnsi" w:cstheme="minorBidi"/>
        </w:rPr>
        <w:t>How can EVSE and V2G systems be secured against manipulation of charging schedules, dispatch instructions, and coordinated fleet behaviour?</w:t>
      </w:r>
    </w:p>
    <w:p w14:paraId="38349635" w14:textId="77777777" w:rsidR="000C0182" w:rsidRPr="00041E94" w:rsidRDefault="000C0182" w:rsidP="00846D08">
      <w:pPr>
        <w:pStyle w:val="NormalWeb"/>
        <w:numPr>
          <w:ilvl w:val="0"/>
          <w:numId w:val="50"/>
        </w:numPr>
        <w:spacing w:before="100" w:beforeAutospacing="1" w:after="100" w:afterAutospacing="1"/>
        <w:jc w:val="both"/>
        <w:rPr>
          <w:rFonts w:asciiTheme="minorHAnsi" w:hAnsiTheme="minorHAnsi" w:cstheme="minorBidi"/>
        </w:rPr>
      </w:pPr>
      <w:r w:rsidRPr="4EC7F16B">
        <w:rPr>
          <w:rFonts w:asciiTheme="minorHAnsi" w:hAnsiTheme="minorHAnsi" w:cstheme="minorBidi"/>
        </w:rPr>
        <w:t>What are the worst-case stability impacts of synchronised charging or injection across aggregated EV fleets?</w:t>
      </w:r>
    </w:p>
    <w:p w14:paraId="547340B3" w14:textId="77777777" w:rsidR="000C0182" w:rsidRPr="00041E94" w:rsidRDefault="000C0182" w:rsidP="00846D08">
      <w:pPr>
        <w:pStyle w:val="NormalWeb"/>
        <w:numPr>
          <w:ilvl w:val="0"/>
          <w:numId w:val="50"/>
        </w:numPr>
        <w:spacing w:before="100" w:beforeAutospacing="1" w:after="100" w:afterAutospacing="1"/>
        <w:jc w:val="both"/>
        <w:rPr>
          <w:rFonts w:asciiTheme="minorHAnsi" w:hAnsiTheme="minorHAnsi" w:cstheme="minorBidi"/>
        </w:rPr>
      </w:pPr>
      <w:r w:rsidRPr="4EC7F16B">
        <w:rPr>
          <w:rFonts w:asciiTheme="minorHAnsi" w:hAnsiTheme="minorHAnsi" w:cstheme="minorBidi"/>
        </w:rPr>
        <w:t>What stability-aware control constraints and enforcement mechanisms can reduce cyber-induced instability?</w:t>
      </w:r>
    </w:p>
    <w:p w14:paraId="6485FDE0" w14:textId="77777777" w:rsidR="000C0182" w:rsidRPr="004F1CA5" w:rsidRDefault="000C0182" w:rsidP="4EC7F16B">
      <w:pPr>
        <w:pStyle w:val="Heading5"/>
        <w:jc w:val="both"/>
        <w:rPr>
          <w:rFonts w:asciiTheme="minorHAnsi" w:hAnsiTheme="minorHAnsi" w:cstheme="minorBidi"/>
          <w:sz w:val="24"/>
          <w:szCs w:val="24"/>
        </w:rPr>
      </w:pPr>
      <w:r w:rsidRPr="4EC7F16B">
        <w:rPr>
          <w:rFonts w:asciiTheme="minorHAnsi" w:hAnsiTheme="minorHAnsi" w:cstheme="minorBidi"/>
          <w:sz w:val="24"/>
          <w:szCs w:val="24"/>
        </w:rPr>
        <w:t>Research Directions</w:t>
      </w:r>
    </w:p>
    <w:p w14:paraId="036954F8" w14:textId="77777777" w:rsidR="000C0182" w:rsidRPr="00041E94" w:rsidRDefault="000C0182" w:rsidP="4EC7F16B">
      <w:pPr>
        <w:pStyle w:val="NormalWeb"/>
        <w:jc w:val="both"/>
        <w:rPr>
          <w:rFonts w:asciiTheme="minorHAnsi" w:hAnsiTheme="minorHAnsi" w:cstheme="minorBidi"/>
        </w:rPr>
      </w:pPr>
      <w:r w:rsidRPr="4EC7F16B">
        <w:rPr>
          <w:rFonts w:asciiTheme="minorHAnsi" w:hAnsiTheme="minorHAnsi" w:cstheme="minorBidi"/>
        </w:rPr>
        <w:t>Develop EVSE/V2G-specific attack models (charging manipulation, dispatch compromise); integrate fleet dynamics into grid simulations; quantify worst-case synchronised load impacts; design stability-aware control constraints (rate limiting, enforced dispatch); and evaluate mitigation through dynamic simulation and hardware-in-the-loop validation.</w:t>
      </w:r>
    </w:p>
    <w:p w14:paraId="7AED525B" w14:textId="07D19970" w:rsidR="000C0182" w:rsidRPr="004F1CA5" w:rsidRDefault="00444620" w:rsidP="000C0182">
      <w:pPr>
        <w:pStyle w:val="Heading4"/>
        <w:rPr>
          <w:rFonts w:asciiTheme="minorHAnsi" w:hAnsiTheme="minorHAnsi" w:cstheme="minorBidi"/>
        </w:rPr>
      </w:pPr>
      <w:bookmarkStart w:id="372" w:name="_Toc222909132"/>
      <w:r>
        <w:rPr>
          <w:rFonts w:asciiTheme="minorHAnsi" w:hAnsiTheme="minorHAnsi" w:cstheme="minorBidi"/>
        </w:rPr>
        <w:t>10</w:t>
      </w:r>
      <w:r w:rsidR="000C0182" w:rsidRPr="19F71E1F">
        <w:rPr>
          <w:rFonts w:asciiTheme="minorHAnsi" w:hAnsiTheme="minorHAnsi" w:cstheme="minorBidi"/>
        </w:rPr>
        <w:t>. Cybersecurity Standards, Certification, and Architectural Guidelines for Stability-Critical DER</w:t>
      </w:r>
      <w:bookmarkEnd w:id="372"/>
    </w:p>
    <w:p w14:paraId="7D7D69F6" w14:textId="77777777" w:rsidR="000C0182" w:rsidRPr="00041E94" w:rsidRDefault="000C0182" w:rsidP="00041E94">
      <w:pPr>
        <w:pStyle w:val="NormalWeb"/>
        <w:jc w:val="both"/>
        <w:rPr>
          <w:rFonts w:asciiTheme="minorHAnsi" w:hAnsiTheme="minorHAnsi" w:cstheme="minorBidi"/>
        </w:rPr>
      </w:pPr>
      <w:r w:rsidRPr="4EC7F16B">
        <w:rPr>
          <w:rFonts w:asciiTheme="minorHAnsi" w:hAnsiTheme="minorHAnsi" w:cstheme="minorBidi"/>
        </w:rPr>
        <w:t>Current DER standards (e.g., IEEE 1547) emphasise physical interconnection performance but do not fully embed cybersecurity requirements tied to stability. Australian grid cybersecurity roadmaps emphasise coordination and governance, but stability-specific security criteria remain fragmented.</w:t>
      </w:r>
    </w:p>
    <w:p w14:paraId="4F56FAC7" w14:textId="77777777" w:rsidR="000C0182" w:rsidRPr="004F1CA5" w:rsidRDefault="000C0182" w:rsidP="19FE9A1A">
      <w:pPr>
        <w:pStyle w:val="Heading5"/>
        <w:jc w:val="both"/>
        <w:rPr>
          <w:rFonts w:asciiTheme="minorHAnsi" w:hAnsiTheme="minorHAnsi" w:cstheme="minorBidi"/>
          <w:sz w:val="24"/>
          <w:szCs w:val="24"/>
        </w:rPr>
      </w:pPr>
      <w:r w:rsidRPr="4EC7F16B">
        <w:rPr>
          <w:rFonts w:asciiTheme="minorHAnsi" w:hAnsiTheme="minorHAnsi" w:cstheme="minorBidi"/>
          <w:sz w:val="24"/>
          <w:szCs w:val="24"/>
        </w:rPr>
        <w:t>Why It Matters for Stability</w:t>
      </w:r>
    </w:p>
    <w:p w14:paraId="56DF7A3C" w14:textId="77777777" w:rsidR="000C0182" w:rsidRPr="00041E94" w:rsidRDefault="000C0182" w:rsidP="19FE9A1A">
      <w:pPr>
        <w:pStyle w:val="NormalWeb"/>
        <w:jc w:val="both"/>
        <w:rPr>
          <w:rFonts w:asciiTheme="minorHAnsi" w:hAnsiTheme="minorHAnsi" w:cstheme="minorBidi"/>
        </w:rPr>
      </w:pPr>
      <w:r w:rsidRPr="4EC7F16B">
        <w:rPr>
          <w:rFonts w:asciiTheme="minorHAnsi" w:hAnsiTheme="minorHAnsi" w:cstheme="minorBidi"/>
        </w:rPr>
        <w:t>Non-uniform security practices can enable:</w:t>
      </w:r>
    </w:p>
    <w:p w14:paraId="566136BF" w14:textId="77777777" w:rsidR="000C0182" w:rsidRPr="00041E94" w:rsidRDefault="000C0182" w:rsidP="00846D08">
      <w:pPr>
        <w:pStyle w:val="NormalWeb"/>
        <w:numPr>
          <w:ilvl w:val="0"/>
          <w:numId w:val="51"/>
        </w:numPr>
        <w:spacing w:before="100" w:beforeAutospacing="1" w:after="100" w:afterAutospacing="1"/>
        <w:jc w:val="both"/>
        <w:rPr>
          <w:rFonts w:asciiTheme="minorHAnsi" w:hAnsiTheme="minorHAnsi" w:cstheme="minorBidi"/>
        </w:rPr>
      </w:pPr>
      <w:r w:rsidRPr="4EC7F16B">
        <w:rPr>
          <w:rFonts w:asciiTheme="minorHAnsi" w:hAnsiTheme="minorHAnsi" w:cstheme="minorBidi"/>
        </w:rPr>
        <w:t>Coordinated exploitation of homogeneous firmware</w:t>
      </w:r>
    </w:p>
    <w:p w14:paraId="6A7E2D41" w14:textId="77777777" w:rsidR="000C0182" w:rsidRPr="00041E94" w:rsidRDefault="000C0182" w:rsidP="00846D08">
      <w:pPr>
        <w:pStyle w:val="NormalWeb"/>
        <w:numPr>
          <w:ilvl w:val="0"/>
          <w:numId w:val="51"/>
        </w:numPr>
        <w:spacing w:before="100" w:beforeAutospacing="1" w:after="100" w:afterAutospacing="1"/>
        <w:jc w:val="both"/>
        <w:rPr>
          <w:rFonts w:asciiTheme="minorHAnsi" w:hAnsiTheme="minorHAnsi" w:cstheme="minorBidi"/>
        </w:rPr>
      </w:pPr>
      <w:r w:rsidRPr="4EC7F16B">
        <w:rPr>
          <w:rFonts w:asciiTheme="minorHAnsi" w:hAnsiTheme="minorHAnsi" w:cstheme="minorBidi"/>
        </w:rPr>
        <w:t>Weak authentication across fleet control</w:t>
      </w:r>
    </w:p>
    <w:p w14:paraId="059AF7B9" w14:textId="77777777" w:rsidR="000C0182" w:rsidRPr="00041E94" w:rsidRDefault="000C0182" w:rsidP="00846D08">
      <w:pPr>
        <w:pStyle w:val="NormalWeb"/>
        <w:numPr>
          <w:ilvl w:val="0"/>
          <w:numId w:val="51"/>
        </w:numPr>
        <w:spacing w:before="100" w:beforeAutospacing="1" w:after="100" w:afterAutospacing="1"/>
        <w:jc w:val="both"/>
        <w:rPr>
          <w:rFonts w:asciiTheme="minorHAnsi" w:hAnsiTheme="minorHAnsi" w:cstheme="minorBidi"/>
        </w:rPr>
      </w:pPr>
      <w:r w:rsidRPr="4EC7F16B">
        <w:rPr>
          <w:rFonts w:asciiTheme="minorHAnsi" w:hAnsiTheme="minorHAnsi" w:cstheme="minorBidi"/>
        </w:rPr>
        <w:t>Increased probability of large-scale disconnections</w:t>
      </w:r>
    </w:p>
    <w:p w14:paraId="251E3745" w14:textId="77777777" w:rsidR="000C0182" w:rsidRPr="004F1CA5" w:rsidRDefault="000C0182" w:rsidP="19FE9A1A">
      <w:pPr>
        <w:pStyle w:val="Heading5"/>
        <w:jc w:val="both"/>
        <w:rPr>
          <w:rFonts w:asciiTheme="minorHAnsi" w:hAnsiTheme="minorHAnsi" w:cstheme="minorBidi"/>
          <w:sz w:val="24"/>
          <w:szCs w:val="24"/>
        </w:rPr>
      </w:pPr>
      <w:r w:rsidRPr="4EC7F16B">
        <w:rPr>
          <w:rFonts w:asciiTheme="minorHAnsi" w:hAnsiTheme="minorHAnsi" w:cstheme="minorBidi"/>
          <w:sz w:val="24"/>
          <w:szCs w:val="24"/>
        </w:rPr>
        <w:t>Key research questions</w:t>
      </w:r>
    </w:p>
    <w:p w14:paraId="133B1B59" w14:textId="77777777" w:rsidR="000C0182" w:rsidRPr="00041E94" w:rsidRDefault="000C0182" w:rsidP="00846D08">
      <w:pPr>
        <w:pStyle w:val="NormalWeb"/>
        <w:numPr>
          <w:ilvl w:val="0"/>
          <w:numId w:val="52"/>
        </w:numPr>
        <w:spacing w:before="100" w:beforeAutospacing="1" w:after="100" w:afterAutospacing="1"/>
        <w:jc w:val="both"/>
        <w:rPr>
          <w:rFonts w:asciiTheme="minorHAnsi" w:hAnsiTheme="minorHAnsi" w:cstheme="minorBidi"/>
        </w:rPr>
      </w:pPr>
      <w:r w:rsidRPr="4EC7F16B">
        <w:rPr>
          <w:rFonts w:asciiTheme="minorHAnsi" w:hAnsiTheme="minorHAnsi" w:cstheme="minorBidi"/>
        </w:rPr>
        <w:t>What stability-relevant cybersecurity requirements are missing or insufficiently defined in current DER and aggregator standards?</w:t>
      </w:r>
    </w:p>
    <w:p w14:paraId="5D94F188" w14:textId="77777777" w:rsidR="000C0182" w:rsidRPr="00041E94" w:rsidRDefault="000C0182" w:rsidP="00846D08">
      <w:pPr>
        <w:pStyle w:val="NormalWeb"/>
        <w:numPr>
          <w:ilvl w:val="0"/>
          <w:numId w:val="52"/>
        </w:numPr>
        <w:spacing w:before="100" w:beforeAutospacing="1" w:after="100" w:afterAutospacing="1"/>
        <w:jc w:val="both"/>
        <w:rPr>
          <w:rFonts w:asciiTheme="minorHAnsi" w:hAnsiTheme="minorHAnsi" w:cstheme="minorBidi"/>
        </w:rPr>
      </w:pPr>
      <w:r w:rsidRPr="4EC7F16B">
        <w:rPr>
          <w:rFonts w:asciiTheme="minorHAnsi" w:hAnsiTheme="minorHAnsi" w:cstheme="minorBidi"/>
        </w:rPr>
        <w:t>What minimum security baselines and architectural guidance should apply to stability-critical DER fleets and aggregator platforms?</w:t>
      </w:r>
    </w:p>
    <w:p w14:paraId="3602E432" w14:textId="77777777" w:rsidR="000C0182" w:rsidRPr="00041E94" w:rsidRDefault="000C0182" w:rsidP="00846D08">
      <w:pPr>
        <w:pStyle w:val="NormalWeb"/>
        <w:numPr>
          <w:ilvl w:val="0"/>
          <w:numId w:val="52"/>
        </w:numPr>
        <w:spacing w:before="100" w:beforeAutospacing="1" w:after="100" w:afterAutospacing="1"/>
        <w:jc w:val="both"/>
        <w:rPr>
          <w:rFonts w:asciiTheme="minorHAnsi" w:hAnsiTheme="minorHAnsi" w:cstheme="minorBidi"/>
        </w:rPr>
      </w:pPr>
      <w:r w:rsidRPr="4EC7F16B">
        <w:rPr>
          <w:rFonts w:asciiTheme="minorHAnsi" w:hAnsiTheme="minorHAnsi" w:cstheme="minorBidi"/>
        </w:rPr>
        <w:t>How can certification and assurance approaches incorporate stability-relevant cyber-physical criteria?</w:t>
      </w:r>
    </w:p>
    <w:p w14:paraId="17E71AB1" w14:textId="290ABD8E" w:rsidR="00ED2363" w:rsidRDefault="009A240B" w:rsidP="00EE14F4">
      <w:pPr>
        <w:pStyle w:val="BodyText"/>
        <w:jc w:val="both"/>
        <w:rPr>
          <w:rFonts w:asciiTheme="minorHAnsi" w:eastAsiaTheme="minorEastAsia" w:hAnsiTheme="minorHAnsi" w:cstheme="minorBidi"/>
        </w:rPr>
      </w:pPr>
      <w:r>
        <w:t xml:space="preserve"> </w:t>
      </w:r>
    </w:p>
    <w:p w14:paraId="5A974A83" w14:textId="02A8919E" w:rsidR="006137A9" w:rsidRPr="0015572F" w:rsidRDefault="00A90F41" w:rsidP="009A240B">
      <w:pPr>
        <w:pStyle w:val="BodyText"/>
        <w:rPr>
          <w:rFonts w:asciiTheme="minorHAnsi" w:eastAsiaTheme="minorEastAsia" w:hAnsiTheme="minorHAnsi" w:cstheme="minorBidi"/>
          <w:b/>
          <w:color w:val="00A9CE" w:themeColor="accent1"/>
        </w:rPr>
      </w:pPr>
      <w:r w:rsidRPr="3C9E86E5">
        <w:rPr>
          <w:rFonts w:asciiTheme="minorHAnsi" w:eastAsiaTheme="minorEastAsia" w:hAnsiTheme="minorHAnsi" w:cstheme="minorBidi"/>
        </w:rPr>
        <w:br w:type="page"/>
      </w:r>
    </w:p>
    <w:p w14:paraId="7912710F" w14:textId="390E11B1" w:rsidR="00707997" w:rsidRPr="005C1B4B" w:rsidRDefault="009C6AA3" w:rsidP="19F71E1F">
      <w:pPr>
        <w:pStyle w:val="Heading9"/>
        <w:numPr>
          <w:ilvl w:val="0"/>
          <w:numId w:val="0"/>
        </w:numPr>
        <w:rPr>
          <w:rFonts w:asciiTheme="minorHAnsi" w:eastAsiaTheme="minorEastAsia" w:hAnsiTheme="minorHAnsi" w:cstheme="minorBidi"/>
        </w:rPr>
      </w:pPr>
      <w:r w:rsidRPr="3C9E86E5">
        <w:rPr>
          <w:rFonts w:asciiTheme="minorHAnsi" w:eastAsiaTheme="minorEastAsia" w:hAnsiTheme="minorHAnsi" w:cstheme="minorBidi"/>
        </w:rPr>
        <w:t>Appendix-A</w:t>
      </w:r>
    </w:p>
    <w:tbl>
      <w:tblPr>
        <w:tblStyle w:val="TableCSIRO"/>
        <w:tblW w:w="0" w:type="auto"/>
        <w:tblLook w:val="04A0" w:firstRow="1" w:lastRow="0" w:firstColumn="1" w:lastColumn="0" w:noHBand="0" w:noVBand="1"/>
      </w:tblPr>
      <w:tblGrid>
        <w:gridCol w:w="2158"/>
        <w:gridCol w:w="2091"/>
        <w:gridCol w:w="2482"/>
        <w:gridCol w:w="2794"/>
      </w:tblGrid>
      <w:tr w:rsidR="00AC4E00" w:rsidRPr="00AB2965" w14:paraId="6CE9D2C2" w14:textId="77777777" w:rsidTr="00AC4E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8" w:type="dxa"/>
          </w:tcPr>
          <w:p w14:paraId="402EC23E" w14:textId="24D70AF7" w:rsidR="00AC4E00" w:rsidRPr="00AB2965" w:rsidRDefault="00AC4E00" w:rsidP="009C6AA3">
            <w:pPr>
              <w:pStyle w:val="BodyText"/>
              <w:rPr>
                <w:rFonts w:asciiTheme="minorHAnsi" w:eastAsiaTheme="minorEastAsia" w:hAnsiTheme="minorHAnsi" w:cstheme="minorBidi"/>
                <w:color w:val="FFFFFF" w:themeColor="background1"/>
                <w:sz w:val="18"/>
                <w:szCs w:val="18"/>
              </w:rPr>
            </w:pPr>
            <w:r w:rsidRPr="3C9E86E5">
              <w:rPr>
                <w:rFonts w:asciiTheme="minorHAnsi" w:eastAsiaTheme="minorEastAsia" w:hAnsiTheme="minorHAnsi" w:cstheme="minorBidi"/>
                <w:color w:val="FFFFFF" w:themeColor="background2"/>
                <w:sz w:val="18"/>
                <w:szCs w:val="18"/>
              </w:rPr>
              <w:t>Report Name</w:t>
            </w:r>
          </w:p>
        </w:tc>
        <w:tc>
          <w:tcPr>
            <w:tcW w:w="2091" w:type="dxa"/>
          </w:tcPr>
          <w:p w14:paraId="7AE2E092" w14:textId="77777777" w:rsidR="00AC4E00" w:rsidRPr="3C9E86E5" w:rsidRDefault="00AC4E00" w:rsidP="009C6AA3">
            <w:pPr>
              <w:pStyle w:val="BodyText"/>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2"/>
                <w:sz w:val="18"/>
                <w:szCs w:val="18"/>
              </w:rPr>
            </w:pPr>
          </w:p>
        </w:tc>
        <w:tc>
          <w:tcPr>
            <w:tcW w:w="2482" w:type="dxa"/>
          </w:tcPr>
          <w:p w14:paraId="5CDE8F60" w14:textId="308D8094" w:rsidR="00AC4E00" w:rsidRPr="00AB2965" w:rsidRDefault="00AC4E00" w:rsidP="009C6AA3">
            <w:pPr>
              <w:pStyle w:val="BodyText"/>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1"/>
                <w:sz w:val="18"/>
                <w:szCs w:val="18"/>
              </w:rPr>
            </w:pPr>
            <w:r w:rsidRPr="3C9E86E5">
              <w:rPr>
                <w:rFonts w:asciiTheme="minorHAnsi" w:eastAsiaTheme="minorEastAsia" w:hAnsiTheme="minorHAnsi" w:cstheme="minorBidi"/>
                <w:color w:val="FFFFFF" w:themeColor="background2"/>
                <w:sz w:val="18"/>
                <w:szCs w:val="18"/>
              </w:rPr>
              <w:t>Description</w:t>
            </w:r>
          </w:p>
        </w:tc>
        <w:tc>
          <w:tcPr>
            <w:tcW w:w="2794" w:type="dxa"/>
          </w:tcPr>
          <w:p w14:paraId="612F4152" w14:textId="0F9FAC42" w:rsidR="00AC4E00" w:rsidRPr="00AB2965" w:rsidRDefault="00AC4E00" w:rsidP="009C6AA3">
            <w:pPr>
              <w:pStyle w:val="BodyText"/>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FFFFFF" w:themeColor="background1"/>
                <w:sz w:val="18"/>
                <w:szCs w:val="18"/>
              </w:rPr>
            </w:pPr>
            <w:r w:rsidRPr="3C9E86E5">
              <w:rPr>
                <w:rFonts w:asciiTheme="minorHAnsi" w:eastAsiaTheme="minorEastAsia" w:hAnsiTheme="minorHAnsi" w:cstheme="minorBidi"/>
                <w:color w:val="FFFFFF" w:themeColor="background2"/>
                <w:sz w:val="18"/>
                <w:szCs w:val="18"/>
              </w:rPr>
              <w:t>Link (Available through CSIRO)</w:t>
            </w:r>
          </w:p>
        </w:tc>
      </w:tr>
      <w:tr w:rsidR="00AC4E00" w:rsidRPr="00AB2965" w14:paraId="66DCD11C" w14:textId="77777777" w:rsidTr="00AC4E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8" w:type="dxa"/>
          </w:tcPr>
          <w:p w14:paraId="04F11191" w14:textId="5499C2CE" w:rsidR="00AC4E00" w:rsidRPr="00AB2965" w:rsidRDefault="00AC4E00" w:rsidP="009C6AA3">
            <w:pPr>
              <w:pStyle w:val="BodyText"/>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 xml:space="preserve">Technical Report 1 </w:t>
            </w:r>
          </w:p>
        </w:tc>
        <w:tc>
          <w:tcPr>
            <w:tcW w:w="2091" w:type="dxa"/>
          </w:tcPr>
          <w:p w14:paraId="1B58F29E" w14:textId="77777777" w:rsidR="00AC4E00" w:rsidRPr="3C9E86E5" w:rsidRDefault="00AC4E00" w:rsidP="009C6AA3">
            <w:pPr>
              <w:pStyle w:val="BodyTex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p>
        </w:tc>
        <w:tc>
          <w:tcPr>
            <w:tcW w:w="2482" w:type="dxa"/>
          </w:tcPr>
          <w:p w14:paraId="2F3B8AF8" w14:textId="70060CCB" w:rsidR="00AC4E00" w:rsidRPr="00AB2965" w:rsidRDefault="00AC4E00" w:rsidP="009C6AA3">
            <w:pPr>
              <w:pStyle w:val="BodyTex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EVSE Threat Modelling Report</w:t>
            </w:r>
          </w:p>
        </w:tc>
        <w:tc>
          <w:tcPr>
            <w:tcW w:w="2794" w:type="dxa"/>
          </w:tcPr>
          <w:p w14:paraId="1A4F14C7" w14:textId="38C2D05D" w:rsidR="00AC4E00" w:rsidRPr="00AB2965" w:rsidRDefault="00AC4E00" w:rsidP="009C6AA3">
            <w:pPr>
              <w:pStyle w:val="BodyTex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hyperlink r:id="rId81">
              <w:r w:rsidRPr="3C9E86E5">
                <w:rPr>
                  <w:rStyle w:val="Hyperlink"/>
                  <w:rFonts w:asciiTheme="minorHAnsi" w:eastAsiaTheme="minorEastAsia" w:hAnsiTheme="minorHAnsi" w:cstheme="minorBidi"/>
                  <w:sz w:val="18"/>
                  <w:szCs w:val="18"/>
                </w:rPr>
                <w:t>Phase 1 - TR1 - EVSE Threat Analysis Report_V1.5_Final.pdf</w:t>
              </w:r>
            </w:hyperlink>
          </w:p>
        </w:tc>
      </w:tr>
      <w:tr w:rsidR="00AC4E00" w:rsidRPr="00AB2965" w14:paraId="0A62A5AB" w14:textId="77777777" w:rsidTr="005713FD">
        <w:trPr>
          <w:trHeight w:val="663"/>
        </w:trPr>
        <w:tc>
          <w:tcPr>
            <w:cnfStyle w:val="001000000000" w:firstRow="0" w:lastRow="0" w:firstColumn="1" w:lastColumn="0" w:oddVBand="0" w:evenVBand="0" w:oddHBand="0" w:evenHBand="0" w:firstRowFirstColumn="0" w:firstRowLastColumn="0" w:lastRowFirstColumn="0" w:lastRowLastColumn="0"/>
            <w:tcW w:w="0" w:type="dxa"/>
          </w:tcPr>
          <w:p w14:paraId="0BC702BF" w14:textId="12C80215" w:rsidR="00AC4E00" w:rsidRPr="00AB2965" w:rsidRDefault="00AC4E00" w:rsidP="009C6AA3">
            <w:pPr>
              <w:pStyle w:val="BodyText"/>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 xml:space="preserve">Technical Report 2 </w:t>
            </w:r>
          </w:p>
        </w:tc>
        <w:tc>
          <w:tcPr>
            <w:tcW w:w="0" w:type="dxa"/>
          </w:tcPr>
          <w:p w14:paraId="031A3A17" w14:textId="77777777" w:rsidR="00AC4E00" w:rsidRPr="3C9E86E5" w:rsidRDefault="00AC4E00" w:rsidP="009C6AA3">
            <w:pPr>
              <w:pStyle w:val="Body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p>
        </w:tc>
        <w:tc>
          <w:tcPr>
            <w:tcW w:w="0" w:type="dxa"/>
          </w:tcPr>
          <w:p w14:paraId="6CC108AA" w14:textId="18DF3F62" w:rsidR="00AC4E00" w:rsidRPr="00AB2965" w:rsidRDefault="00AC4E00" w:rsidP="009C6AA3">
            <w:pPr>
              <w:pStyle w:val="Body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 xml:space="preserve">TSM Reference Architecture </w:t>
            </w:r>
          </w:p>
        </w:tc>
        <w:tc>
          <w:tcPr>
            <w:tcW w:w="0" w:type="dxa"/>
          </w:tcPr>
          <w:p w14:paraId="65677F4D" w14:textId="46203BA0" w:rsidR="00AC4E00" w:rsidRPr="000033C4" w:rsidRDefault="00AC4E00" w:rsidP="000033C4">
            <w:pPr>
              <w:pStyle w:val="Body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hyperlink r:id="rId82">
              <w:r w:rsidRPr="3C9E86E5">
                <w:rPr>
                  <w:rStyle w:val="Hyperlink"/>
                  <w:rFonts w:asciiTheme="minorHAnsi" w:eastAsiaTheme="minorEastAsia" w:hAnsiTheme="minorHAnsi" w:cstheme="minorBidi"/>
                  <w:sz w:val="18"/>
                  <w:szCs w:val="18"/>
                </w:rPr>
                <w:t>Phase 1 - TR2 - TSM Reference Architecture_V1.5_Final.pdf</w:t>
              </w:r>
            </w:hyperlink>
          </w:p>
          <w:p w14:paraId="44765333" w14:textId="77777777" w:rsidR="00AC4E00" w:rsidRPr="00AB2965" w:rsidRDefault="00AC4E00" w:rsidP="009C6AA3">
            <w:pPr>
              <w:pStyle w:val="Body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p>
        </w:tc>
      </w:tr>
      <w:tr w:rsidR="00AC4E00" w:rsidRPr="00AB2965" w14:paraId="34E4EB73" w14:textId="77777777" w:rsidTr="00AC4E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8" w:type="dxa"/>
          </w:tcPr>
          <w:p w14:paraId="40AEBC91" w14:textId="5345A15A" w:rsidR="00AC4E00" w:rsidRPr="00AB2965" w:rsidRDefault="00AC4E00" w:rsidP="009C6AA3">
            <w:pPr>
              <w:pStyle w:val="BodyText"/>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Project Report  (Phase 2)</w:t>
            </w:r>
          </w:p>
        </w:tc>
        <w:tc>
          <w:tcPr>
            <w:tcW w:w="2091" w:type="dxa"/>
          </w:tcPr>
          <w:p w14:paraId="3CD6EF01" w14:textId="77777777" w:rsidR="00AC4E00" w:rsidRPr="3C9E86E5" w:rsidRDefault="00AC4E00" w:rsidP="009C6AA3">
            <w:pPr>
              <w:pStyle w:val="BodyTex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p>
        </w:tc>
        <w:tc>
          <w:tcPr>
            <w:tcW w:w="2482" w:type="dxa"/>
          </w:tcPr>
          <w:p w14:paraId="0A84D907" w14:textId="4FECD4C4" w:rsidR="00AC4E00" w:rsidRPr="00AB2965" w:rsidRDefault="00AC4E00" w:rsidP="009C6AA3">
            <w:pPr>
              <w:pStyle w:val="BodyTex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r w:rsidRPr="3C9E86E5">
              <w:rPr>
                <w:rFonts w:asciiTheme="minorHAnsi" w:eastAsiaTheme="minorEastAsia" w:hAnsiTheme="minorHAnsi" w:cstheme="minorBidi"/>
                <w:sz w:val="18"/>
                <w:szCs w:val="18"/>
              </w:rPr>
              <w:t xml:space="preserve">Co-Simulation Platform Development </w:t>
            </w:r>
          </w:p>
        </w:tc>
        <w:tc>
          <w:tcPr>
            <w:tcW w:w="2794" w:type="dxa"/>
          </w:tcPr>
          <w:p w14:paraId="48D9EB1B" w14:textId="556CFD55" w:rsidR="00AC4E00" w:rsidRPr="005F2DAA" w:rsidRDefault="00AC4E00" w:rsidP="005F2DAA">
            <w:pPr>
              <w:pStyle w:val="BodyTex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hyperlink r:id="rId83">
              <w:r w:rsidRPr="3C9E86E5">
                <w:rPr>
                  <w:rStyle w:val="Hyperlink"/>
                  <w:rFonts w:asciiTheme="minorHAnsi" w:eastAsiaTheme="minorEastAsia" w:hAnsiTheme="minorHAnsi" w:cstheme="minorBidi"/>
                  <w:sz w:val="18"/>
                  <w:szCs w:val="18"/>
                </w:rPr>
                <w:t>Phase 2 - PR1 - EVSE Cosimulation Platform Development V1.51_Final.pdf</w:t>
              </w:r>
            </w:hyperlink>
          </w:p>
          <w:p w14:paraId="2586868F" w14:textId="762C99F3" w:rsidR="00AC4E00" w:rsidRPr="00AB2965" w:rsidRDefault="00AC4E00" w:rsidP="009C6AA3">
            <w:pPr>
              <w:pStyle w:val="BodyTex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18"/>
                <w:szCs w:val="18"/>
              </w:rPr>
            </w:pPr>
          </w:p>
        </w:tc>
      </w:tr>
      <w:tr w:rsidR="00AC4E00" w:rsidRPr="00AB2965" w14:paraId="5194A04A" w14:textId="77777777" w:rsidTr="00AC4E00">
        <w:tc>
          <w:tcPr>
            <w:cnfStyle w:val="001000000000" w:firstRow="0" w:lastRow="0" w:firstColumn="1" w:lastColumn="0" w:oddVBand="0" w:evenVBand="0" w:oddHBand="0" w:evenHBand="0" w:firstRowFirstColumn="0" w:firstRowLastColumn="0" w:lastRowFirstColumn="0" w:lastRowLastColumn="0"/>
            <w:tcW w:w="2158" w:type="dxa"/>
          </w:tcPr>
          <w:p w14:paraId="038E912B" w14:textId="51B1BC25" w:rsidR="00AC4E00" w:rsidRPr="3C9E86E5" w:rsidRDefault="00771C4F" w:rsidP="009C6AA3">
            <w:pPr>
              <w:pStyle w:val="BodyText"/>
              <w:rPr>
                <w:rFonts w:asciiTheme="minorHAnsi" w:eastAsiaTheme="minorEastAsia" w:hAnsiTheme="minorHAnsi" w:cstheme="minorBidi"/>
                <w:sz w:val="18"/>
                <w:szCs w:val="18"/>
              </w:rPr>
            </w:pPr>
            <w:r>
              <w:rPr>
                <w:rFonts w:asciiTheme="minorHAnsi" w:eastAsiaTheme="minorEastAsia" w:hAnsiTheme="minorHAnsi" w:cstheme="minorBidi"/>
                <w:sz w:val="18"/>
                <w:szCs w:val="18"/>
              </w:rPr>
              <w:t>Technical Report 3</w:t>
            </w:r>
          </w:p>
        </w:tc>
        <w:tc>
          <w:tcPr>
            <w:tcW w:w="2091" w:type="dxa"/>
          </w:tcPr>
          <w:p w14:paraId="494736B2" w14:textId="77777777" w:rsidR="00AC4E00" w:rsidRPr="3C9E86E5" w:rsidRDefault="00AC4E00" w:rsidP="009C6AA3">
            <w:pPr>
              <w:pStyle w:val="Body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p>
        </w:tc>
        <w:tc>
          <w:tcPr>
            <w:tcW w:w="2482" w:type="dxa"/>
          </w:tcPr>
          <w:p w14:paraId="0F63BFBE" w14:textId="37DDA682" w:rsidR="00AC4E00" w:rsidRPr="3C9E86E5" w:rsidRDefault="00771C4F" w:rsidP="009C6AA3">
            <w:pPr>
              <w:pStyle w:val="Body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18"/>
                <w:szCs w:val="18"/>
              </w:rPr>
            </w:pPr>
            <w:r>
              <w:rPr>
                <w:rFonts w:asciiTheme="minorHAnsi" w:eastAsiaTheme="minorEastAsia" w:hAnsiTheme="minorHAnsi" w:cstheme="minorBidi"/>
                <w:sz w:val="18"/>
                <w:szCs w:val="18"/>
              </w:rPr>
              <w:t xml:space="preserve">POC for TSM- Implementation and Experimentation </w:t>
            </w:r>
          </w:p>
        </w:tc>
        <w:tc>
          <w:tcPr>
            <w:tcW w:w="2794" w:type="dxa"/>
          </w:tcPr>
          <w:p w14:paraId="00BF9A71" w14:textId="77777777" w:rsidR="00AC4E00" w:rsidRDefault="00AC4E00" w:rsidP="005F2DAA">
            <w:pPr>
              <w:pStyle w:val="BodyText"/>
              <w:cnfStyle w:val="000000000000" w:firstRow="0" w:lastRow="0" w:firstColumn="0" w:lastColumn="0" w:oddVBand="0" w:evenVBand="0" w:oddHBand="0" w:evenHBand="0" w:firstRowFirstColumn="0" w:firstRowLastColumn="0" w:lastRowFirstColumn="0" w:lastRowLastColumn="0"/>
            </w:pPr>
          </w:p>
        </w:tc>
      </w:tr>
    </w:tbl>
    <w:p w14:paraId="4FDB514E" w14:textId="77777777" w:rsidR="00595936" w:rsidRPr="00AF37BE" w:rsidRDefault="00595936" w:rsidP="00DC2413">
      <w:pPr>
        <w:pStyle w:val="BodyText"/>
        <w:rPr>
          <w:rFonts w:asciiTheme="minorHAnsi" w:eastAsiaTheme="minorEastAsia" w:hAnsiTheme="minorHAnsi" w:cstheme="minorBidi"/>
        </w:rPr>
      </w:pPr>
    </w:p>
    <w:p w14:paraId="3DB2B86B" w14:textId="6FB4BC09" w:rsidR="004F287F" w:rsidRDefault="00A943B2" w:rsidP="00907E1B">
      <w:pPr>
        <w:pStyle w:val="Heading1notnumbered"/>
        <w:rPr>
          <w:rFonts w:asciiTheme="minorHAnsi" w:eastAsiaTheme="minorEastAsia" w:hAnsiTheme="minorHAnsi" w:cstheme="minorBidi"/>
        </w:rPr>
      </w:pPr>
      <w:bookmarkStart w:id="373" w:name="_Toc315694433"/>
      <w:bookmarkStart w:id="374" w:name="_Toc222954523"/>
      <w:bookmarkStart w:id="375" w:name="_Toc223022389"/>
      <w:bookmarkStart w:id="376" w:name="_Toc234310850"/>
      <w:r>
        <w:t>References</w:t>
      </w:r>
      <w:bookmarkEnd w:id="373"/>
      <w:bookmarkEnd w:id="374"/>
      <w:bookmarkEnd w:id="375"/>
      <w:bookmarkEnd w:id="376"/>
      <w:r w:rsidRPr="00AF37BE">
        <w:t xml:space="preserve"> </w:t>
      </w:r>
    </w:p>
    <w:p w14:paraId="6727AE12" w14:textId="4BA076AA" w:rsidR="00282268" w:rsidRPr="00282268" w:rsidRDefault="00282268" w:rsidP="00282268">
      <w:pPr>
        <w:pStyle w:val="BodyText"/>
        <w:rPr>
          <w:rFonts w:asciiTheme="minorHAnsi" w:eastAsiaTheme="minorEastAsia" w:hAnsiTheme="minorHAnsi" w:cstheme="minorBidi"/>
          <w:sz w:val="22"/>
        </w:rPr>
      </w:pPr>
      <w:r w:rsidRPr="00282268">
        <w:rPr>
          <w:sz w:val="22"/>
        </w:rPr>
        <w:t xml:space="preserve">[1] Australian Energy Market Operator (AEMO), Integrated System Plan (ISP) – 2026 Draft, Melbourne, Australia, Dec. 2025. [Online]. Available: </w:t>
      </w:r>
      <w:hyperlink r:id="rId84">
        <w:r w:rsidR="00C75B55" w:rsidRPr="3C9E86E5">
          <w:rPr>
            <w:rStyle w:val="Hyperlink"/>
            <w:sz w:val="22"/>
          </w:rPr>
          <w:t>https://www.aemo.com.au/energy-systems/major-publications/integrated-system-plan-isp</w:t>
        </w:r>
      </w:hyperlink>
      <w:r w:rsidR="00C75B55" w:rsidRPr="3C9E86E5">
        <w:rPr>
          <w:sz w:val="22"/>
        </w:rPr>
        <w:t xml:space="preserve"> </w:t>
      </w:r>
    </w:p>
    <w:p w14:paraId="5E1207C6" w14:textId="47F86A7A" w:rsidR="00282268" w:rsidRPr="00282268" w:rsidRDefault="00282268" w:rsidP="004144B8">
      <w:pPr>
        <w:pStyle w:val="BodyText"/>
        <w:rPr>
          <w:rFonts w:asciiTheme="minorHAnsi" w:eastAsiaTheme="minorEastAsia" w:hAnsiTheme="minorHAnsi" w:cstheme="minorBidi"/>
          <w:sz w:val="22"/>
        </w:rPr>
      </w:pPr>
      <w:r w:rsidRPr="00282268">
        <w:rPr>
          <w:sz w:val="22"/>
        </w:rPr>
        <w:t xml:space="preserve">[2] </w:t>
      </w:r>
      <w:r w:rsidR="004144B8" w:rsidRPr="004144B8">
        <w:rPr>
          <w:sz w:val="22"/>
        </w:rPr>
        <w:t>AEMO, EV Technical Standards for Grid Operation – Insights for the NEM, Melbourne, VIC, Australia, Dec. 2023. [Online]. Available: https://www.aemo.com.au/-/media/files/initiatives/engineering-framework/2023/enx---ev-technical-standards-for-grid-operation---insights-for-the-nem.pdf. [Accessed: Feb. 2026].</w:t>
      </w:r>
    </w:p>
    <w:p w14:paraId="308D0622" w14:textId="74F03792" w:rsidR="00282268" w:rsidRPr="00282268" w:rsidRDefault="00282268" w:rsidP="0043377C">
      <w:pPr>
        <w:pStyle w:val="BodyText"/>
        <w:rPr>
          <w:rFonts w:asciiTheme="minorHAnsi" w:eastAsiaTheme="minorEastAsia" w:hAnsiTheme="minorHAnsi" w:cstheme="minorBidi"/>
          <w:sz w:val="22"/>
        </w:rPr>
      </w:pPr>
      <w:r w:rsidRPr="00282268">
        <w:rPr>
          <w:sz w:val="22"/>
        </w:rPr>
        <w:t xml:space="preserve">[3] </w:t>
      </w:r>
      <w:r w:rsidR="0043377C" w:rsidRPr="0043377C">
        <w:rPr>
          <w:sz w:val="22"/>
        </w:rPr>
        <w:t xml:space="preserve">Australian Energy Market Operator (AEMO), EV Technical Standards for Grid Operation – Insights for the NEM, Melbourne, VIC, Australia, Dec. 2023. [Online]. Available: </w:t>
      </w:r>
      <w:hyperlink r:id="rId85">
        <w:r w:rsidR="0043377C" w:rsidRPr="3C9E86E5">
          <w:rPr>
            <w:rStyle w:val="Hyperlink"/>
            <w:sz w:val="22"/>
          </w:rPr>
          <w:t>https://www.aemo.com.au/-/media/files/initiatives/engineering-framework/2023/enx---ev-technical-standards-for-grid-operation---insights-for-the-nem.pdf</w:t>
        </w:r>
      </w:hyperlink>
      <w:r w:rsidR="0043377C" w:rsidRPr="3C9E86E5">
        <w:rPr>
          <w:sz w:val="22"/>
        </w:rPr>
        <w:t xml:space="preserve"> . </w:t>
      </w:r>
      <w:r w:rsidR="0043377C" w:rsidRPr="0043377C">
        <w:rPr>
          <w:sz w:val="22"/>
        </w:rPr>
        <w:t xml:space="preserve">[Accessed: </w:t>
      </w:r>
      <w:r w:rsidR="00D550FE">
        <w:rPr>
          <w:sz w:val="22"/>
        </w:rPr>
        <w:t>Sep</w:t>
      </w:r>
      <w:r w:rsidR="0043377C" w:rsidRPr="0043377C">
        <w:rPr>
          <w:sz w:val="22"/>
        </w:rPr>
        <w:t>. 202</w:t>
      </w:r>
      <w:r w:rsidR="00D550FE">
        <w:rPr>
          <w:sz w:val="22"/>
        </w:rPr>
        <w:t>5</w:t>
      </w:r>
      <w:r w:rsidR="0043377C" w:rsidRPr="0043377C">
        <w:rPr>
          <w:sz w:val="22"/>
        </w:rPr>
        <w:t>].</w:t>
      </w:r>
    </w:p>
    <w:p w14:paraId="4DC16B19" w14:textId="14F89788" w:rsidR="00282268" w:rsidRPr="00282268" w:rsidRDefault="00282268" w:rsidP="00282268">
      <w:pPr>
        <w:pStyle w:val="BodyText"/>
        <w:rPr>
          <w:rFonts w:asciiTheme="minorHAnsi" w:eastAsiaTheme="minorEastAsia" w:hAnsiTheme="minorHAnsi" w:cstheme="minorBidi"/>
          <w:sz w:val="22"/>
        </w:rPr>
      </w:pPr>
      <w:r w:rsidRPr="00282268">
        <w:rPr>
          <w:sz w:val="22"/>
        </w:rPr>
        <w:t xml:space="preserve">[4] </w:t>
      </w:r>
      <w:r w:rsidR="00125EFC" w:rsidRPr="00125EFC">
        <w:rPr>
          <w:sz w:val="22"/>
        </w:rPr>
        <w:t>S. Abedi, A. Arvani, and R. Jamalzadeh, “Cyber security of plug-in electric vehicles in smart grids: Application of intrusion detection methods,” in Smart Grid Security: An End-to-End View of Security in the New Electrical Grid, Cham, Switzerland: Springer, 2015, ch. 5, doi: 10.1007/978-981-287-299-9_5.</w:t>
      </w:r>
      <w:r w:rsidR="00125EFC">
        <w:rPr>
          <w:sz w:val="22"/>
        </w:rPr>
        <w:t xml:space="preserve"> </w:t>
      </w:r>
    </w:p>
    <w:p w14:paraId="5188FD5D" w14:textId="77777777" w:rsidR="00695E65" w:rsidRDefault="00282268" w:rsidP="00282268">
      <w:pPr>
        <w:pStyle w:val="BodyText"/>
        <w:rPr>
          <w:rFonts w:asciiTheme="minorHAnsi" w:eastAsiaTheme="minorEastAsia" w:hAnsiTheme="minorHAnsi" w:cstheme="minorBidi"/>
          <w:sz w:val="22"/>
        </w:rPr>
      </w:pPr>
      <w:r w:rsidRPr="00282268">
        <w:rPr>
          <w:sz w:val="22"/>
        </w:rPr>
        <w:t xml:space="preserve">[5] </w:t>
      </w:r>
      <w:r w:rsidR="009C44C1" w:rsidRPr="009C44C1">
        <w:rPr>
          <w:sz w:val="22"/>
        </w:rPr>
        <w:t xml:space="preserve">Z. Garofalaki, D. Kosmanos, S. Moschoyiannis, D. Kallergis and C. Douligeris, "Electric Vehicle Charging: A Survey on the Security Issues and Challenges of the Open Charge Point Protocol (OCPP)," in IEEE Communications Surveys &amp; Tutorials, vol. 24, no. 3, pp. 1504-1533, thirdquarter 2022, doi: 10.1109/COMST.2022.3184448. </w:t>
      </w:r>
    </w:p>
    <w:p w14:paraId="23D36CDE" w14:textId="77777777" w:rsidR="00B051DF" w:rsidRDefault="00282268" w:rsidP="00282268">
      <w:pPr>
        <w:pStyle w:val="BodyText"/>
        <w:rPr>
          <w:rFonts w:asciiTheme="minorHAnsi" w:eastAsiaTheme="minorEastAsia" w:hAnsiTheme="minorHAnsi" w:cstheme="minorBidi"/>
          <w:sz w:val="22"/>
        </w:rPr>
      </w:pPr>
      <w:r w:rsidRPr="00282268">
        <w:rPr>
          <w:sz w:val="22"/>
        </w:rPr>
        <w:t xml:space="preserve">[6] </w:t>
      </w:r>
      <w:r w:rsidR="00B051DF" w:rsidRPr="00B051DF">
        <w:rPr>
          <w:sz w:val="22"/>
        </w:rPr>
        <w:t>J. Johnson, J. Anderson, B. Wright, J. Quiroz, T. Berg, R. Graves, J. Daley, K. Phan, M. Kunz, R. Pratt, T. Carroll, L. Ross O’Neil, B. Dindlebeck, P. Maloney, J. O’Brien, D. Gotthold, R. Varriale, T. Bohn, and K. Hardy, “Review of electric vehicle charger cybersecurity vulnerabilities, potential impacts, and defenses,” Energies, vol. 15, no. 11, p. 3931, 2022, doi: 10.3390/en15113931.</w:t>
      </w:r>
    </w:p>
    <w:p w14:paraId="6D7B506B" w14:textId="4BBB350F" w:rsidR="00282268" w:rsidRPr="00282268" w:rsidRDefault="00282268" w:rsidP="00282268">
      <w:pPr>
        <w:pStyle w:val="BodyText"/>
        <w:rPr>
          <w:rFonts w:asciiTheme="minorHAnsi" w:eastAsiaTheme="minorEastAsia" w:hAnsiTheme="minorHAnsi" w:cstheme="minorBidi"/>
          <w:sz w:val="22"/>
        </w:rPr>
      </w:pPr>
      <w:r w:rsidRPr="00282268">
        <w:rPr>
          <w:sz w:val="22"/>
        </w:rPr>
        <w:t xml:space="preserve">[7] </w:t>
      </w:r>
      <w:r w:rsidR="00D82C58" w:rsidRPr="00D82C58">
        <w:rPr>
          <w:sz w:val="22"/>
        </w:rPr>
        <w:t>P. Kumar, H. K. Channi, R. Kumar, A. Rajiv, B. Kumari, G. Singh, S. Singh, I. F. Dyab, and J. Lozanović, “A comprehensive review of vehicle-to-grid integration in electric vehicles: Powering the future,” Energy Conversion and Management: X, vol. 25, 100864, 2024, doi: 10.1016/j.ecmx.2024.100864.</w:t>
      </w:r>
    </w:p>
    <w:p w14:paraId="6ED77911" w14:textId="68BDC0CB" w:rsidR="00282268" w:rsidRPr="00282268" w:rsidRDefault="00282268" w:rsidP="008C0FFD">
      <w:pPr>
        <w:pStyle w:val="BodyText"/>
        <w:rPr>
          <w:rFonts w:asciiTheme="minorHAnsi" w:eastAsiaTheme="minorEastAsia" w:hAnsiTheme="minorHAnsi" w:cstheme="minorBidi"/>
          <w:sz w:val="22"/>
        </w:rPr>
      </w:pPr>
      <w:r w:rsidRPr="00282268">
        <w:rPr>
          <w:sz w:val="22"/>
        </w:rPr>
        <w:t xml:space="preserve">[8] </w:t>
      </w:r>
      <w:r w:rsidR="008C0FFD" w:rsidRPr="008C0FFD">
        <w:rPr>
          <w:sz w:val="22"/>
        </w:rPr>
        <w:t xml:space="preserve">A. Sanghvi, Cybersecurity for Electric Vehicle Fast-Charging Infrastructure, NREL/TP-6A40-75236, National Renewable Energy Laboratory (NREL), Golden, CO, USA, 2021. [Online]. Available: </w:t>
      </w:r>
      <w:hyperlink r:id="rId86">
        <w:r w:rsidR="008C0FFD" w:rsidRPr="3C9E86E5">
          <w:rPr>
            <w:rStyle w:val="Hyperlink"/>
            <w:sz w:val="22"/>
          </w:rPr>
          <w:t>https://docs.nrel.gov/docs/fy21osti/75236.pdf</w:t>
        </w:r>
      </w:hyperlink>
      <w:r w:rsidR="008C0FFD" w:rsidRPr="3C9E86E5">
        <w:rPr>
          <w:sz w:val="22"/>
        </w:rPr>
        <w:t xml:space="preserve"> . </w:t>
      </w:r>
      <w:r w:rsidR="008C0FFD" w:rsidRPr="008C0FFD">
        <w:rPr>
          <w:sz w:val="22"/>
        </w:rPr>
        <w:t xml:space="preserve">[Accessed: </w:t>
      </w:r>
      <w:r w:rsidR="008C0FFD">
        <w:rPr>
          <w:sz w:val="22"/>
        </w:rPr>
        <w:t>Oct</w:t>
      </w:r>
      <w:r w:rsidR="008C0FFD" w:rsidRPr="008C0FFD">
        <w:rPr>
          <w:sz w:val="22"/>
        </w:rPr>
        <w:t>. 202</w:t>
      </w:r>
      <w:r w:rsidR="008C0FFD">
        <w:rPr>
          <w:sz w:val="22"/>
        </w:rPr>
        <w:t>5</w:t>
      </w:r>
      <w:r w:rsidR="008C0FFD" w:rsidRPr="008C0FFD">
        <w:rPr>
          <w:sz w:val="22"/>
        </w:rPr>
        <w:t>]</w:t>
      </w:r>
      <w:r w:rsidRPr="00282268">
        <w:rPr>
          <w:sz w:val="22"/>
        </w:rPr>
        <w:t>.</w:t>
      </w:r>
    </w:p>
    <w:p w14:paraId="7570B997" w14:textId="77777777" w:rsidR="00C75B55" w:rsidRDefault="00282268" w:rsidP="00282268">
      <w:pPr>
        <w:pStyle w:val="BodyText"/>
        <w:rPr>
          <w:rFonts w:asciiTheme="minorHAnsi" w:eastAsiaTheme="minorEastAsia" w:hAnsiTheme="minorHAnsi" w:cstheme="minorBidi"/>
          <w:sz w:val="22"/>
        </w:rPr>
      </w:pPr>
      <w:r w:rsidRPr="00282268">
        <w:rPr>
          <w:sz w:val="22"/>
        </w:rPr>
        <w:t xml:space="preserve">[9] </w:t>
      </w:r>
      <w:r w:rsidR="00C75B55" w:rsidRPr="00C75B55">
        <w:rPr>
          <w:sz w:val="22"/>
        </w:rPr>
        <w:t>S. B. Mitikiri, K. V. S. M. Babu, D. Dwivedi, V. L. Srinivas, P. Chakraborty, P. K. Yemula, and M. Pal, “Cyber–physical security in EV charging infrastructure: Components, vulnerabilities, and defense strategies,” Sustainable Energy Technologies and Assessments, vol. 81, p. 104435, 2025.</w:t>
      </w:r>
    </w:p>
    <w:p w14:paraId="0BADC04A" w14:textId="78DF5E56" w:rsidR="00282268" w:rsidRPr="00282268" w:rsidRDefault="00282268" w:rsidP="00282268">
      <w:pPr>
        <w:pStyle w:val="BodyText"/>
        <w:rPr>
          <w:rFonts w:asciiTheme="minorHAnsi" w:eastAsiaTheme="minorEastAsia" w:hAnsiTheme="minorHAnsi" w:cstheme="minorBidi"/>
          <w:sz w:val="22"/>
        </w:rPr>
      </w:pPr>
      <w:r w:rsidRPr="00282268">
        <w:rPr>
          <w:sz w:val="22"/>
        </w:rPr>
        <w:t xml:space="preserve">[10] </w:t>
      </w:r>
      <w:r w:rsidR="0079176F" w:rsidRPr="0079176F">
        <w:rPr>
          <w:sz w:val="22"/>
        </w:rPr>
        <w:t>S. Hamdare, S. P. Pawar, and S. S. Sambare, “Cybersecurity risk analysis of EV charging systems,” Sensors, vol. 23, no. 14, p. 6345, 2023, doi: 10.3390/s23146345.</w:t>
      </w:r>
    </w:p>
    <w:p w14:paraId="779B8063" w14:textId="5D96EA96" w:rsidR="003130A6" w:rsidRDefault="00282268" w:rsidP="00DF7824">
      <w:pPr>
        <w:pStyle w:val="BodyText"/>
        <w:rPr>
          <w:rFonts w:asciiTheme="minorHAnsi" w:eastAsiaTheme="minorEastAsia" w:hAnsiTheme="minorHAnsi" w:cstheme="minorBidi"/>
          <w:sz w:val="22"/>
        </w:rPr>
      </w:pPr>
      <w:r w:rsidRPr="00282268">
        <w:rPr>
          <w:sz w:val="22"/>
        </w:rPr>
        <w:t xml:space="preserve">[11] </w:t>
      </w:r>
      <w:r w:rsidR="00DF7824" w:rsidRPr="00DF7824">
        <w:rPr>
          <w:sz w:val="22"/>
        </w:rPr>
        <w:t xml:space="preserve">Open Charge Alliance, Open Charge Point Protocol (OCPP) Overview, Arnhem, The Netherlands, 2020. [Online]. Available: </w:t>
      </w:r>
      <w:hyperlink r:id="rId87">
        <w:r w:rsidR="003130A6" w:rsidRPr="3C9E86E5">
          <w:rPr>
            <w:rStyle w:val="Hyperlink"/>
            <w:sz w:val="22"/>
          </w:rPr>
          <w:t>https://openchargealliance.org/protocols/open-charge-point-protocol/</w:t>
        </w:r>
      </w:hyperlink>
      <w:r w:rsidR="0068580A" w:rsidRPr="3C9E86E5">
        <w:rPr>
          <w:sz w:val="22"/>
        </w:rPr>
        <w:t xml:space="preserve"> </w:t>
      </w:r>
      <w:r w:rsidR="00DF7824" w:rsidRPr="3C9E86E5">
        <w:rPr>
          <w:sz w:val="22"/>
        </w:rPr>
        <w:t xml:space="preserve">. </w:t>
      </w:r>
      <w:r w:rsidR="00DF7824" w:rsidRPr="00DF7824">
        <w:rPr>
          <w:sz w:val="22"/>
        </w:rPr>
        <w:t xml:space="preserve">[Accessed: </w:t>
      </w:r>
      <w:r w:rsidR="003130A6">
        <w:rPr>
          <w:sz w:val="22"/>
        </w:rPr>
        <w:t>Sep</w:t>
      </w:r>
      <w:r w:rsidR="00DF7824" w:rsidRPr="00DF7824">
        <w:rPr>
          <w:sz w:val="22"/>
        </w:rPr>
        <w:t>. 202</w:t>
      </w:r>
      <w:r w:rsidR="003130A6">
        <w:rPr>
          <w:sz w:val="22"/>
        </w:rPr>
        <w:t>5</w:t>
      </w:r>
      <w:r w:rsidR="00DF7824" w:rsidRPr="00DF7824">
        <w:rPr>
          <w:sz w:val="22"/>
        </w:rPr>
        <w:t>]</w:t>
      </w:r>
    </w:p>
    <w:p w14:paraId="67939DFA" w14:textId="02DE1BF8" w:rsidR="00282268" w:rsidRPr="00282268" w:rsidRDefault="00282268" w:rsidP="00DF7824">
      <w:pPr>
        <w:pStyle w:val="BodyText"/>
        <w:rPr>
          <w:rFonts w:asciiTheme="minorHAnsi" w:eastAsiaTheme="minorEastAsia" w:hAnsiTheme="minorHAnsi" w:cstheme="minorBidi"/>
          <w:sz w:val="22"/>
        </w:rPr>
      </w:pPr>
      <w:r w:rsidRPr="00282268">
        <w:rPr>
          <w:sz w:val="22"/>
        </w:rPr>
        <w:t>[12] International Organization for Standardization (ISO), ISO 15118 – Road Vehicles – Vehicle to Grid Communication Interface, Geneva, Switzerland, 2019.</w:t>
      </w:r>
    </w:p>
    <w:p w14:paraId="66B1C7D4" w14:textId="77777777" w:rsidR="00282268" w:rsidRPr="00282268" w:rsidRDefault="00282268" w:rsidP="00282268">
      <w:pPr>
        <w:pStyle w:val="BodyText"/>
        <w:rPr>
          <w:rFonts w:asciiTheme="minorHAnsi" w:eastAsiaTheme="minorEastAsia" w:hAnsiTheme="minorHAnsi" w:cstheme="minorBidi"/>
          <w:sz w:val="22"/>
        </w:rPr>
      </w:pPr>
      <w:r w:rsidRPr="00282268">
        <w:rPr>
          <w:sz w:val="22"/>
        </w:rPr>
        <w:t>[13] International Electrotechnical Commission (IEC), IEC 62196 – Conductive Charging of Electric Vehicles, Geneva, Switzerland, 2016.</w:t>
      </w:r>
    </w:p>
    <w:p w14:paraId="792E307D" w14:textId="33A91CB2" w:rsidR="00282268" w:rsidRPr="00282268" w:rsidRDefault="00282268" w:rsidP="00524196">
      <w:pPr>
        <w:pStyle w:val="BodyText"/>
        <w:rPr>
          <w:rFonts w:asciiTheme="minorHAnsi" w:eastAsiaTheme="minorEastAsia" w:hAnsiTheme="minorHAnsi" w:cstheme="minorBidi"/>
          <w:sz w:val="22"/>
        </w:rPr>
      </w:pPr>
      <w:r w:rsidRPr="00282268">
        <w:rPr>
          <w:sz w:val="22"/>
        </w:rPr>
        <w:t xml:space="preserve">[14] </w:t>
      </w:r>
      <w:r w:rsidR="00524196">
        <w:rPr>
          <w:sz w:val="22"/>
        </w:rPr>
        <w:t>European</w:t>
      </w:r>
      <w:r w:rsidR="00524196" w:rsidRPr="00524196">
        <w:rPr>
          <w:sz w:val="22"/>
        </w:rPr>
        <w:t xml:space="preserve"> Union Agency for Cybersecurity (ENISA), Threat Landscape for Supply Chain Attacks, Athens, Greece, 2021. [Online]. Available: </w:t>
      </w:r>
      <w:hyperlink r:id="rId88">
        <w:r w:rsidR="002633D1" w:rsidRPr="3C9E86E5">
          <w:rPr>
            <w:rStyle w:val="Hyperlink"/>
            <w:sz w:val="22"/>
          </w:rPr>
          <w:t>https://www.enisa.europa.eu/publications/threat-landscape-for-supply-chain-attacks</w:t>
        </w:r>
      </w:hyperlink>
      <w:r w:rsidR="002633D1" w:rsidRPr="3C9E86E5">
        <w:rPr>
          <w:sz w:val="22"/>
        </w:rPr>
        <w:t xml:space="preserve"> </w:t>
      </w:r>
      <w:r w:rsidR="00524196" w:rsidRPr="3C9E86E5">
        <w:rPr>
          <w:sz w:val="22"/>
        </w:rPr>
        <w:t xml:space="preserve"> . </w:t>
      </w:r>
      <w:r w:rsidR="00524196" w:rsidRPr="00524196">
        <w:rPr>
          <w:sz w:val="22"/>
        </w:rPr>
        <w:t>[Accessed: Feb. 2026].</w:t>
      </w:r>
      <w:r w:rsidRPr="00282268">
        <w:rPr>
          <w:sz w:val="22"/>
        </w:rPr>
        <w:t>.</w:t>
      </w:r>
    </w:p>
    <w:p w14:paraId="3857EC45" w14:textId="5FAD6F02" w:rsidR="00282268" w:rsidRPr="00282268" w:rsidRDefault="00282268" w:rsidP="00AA3FC3">
      <w:pPr>
        <w:pStyle w:val="BodyText"/>
        <w:rPr>
          <w:rFonts w:asciiTheme="minorHAnsi" w:eastAsiaTheme="minorEastAsia" w:hAnsiTheme="minorHAnsi" w:cstheme="minorBidi"/>
          <w:sz w:val="22"/>
        </w:rPr>
      </w:pPr>
      <w:r w:rsidRPr="00282268">
        <w:rPr>
          <w:sz w:val="22"/>
        </w:rPr>
        <w:t xml:space="preserve">[15] </w:t>
      </w:r>
      <w:r w:rsidR="00AA3FC3" w:rsidRPr="00AA3FC3">
        <w:rPr>
          <w:sz w:val="22"/>
        </w:rPr>
        <w:t xml:space="preserve">Commonwealth Scientific and Industrial Research Organisation (CSIRO), Australian Research in Power Systems Transition (AR-PST). [Online]. Available: </w:t>
      </w:r>
      <w:hyperlink r:id="rId89">
        <w:r w:rsidR="00AA3FC3" w:rsidRPr="3C9E86E5">
          <w:rPr>
            <w:rStyle w:val="Hyperlink"/>
            <w:sz w:val="22"/>
          </w:rPr>
          <w:t>https://www.csiro.au/en/research/technology-space/energy/electricity-transition/ar-pst</w:t>
        </w:r>
      </w:hyperlink>
      <w:r w:rsidR="00AA3FC3" w:rsidRPr="3C9E86E5">
        <w:rPr>
          <w:sz w:val="22"/>
        </w:rPr>
        <w:t xml:space="preserve"> . </w:t>
      </w:r>
      <w:r w:rsidR="00AA3FC3" w:rsidRPr="00AA3FC3">
        <w:rPr>
          <w:sz w:val="22"/>
        </w:rPr>
        <w:t xml:space="preserve">[Accessed: </w:t>
      </w:r>
      <w:r w:rsidR="00AA3FC3">
        <w:rPr>
          <w:sz w:val="22"/>
        </w:rPr>
        <w:t>Oct</w:t>
      </w:r>
      <w:r w:rsidR="00AA3FC3" w:rsidRPr="00AA3FC3">
        <w:rPr>
          <w:sz w:val="22"/>
        </w:rPr>
        <w:t>. 202</w:t>
      </w:r>
      <w:r w:rsidR="00AA3FC3">
        <w:rPr>
          <w:sz w:val="22"/>
        </w:rPr>
        <w:t>5</w:t>
      </w:r>
      <w:r w:rsidR="00AA3FC3" w:rsidRPr="00AA3FC3">
        <w:rPr>
          <w:sz w:val="22"/>
        </w:rPr>
        <w:t>]</w:t>
      </w:r>
      <w:r w:rsidRPr="00282268">
        <w:rPr>
          <w:sz w:val="22"/>
        </w:rPr>
        <w:t>.</w:t>
      </w:r>
    </w:p>
    <w:p w14:paraId="1E67CD4D" w14:textId="23EE221A" w:rsidR="00282268" w:rsidRPr="00282268" w:rsidRDefault="00282268" w:rsidP="00314E2A">
      <w:pPr>
        <w:pStyle w:val="BodyText"/>
        <w:rPr>
          <w:rFonts w:asciiTheme="minorHAnsi" w:eastAsiaTheme="minorEastAsia" w:hAnsiTheme="minorHAnsi" w:cstheme="minorBidi"/>
          <w:sz w:val="22"/>
        </w:rPr>
      </w:pPr>
      <w:r w:rsidRPr="00282268">
        <w:rPr>
          <w:sz w:val="22"/>
        </w:rPr>
        <w:t xml:space="preserve">[16] </w:t>
      </w:r>
      <w:r w:rsidR="00314E2A" w:rsidRPr="00314E2A">
        <w:rPr>
          <w:sz w:val="22"/>
        </w:rPr>
        <w:t xml:space="preserve">Commonwealth Scientific and Industrial Research Organisation (CSIRO), Topic 9 – DER and Stability: Stage 4 Interim Report, Canberra, ACT, Australia, 2024. [Online]. Available: </w:t>
      </w:r>
      <w:hyperlink r:id="rId90">
        <w:r w:rsidR="00314E2A" w:rsidRPr="3C9E86E5">
          <w:rPr>
            <w:rStyle w:val="Hyperlink"/>
            <w:sz w:val="22"/>
          </w:rPr>
          <w:t>https://www.csiro.au/-/media/EF/Files/GPST-Roadmap/Topic-9-DER-and-Stability-Final-Report-with-alt-text-2.pdf</w:t>
        </w:r>
      </w:hyperlink>
      <w:r w:rsidR="00314E2A" w:rsidRPr="3C9E86E5">
        <w:rPr>
          <w:sz w:val="22"/>
        </w:rPr>
        <w:t xml:space="preserve"> . </w:t>
      </w:r>
      <w:r w:rsidR="00314E2A" w:rsidRPr="00314E2A">
        <w:rPr>
          <w:sz w:val="22"/>
        </w:rPr>
        <w:t xml:space="preserve">[Accessed: </w:t>
      </w:r>
      <w:r w:rsidR="00314E2A">
        <w:rPr>
          <w:sz w:val="22"/>
        </w:rPr>
        <w:t>Aug</w:t>
      </w:r>
      <w:r w:rsidR="00314E2A" w:rsidRPr="00314E2A">
        <w:rPr>
          <w:sz w:val="22"/>
        </w:rPr>
        <w:t>. 202</w:t>
      </w:r>
      <w:r w:rsidR="00314E2A">
        <w:rPr>
          <w:sz w:val="22"/>
        </w:rPr>
        <w:t>5</w:t>
      </w:r>
      <w:r w:rsidR="00314E2A" w:rsidRPr="00314E2A">
        <w:rPr>
          <w:sz w:val="22"/>
        </w:rPr>
        <w:t>].</w:t>
      </w:r>
    </w:p>
    <w:p w14:paraId="0185636F" w14:textId="77777777" w:rsidR="00282268" w:rsidRPr="00282268" w:rsidRDefault="00282268" w:rsidP="00282268">
      <w:pPr>
        <w:pStyle w:val="BodyText"/>
        <w:rPr>
          <w:rFonts w:asciiTheme="minorHAnsi" w:eastAsiaTheme="minorEastAsia" w:hAnsiTheme="minorHAnsi" w:cstheme="minorBidi"/>
          <w:sz w:val="22"/>
        </w:rPr>
      </w:pPr>
      <w:r w:rsidRPr="00282268">
        <w:rPr>
          <w:sz w:val="22"/>
        </w:rPr>
        <w:t>[17] CSIRO, AR-PST Stage 4 Topic 9 Final Report, Canberra, Australia, 2024.</w:t>
      </w:r>
    </w:p>
    <w:p w14:paraId="5A26106B" w14:textId="77777777" w:rsidR="00282268" w:rsidRPr="00282268" w:rsidRDefault="00282268" w:rsidP="00282268">
      <w:pPr>
        <w:pStyle w:val="BodyText"/>
        <w:rPr>
          <w:rFonts w:asciiTheme="minorHAnsi" w:eastAsiaTheme="minorEastAsia" w:hAnsiTheme="minorHAnsi" w:cstheme="minorBidi"/>
          <w:sz w:val="22"/>
        </w:rPr>
      </w:pPr>
      <w:r w:rsidRPr="00282268">
        <w:rPr>
          <w:sz w:val="22"/>
        </w:rPr>
        <w:t>[18] Australian Government, Department of Climate Change, Energy, the Environment and Water (DCCEEW), Australian Energy Sector Cyber Security Framework (AESCSF), Canberra, Australia.</w:t>
      </w:r>
    </w:p>
    <w:p w14:paraId="114931C1" w14:textId="77777777" w:rsidR="00282268" w:rsidRPr="00282268" w:rsidRDefault="00282268" w:rsidP="00282268">
      <w:pPr>
        <w:pStyle w:val="BodyText"/>
        <w:rPr>
          <w:rFonts w:asciiTheme="minorHAnsi" w:eastAsiaTheme="minorEastAsia" w:hAnsiTheme="minorHAnsi" w:cstheme="minorBidi"/>
          <w:sz w:val="22"/>
        </w:rPr>
      </w:pPr>
      <w:r w:rsidRPr="00282268">
        <w:rPr>
          <w:sz w:val="22"/>
        </w:rPr>
        <w:t>[19] Energy Networks Australia and CSIRO, Grid Cyber Security Roadmap, Canberra, Australia, 2018.</w:t>
      </w:r>
    </w:p>
    <w:p w14:paraId="5557CDCC" w14:textId="77777777" w:rsidR="00282268" w:rsidRPr="00282268" w:rsidRDefault="00282268" w:rsidP="00282268">
      <w:pPr>
        <w:pStyle w:val="BodyText"/>
        <w:rPr>
          <w:rFonts w:asciiTheme="minorHAnsi" w:eastAsiaTheme="minorEastAsia" w:hAnsiTheme="minorHAnsi" w:cstheme="minorBidi"/>
          <w:sz w:val="22"/>
        </w:rPr>
      </w:pPr>
      <w:r w:rsidRPr="00282268">
        <w:rPr>
          <w:sz w:val="22"/>
        </w:rPr>
        <w:t>[20] A. Shostack, Threat Modeling: Designing for Security. Indianapolis, IN, USA: Wiley, 2014.</w:t>
      </w:r>
    </w:p>
    <w:p w14:paraId="36C2862E" w14:textId="77777777" w:rsidR="00282268" w:rsidRPr="00282268" w:rsidRDefault="00282268" w:rsidP="00282268">
      <w:pPr>
        <w:pStyle w:val="BodyText"/>
        <w:rPr>
          <w:rFonts w:asciiTheme="minorHAnsi" w:eastAsiaTheme="minorEastAsia" w:hAnsiTheme="minorHAnsi" w:cstheme="minorBidi"/>
          <w:sz w:val="22"/>
        </w:rPr>
      </w:pPr>
      <w:r w:rsidRPr="00282268">
        <w:rPr>
          <w:sz w:val="22"/>
        </w:rPr>
        <w:t>[21] MITRE Corporation, “MITRE ATT&amp;CK® for Industrial Control Systems (ICS),” 2024.</w:t>
      </w:r>
    </w:p>
    <w:p w14:paraId="7117BDD6" w14:textId="77777777" w:rsidR="00282268" w:rsidRPr="00282268" w:rsidRDefault="00282268" w:rsidP="00282268">
      <w:pPr>
        <w:pStyle w:val="BodyText"/>
        <w:rPr>
          <w:rFonts w:asciiTheme="minorHAnsi" w:eastAsiaTheme="minorEastAsia" w:hAnsiTheme="minorHAnsi" w:cstheme="minorBidi"/>
          <w:sz w:val="22"/>
        </w:rPr>
      </w:pPr>
      <w:r w:rsidRPr="00282268">
        <w:rPr>
          <w:sz w:val="22"/>
        </w:rPr>
        <w:t>[22] P. Ammann, D. Wijesekera, and S. Kaushik, “Scalable, graph-based network vulnerability analysis,” in Proc. 9th ACM CCS, Washington, DC, USA, 2002, pp. 217–224.</w:t>
      </w:r>
    </w:p>
    <w:p w14:paraId="0028C8E7" w14:textId="77777777" w:rsidR="00282268" w:rsidRPr="00282268" w:rsidRDefault="00282268" w:rsidP="00282268">
      <w:pPr>
        <w:pStyle w:val="BodyText"/>
        <w:rPr>
          <w:rFonts w:asciiTheme="minorHAnsi" w:eastAsiaTheme="minorEastAsia" w:hAnsiTheme="minorHAnsi" w:cstheme="minorBidi"/>
          <w:sz w:val="22"/>
        </w:rPr>
      </w:pPr>
      <w:r w:rsidRPr="00282268">
        <w:rPr>
          <w:sz w:val="22"/>
        </w:rPr>
        <w:t>[23] National Institute of Standards and Technology (NIST), Guide for Conducting Risk Assessments, NIST SP 800-30 Rev. 1, Gaithersburg, MD, USA, 2012.</w:t>
      </w:r>
    </w:p>
    <w:p w14:paraId="76D3F448" w14:textId="77777777" w:rsidR="00282268" w:rsidRPr="00282268" w:rsidRDefault="00282268" w:rsidP="00282268">
      <w:pPr>
        <w:pStyle w:val="BodyText"/>
        <w:rPr>
          <w:rFonts w:asciiTheme="minorHAnsi" w:eastAsiaTheme="minorEastAsia" w:hAnsiTheme="minorHAnsi" w:cstheme="minorBidi"/>
          <w:sz w:val="22"/>
        </w:rPr>
      </w:pPr>
      <w:r w:rsidRPr="00282268">
        <w:rPr>
          <w:sz w:val="22"/>
        </w:rPr>
        <w:t>[24] Microsoft, “Microsoft Threat Modeling Tool overview,” 2025. [Online]. Available: https://learn.microsoft.com</w:t>
      </w:r>
    </w:p>
    <w:p w14:paraId="4D71FACB" w14:textId="77777777" w:rsidR="00282268" w:rsidRPr="00282268" w:rsidRDefault="00282268" w:rsidP="00282268">
      <w:pPr>
        <w:pStyle w:val="BodyText"/>
        <w:rPr>
          <w:rFonts w:asciiTheme="minorHAnsi" w:eastAsiaTheme="minorEastAsia" w:hAnsiTheme="minorHAnsi" w:cstheme="minorBidi"/>
          <w:sz w:val="22"/>
        </w:rPr>
      </w:pPr>
      <w:r w:rsidRPr="00282268">
        <w:rPr>
          <w:sz w:val="22"/>
        </w:rPr>
        <w:t>[25] NIST, Systems Security Engineering: Considerations for a Multidisciplinary Approach in the Engineering of Trustworthy Secure Systems, SP 800-160 Vol. 1 Rev. 1, 2022.</w:t>
      </w:r>
    </w:p>
    <w:p w14:paraId="606AC430" w14:textId="77777777" w:rsidR="00282268" w:rsidRPr="00282268" w:rsidRDefault="00282268" w:rsidP="00282268">
      <w:pPr>
        <w:pStyle w:val="BodyText"/>
        <w:rPr>
          <w:rFonts w:asciiTheme="minorHAnsi" w:eastAsiaTheme="minorEastAsia" w:hAnsiTheme="minorHAnsi" w:cstheme="minorBidi"/>
          <w:sz w:val="22"/>
        </w:rPr>
      </w:pPr>
      <w:r w:rsidRPr="00282268">
        <w:rPr>
          <w:sz w:val="22"/>
        </w:rPr>
        <w:t>[26] Y. Mo et al., “Cyber–physical security of a smart grid infrastructure,” Proc. IEEE, vol. 100, no. 1, pp. 195–209, 2012.</w:t>
      </w:r>
    </w:p>
    <w:p w14:paraId="30831632" w14:textId="77777777" w:rsidR="00282268" w:rsidRPr="00282268" w:rsidRDefault="00282268" w:rsidP="00282268">
      <w:pPr>
        <w:pStyle w:val="BodyText"/>
        <w:rPr>
          <w:rFonts w:asciiTheme="minorHAnsi" w:eastAsiaTheme="minorEastAsia" w:hAnsiTheme="minorHAnsi" w:cstheme="minorBidi"/>
          <w:sz w:val="22"/>
        </w:rPr>
      </w:pPr>
      <w:r w:rsidRPr="00282268">
        <w:rPr>
          <w:sz w:val="22"/>
        </w:rPr>
        <w:t>[27] P. Palensky et al., “Cosimulation of intelligent power systems,” IEEE Ind. Electron. Mag., vol. 11, no. 1, pp. 34–50, 2017.</w:t>
      </w:r>
    </w:p>
    <w:p w14:paraId="3BEDD597" w14:textId="77777777" w:rsidR="00282268" w:rsidRPr="00282268" w:rsidRDefault="00282268" w:rsidP="00282268">
      <w:pPr>
        <w:pStyle w:val="BodyText"/>
        <w:rPr>
          <w:rFonts w:asciiTheme="minorHAnsi" w:eastAsiaTheme="minorEastAsia" w:hAnsiTheme="minorHAnsi" w:cstheme="minorBidi"/>
          <w:sz w:val="22"/>
        </w:rPr>
      </w:pPr>
      <w:r w:rsidRPr="00282268">
        <w:rPr>
          <w:sz w:val="22"/>
        </w:rPr>
        <w:t>[28] T. D. Hardy et al., “HELICS: A co-simulation framework for scalable multi-domain modeling and analysis,” IEEE Access, vol. 12, pp. 24325–24347, 2024.</w:t>
      </w:r>
    </w:p>
    <w:p w14:paraId="4B494025" w14:textId="77777777" w:rsidR="00282268" w:rsidRPr="00282268" w:rsidRDefault="00282268" w:rsidP="00282268">
      <w:pPr>
        <w:pStyle w:val="BodyText"/>
        <w:rPr>
          <w:rFonts w:asciiTheme="minorHAnsi" w:eastAsiaTheme="minorEastAsia" w:hAnsiTheme="minorHAnsi" w:cstheme="minorBidi"/>
          <w:sz w:val="22"/>
        </w:rPr>
      </w:pPr>
      <w:r w:rsidRPr="00282268">
        <w:rPr>
          <w:sz w:val="22"/>
        </w:rPr>
        <w:t>[29] CSIRO, AR-PST Guidance Document for Stage 5 RFQ, Canberra, Australia, 2024.</w:t>
      </w:r>
    </w:p>
    <w:p w14:paraId="1CB58AC3" w14:textId="77777777" w:rsidR="00282268" w:rsidRPr="00282268" w:rsidRDefault="00282268" w:rsidP="00282268">
      <w:pPr>
        <w:pStyle w:val="BodyText"/>
        <w:rPr>
          <w:rFonts w:asciiTheme="minorHAnsi" w:eastAsiaTheme="minorEastAsia" w:hAnsiTheme="minorHAnsi" w:cstheme="minorBidi"/>
          <w:sz w:val="22"/>
        </w:rPr>
      </w:pPr>
      <w:r w:rsidRPr="00282268">
        <w:rPr>
          <w:sz w:val="22"/>
        </w:rPr>
        <w:t>[30] Australian Energy Market Operator, EV Technical Standards for Grid Operation: Insights for the NEM, 2023.</w:t>
      </w:r>
    </w:p>
    <w:p w14:paraId="3B53B940" w14:textId="77777777" w:rsidR="00282268" w:rsidRPr="00282268" w:rsidRDefault="00282268" w:rsidP="00282268">
      <w:pPr>
        <w:pStyle w:val="BodyText"/>
        <w:rPr>
          <w:rFonts w:asciiTheme="minorHAnsi" w:eastAsiaTheme="minorEastAsia" w:hAnsiTheme="minorHAnsi" w:cstheme="minorBidi"/>
          <w:sz w:val="22"/>
        </w:rPr>
      </w:pPr>
      <w:r w:rsidRPr="00282268">
        <w:rPr>
          <w:sz w:val="22"/>
        </w:rPr>
        <w:t>[31] Department of Climate Change, Energy, the Environment and Water (DCCEEW), Minimum Operating Standards for Government-Supported Public EV Charging Infrastructure, 2024.</w:t>
      </w:r>
    </w:p>
    <w:p w14:paraId="3340072A" w14:textId="77777777" w:rsidR="00282268" w:rsidRPr="00282268" w:rsidRDefault="00282268" w:rsidP="00282268">
      <w:pPr>
        <w:pStyle w:val="BodyText"/>
        <w:rPr>
          <w:rFonts w:asciiTheme="minorHAnsi" w:eastAsiaTheme="minorEastAsia" w:hAnsiTheme="minorHAnsi" w:cstheme="minorBidi"/>
          <w:sz w:val="22"/>
        </w:rPr>
      </w:pPr>
      <w:r w:rsidRPr="00282268">
        <w:rPr>
          <w:sz w:val="22"/>
        </w:rPr>
        <w:t>[32] Electric Vehicle Council, EV Charging at Home Guide, 2023.</w:t>
      </w:r>
    </w:p>
    <w:p w14:paraId="03BFC316" w14:textId="426C46C7" w:rsidR="00282268" w:rsidRPr="00282268" w:rsidRDefault="00282268" w:rsidP="00377FC1">
      <w:pPr>
        <w:pStyle w:val="BodyText"/>
        <w:rPr>
          <w:rFonts w:asciiTheme="minorHAnsi" w:eastAsiaTheme="minorEastAsia" w:hAnsiTheme="minorHAnsi" w:cstheme="minorBidi"/>
          <w:sz w:val="22"/>
        </w:rPr>
      </w:pPr>
      <w:r w:rsidRPr="00282268">
        <w:rPr>
          <w:sz w:val="22"/>
        </w:rPr>
        <w:t xml:space="preserve">[33] </w:t>
      </w:r>
      <w:r w:rsidR="00377FC1" w:rsidRPr="00377FC1">
        <w:rPr>
          <w:sz w:val="22"/>
        </w:rPr>
        <w:t xml:space="preserve">Fleet EV News, “Australia’s charging network expands rapidly: Exclusive data reveals 8.5% growth in Q2 2025,” 2025. [Online]. Available: </w:t>
      </w:r>
      <w:hyperlink r:id="rId91">
        <w:r w:rsidR="00377FC1" w:rsidRPr="3C9E86E5">
          <w:rPr>
            <w:rStyle w:val="Hyperlink"/>
            <w:sz w:val="22"/>
          </w:rPr>
          <w:t>https://fleetevnews.com.au/australias-charging-network-expands-rapidly-exclusive-data-reveals-8-5-growth-in-q2-2025/</w:t>
        </w:r>
      </w:hyperlink>
      <w:r w:rsidR="00377FC1" w:rsidRPr="3C9E86E5">
        <w:rPr>
          <w:sz w:val="22"/>
        </w:rPr>
        <w:t xml:space="preserve"> . </w:t>
      </w:r>
      <w:r w:rsidR="00377FC1" w:rsidRPr="00377FC1">
        <w:rPr>
          <w:sz w:val="22"/>
        </w:rPr>
        <w:t xml:space="preserve">[Accessed: </w:t>
      </w:r>
      <w:r w:rsidR="00377FC1">
        <w:rPr>
          <w:sz w:val="22"/>
        </w:rPr>
        <w:t>Feb</w:t>
      </w:r>
      <w:r w:rsidR="00377FC1" w:rsidRPr="00377FC1">
        <w:rPr>
          <w:sz w:val="22"/>
        </w:rPr>
        <w:t>. 2026].</w:t>
      </w:r>
    </w:p>
    <w:p w14:paraId="50DC9070" w14:textId="5B3490A7" w:rsidR="00282268" w:rsidRPr="00282268" w:rsidRDefault="00282268" w:rsidP="00282268">
      <w:pPr>
        <w:pStyle w:val="BodyText"/>
        <w:rPr>
          <w:rFonts w:asciiTheme="minorHAnsi" w:eastAsiaTheme="minorEastAsia" w:hAnsiTheme="minorHAnsi" w:cstheme="minorBidi"/>
          <w:sz w:val="22"/>
        </w:rPr>
      </w:pPr>
      <w:r w:rsidRPr="00282268">
        <w:rPr>
          <w:sz w:val="22"/>
        </w:rPr>
        <w:t xml:space="preserve">[34] </w:t>
      </w:r>
      <w:r w:rsidR="006370B5" w:rsidRPr="006370B5">
        <w:rPr>
          <w:sz w:val="22"/>
        </w:rPr>
        <w:t>A. R. Singh et al., “Electric vehicle charging technologies, infrastructure expansion, grid integration strategies, and their role in promoting sustainable e-mobility,” Alexandria Engineering Journal, vol. 105, pp. 300–330, 2024, doi: 10.1016/j.aej.2024.07.026.</w:t>
      </w:r>
      <w:r w:rsidRPr="00282268">
        <w:rPr>
          <w:sz w:val="22"/>
        </w:rPr>
        <w:t>.</w:t>
      </w:r>
    </w:p>
    <w:p w14:paraId="28F6CA2D" w14:textId="2AF603DE" w:rsidR="00167649" w:rsidRDefault="00282268" w:rsidP="00282268">
      <w:pPr>
        <w:pStyle w:val="BodyText"/>
        <w:rPr>
          <w:rFonts w:asciiTheme="minorHAnsi" w:eastAsiaTheme="minorEastAsia" w:hAnsiTheme="minorHAnsi" w:cstheme="minorBidi"/>
          <w:sz w:val="22"/>
        </w:rPr>
      </w:pPr>
      <w:r w:rsidRPr="00282268">
        <w:rPr>
          <w:sz w:val="22"/>
        </w:rPr>
        <w:t xml:space="preserve">[35] </w:t>
      </w:r>
      <w:r w:rsidR="00BD40AF" w:rsidRPr="00BD40AF">
        <w:rPr>
          <w:sz w:val="22"/>
        </w:rPr>
        <w:t>M. Boucetta et al., “The architecture design of electrical vehicle infrastructure using viable system model approach,” Systems, vol. 9, no. 1, p. 19, 2021, doi: 10.3390/systems9010019.</w:t>
      </w:r>
      <w:r w:rsidR="00167649" w:rsidRPr="00167649">
        <w:rPr>
          <w:sz w:val="22"/>
        </w:rPr>
        <w:t>.</w:t>
      </w:r>
    </w:p>
    <w:p w14:paraId="781FCE3E" w14:textId="2D679060" w:rsidR="00282268" w:rsidRPr="00282268" w:rsidRDefault="00282268" w:rsidP="00282268">
      <w:pPr>
        <w:pStyle w:val="BodyText"/>
        <w:rPr>
          <w:rFonts w:asciiTheme="minorHAnsi" w:eastAsiaTheme="minorEastAsia" w:hAnsiTheme="minorHAnsi" w:cstheme="minorBidi"/>
          <w:sz w:val="22"/>
        </w:rPr>
      </w:pPr>
      <w:r w:rsidRPr="00282268">
        <w:rPr>
          <w:sz w:val="22"/>
        </w:rPr>
        <w:t xml:space="preserve">[36] </w:t>
      </w:r>
      <w:r w:rsidR="009476F0" w:rsidRPr="009476F0">
        <w:rPr>
          <w:sz w:val="22"/>
        </w:rPr>
        <w:t>I. Skarga-Bandurova</w:t>
      </w:r>
      <w:r w:rsidR="00BD40AF">
        <w:rPr>
          <w:sz w:val="22"/>
        </w:rPr>
        <w:t xml:space="preserve"> et al.,</w:t>
      </w:r>
      <w:r w:rsidR="009476F0" w:rsidRPr="009476F0">
        <w:rPr>
          <w:sz w:val="22"/>
        </w:rPr>
        <w:t xml:space="preserve"> "Cyber Security of Electric Vehicle Charging Infrastructure: Open Issues and Recommendations," 2022 IEEE International Conference on Big Data (Big Data), Osaka, Japan, 2022, pp. 3099-3106, doi: 10.1109/BigData55660.2022.10020644.</w:t>
      </w:r>
    </w:p>
    <w:p w14:paraId="3F914E37" w14:textId="595CA836" w:rsidR="00282268" w:rsidRPr="00282268" w:rsidRDefault="00282268" w:rsidP="00282268">
      <w:pPr>
        <w:pStyle w:val="BodyText"/>
        <w:rPr>
          <w:rFonts w:asciiTheme="minorHAnsi" w:eastAsiaTheme="minorEastAsia" w:hAnsiTheme="minorHAnsi" w:cstheme="minorBidi"/>
          <w:sz w:val="22"/>
        </w:rPr>
      </w:pPr>
      <w:r w:rsidRPr="00282268">
        <w:rPr>
          <w:sz w:val="22"/>
        </w:rPr>
        <w:t xml:space="preserve">[37] </w:t>
      </w:r>
      <w:r w:rsidR="00DF3681" w:rsidRPr="00DF3681">
        <w:rPr>
          <w:sz w:val="22"/>
        </w:rPr>
        <w:t>A. Kaur et al., “Cybersecurity challenges in the EV charging ecosystem,” ACM Computing Surveys, vol. 58, no. 1, Art. no. 14, pp. 1–32, Jan. 2026, doi: 10.1145/3735662.</w:t>
      </w:r>
      <w:r w:rsidRPr="00282268">
        <w:rPr>
          <w:sz w:val="22"/>
        </w:rPr>
        <w:t>.</w:t>
      </w:r>
    </w:p>
    <w:p w14:paraId="7295FDDC" w14:textId="5B8EFDF6" w:rsidR="00282268" w:rsidRPr="00282268" w:rsidRDefault="00282268" w:rsidP="00282268">
      <w:pPr>
        <w:pStyle w:val="BodyText"/>
        <w:rPr>
          <w:rFonts w:asciiTheme="minorHAnsi" w:eastAsiaTheme="minorEastAsia" w:hAnsiTheme="minorHAnsi" w:cstheme="minorBidi"/>
          <w:sz w:val="22"/>
        </w:rPr>
      </w:pPr>
      <w:r w:rsidRPr="00282268">
        <w:rPr>
          <w:sz w:val="22"/>
        </w:rPr>
        <w:t xml:space="preserve">[38] </w:t>
      </w:r>
      <w:r w:rsidR="001221A9" w:rsidRPr="001221A9">
        <w:rPr>
          <w:sz w:val="22"/>
        </w:rPr>
        <w:t xml:space="preserve">Australian Energy Market Operator (AEMO), Integrated System Plan (ISP), Melbourne, VIC, Australia, 2022. [Online]. Available: </w:t>
      </w:r>
      <w:hyperlink r:id="rId92">
        <w:r w:rsidR="001221A9" w:rsidRPr="3C9E86E5">
          <w:rPr>
            <w:rStyle w:val="Hyperlink"/>
            <w:sz w:val="22"/>
          </w:rPr>
          <w:t>https://www.aemo.com.au/-/media/files/major-publications/isp/2022/2022-documents/2022-integrated-system-plan-isp.pdf</w:t>
        </w:r>
      </w:hyperlink>
      <w:r w:rsidR="001221A9" w:rsidRPr="3C9E86E5">
        <w:rPr>
          <w:sz w:val="22"/>
        </w:rPr>
        <w:t xml:space="preserve"> </w:t>
      </w:r>
      <w:r w:rsidRPr="3C9E86E5">
        <w:rPr>
          <w:sz w:val="22"/>
        </w:rPr>
        <w:t>.</w:t>
      </w:r>
    </w:p>
    <w:p w14:paraId="6707508C" w14:textId="57BB2D64" w:rsidR="00620DE7" w:rsidRPr="00620DE7" w:rsidRDefault="00282268" w:rsidP="00620DE7">
      <w:pPr>
        <w:rPr>
          <w:rFonts w:asciiTheme="minorHAnsi" w:eastAsiaTheme="minorEastAsia" w:hAnsiTheme="minorHAnsi" w:cstheme="minorBidi"/>
        </w:rPr>
      </w:pPr>
      <w:r w:rsidRPr="00282268">
        <w:t xml:space="preserve">[39] </w:t>
      </w:r>
      <w:r w:rsidR="001E5CAA" w:rsidRPr="001E5CAA">
        <w:t>J. Menyhart, “Electric vehicles and energy communities: Vehicle-to-grid opportunities and a sustainable future,” Energies, vol. 18, no. 4, p. 854, 2025, doi: 10.3390/en18040854.</w:t>
      </w:r>
    </w:p>
    <w:p w14:paraId="55E0C5A4" w14:textId="1F9FA012" w:rsidR="00282268" w:rsidRPr="00282268" w:rsidRDefault="00282268" w:rsidP="00282268">
      <w:pPr>
        <w:pStyle w:val="BodyText"/>
        <w:rPr>
          <w:rFonts w:asciiTheme="minorHAnsi" w:eastAsiaTheme="minorEastAsia" w:hAnsiTheme="minorHAnsi" w:cstheme="minorBidi"/>
          <w:sz w:val="22"/>
        </w:rPr>
      </w:pPr>
      <w:r w:rsidRPr="00282268">
        <w:rPr>
          <w:sz w:val="22"/>
        </w:rPr>
        <w:t xml:space="preserve">[40] </w:t>
      </w:r>
      <w:r w:rsidR="009B040F" w:rsidRPr="009B040F">
        <w:rPr>
          <w:sz w:val="22"/>
        </w:rPr>
        <w:t xml:space="preserve">R. Metere, Z. Pourmirza, S. Walker, and M. Neaimeh, “An overview of cyber security and privacy on the electric vehicle charging infrastructure,” arXiv preprint, arXiv:2209.07842, 2022. [Online]. Available: </w:t>
      </w:r>
      <w:hyperlink r:id="rId93">
        <w:r w:rsidR="009B040F" w:rsidRPr="3C9E86E5">
          <w:rPr>
            <w:rStyle w:val="Hyperlink"/>
            <w:sz w:val="22"/>
          </w:rPr>
          <w:t>https://arxiv.org/abs/2209.07842</w:t>
        </w:r>
      </w:hyperlink>
      <w:r w:rsidR="009B040F" w:rsidRPr="3C9E86E5">
        <w:rPr>
          <w:sz w:val="22"/>
        </w:rPr>
        <w:t xml:space="preserve"> </w:t>
      </w:r>
    </w:p>
    <w:p w14:paraId="7F57938C" w14:textId="1F349F17" w:rsidR="00907E1B" w:rsidRPr="00282268" w:rsidRDefault="00282268" w:rsidP="00282268">
      <w:pPr>
        <w:pStyle w:val="BodyText"/>
        <w:rPr>
          <w:rFonts w:asciiTheme="minorHAnsi" w:eastAsiaTheme="minorEastAsia" w:hAnsiTheme="minorHAnsi" w:cstheme="minorBidi"/>
          <w:sz w:val="22"/>
        </w:rPr>
      </w:pPr>
      <w:r w:rsidRPr="00282268">
        <w:rPr>
          <w:sz w:val="22"/>
        </w:rPr>
        <w:t xml:space="preserve">[41] </w:t>
      </w:r>
      <w:r w:rsidR="00D2209C" w:rsidRPr="00D2209C">
        <w:rPr>
          <w:sz w:val="22"/>
        </w:rPr>
        <w:t>S. Acharya, Y. Dvorkin, H. Pandžić, and R. Karri, “Cybersecurity of smart electric vehicle charging: A power grid perspective,” IEEE Access, vol. 8, pp. 214434–214453, 2020, doi: 10.1109/ACCESS.2020.3038811.</w:t>
      </w:r>
    </w:p>
    <w:p w14:paraId="465A244F" w14:textId="0174CC37" w:rsidR="00F81FFF" w:rsidRDefault="00FE21F5" w:rsidP="00FE21F5">
      <w:pPr>
        <w:rPr>
          <w:rFonts w:asciiTheme="minorHAnsi" w:eastAsiaTheme="minorEastAsia" w:hAnsiTheme="minorHAnsi" w:cstheme="minorBidi"/>
        </w:rPr>
      </w:pPr>
      <w:r>
        <w:t xml:space="preserve">[42].  Electric Power Research Institute (EPRI), “OpenDSS – Open Distribution System Simulator,” EPRI, Palo Alto, CA, USA. [Online]. Available: </w:t>
      </w:r>
      <w:hyperlink r:id="rId94">
        <w:r w:rsidRPr="3C4B348C">
          <w:rPr>
            <w:rStyle w:val="Hyperlink"/>
          </w:rPr>
          <w:t>https://www.epri.com/pages/sa/opendss</w:t>
        </w:r>
      </w:hyperlink>
      <w:r>
        <w:t xml:space="preserve"> . [Accessed: Feb.  2026].</w:t>
      </w:r>
    </w:p>
    <w:p w14:paraId="384C6693" w14:textId="0C22F83F" w:rsidR="007C0218" w:rsidRDefault="007C0218" w:rsidP="00FE21F5">
      <w:pPr>
        <w:rPr>
          <w:rFonts w:asciiTheme="minorHAnsi" w:eastAsiaTheme="minorEastAsia" w:hAnsiTheme="minorHAnsi" w:cstheme="minorBidi"/>
        </w:rPr>
      </w:pPr>
      <w:r>
        <w:t xml:space="preserve">[43]. </w:t>
      </w:r>
      <w:r w:rsidRPr="007C0218">
        <w:t>T. Aljohani and A. Almutairi, “A comprehensive survey of cyberattacks on EVs: Research domains, attacks, defensive mechanisms, and verification methods,” Defence Technology, vol. 42, pp. 31–58, Dec. 2024, doi: 10.1016/j.dt.2024.06.009</w:t>
      </w:r>
    </w:p>
    <w:p w14:paraId="51BE378F" w14:textId="77777777" w:rsidR="00FA29D8" w:rsidRDefault="00FA29D8" w:rsidP="00FA29D8">
      <w:r>
        <w:t>[44] Australian Energy Market Operator (AEMO), AESCSF Framework and Resources. Melbourne, VIC, Australia. [Online]. Available: https://www.aemo.com.au/initiatives/major-programs/cyber-security/aescsf-framework-and-resources. [Accessed: Jan. 2026].</w:t>
      </w:r>
    </w:p>
    <w:p w14:paraId="748156D1" w14:textId="6EDD3834" w:rsidR="002C05FD" w:rsidRDefault="000B24CB" w:rsidP="00FA29D8">
      <w:r>
        <w:t xml:space="preserve">[45] </w:t>
      </w:r>
      <w:r w:rsidR="002C05FD" w:rsidRPr="002C05FD">
        <w:t xml:space="preserve">Trusted Computing Group, “TPM Library Specification,” </w:t>
      </w:r>
      <w:r w:rsidR="002C05FD" w:rsidRPr="002C05FD">
        <w:rPr>
          <w:i/>
          <w:iCs/>
        </w:rPr>
        <w:t>Trusted Computing Group</w:t>
      </w:r>
      <w:r w:rsidR="002C05FD" w:rsidRPr="002C05FD">
        <w:t xml:space="preserve">, [Online]. Available: . [Accessed: 28-Apr-2026]. </w:t>
      </w:r>
    </w:p>
    <w:p w14:paraId="3B170B71" w14:textId="456A51F8" w:rsidR="002C05FD" w:rsidRDefault="002C05FD" w:rsidP="00FA29D8">
      <w:r>
        <w:t xml:space="preserve">[46] </w:t>
      </w:r>
      <w:r w:rsidRPr="002C05FD">
        <w:t xml:space="preserve">Arm, “Platform Security,” </w:t>
      </w:r>
      <w:r w:rsidRPr="002C05FD">
        <w:rPr>
          <w:i/>
          <w:iCs/>
        </w:rPr>
        <w:t>Arm Developer</w:t>
      </w:r>
      <w:r w:rsidRPr="002C05FD">
        <w:t xml:space="preserve">, [Online]. Available: . [Accessed: 28-Apr-2026]. </w:t>
      </w:r>
    </w:p>
    <w:p w14:paraId="31EB4DE5" w14:textId="78A9AD57" w:rsidR="002C05FD" w:rsidRDefault="002C05FD" w:rsidP="00FA29D8">
      <w:r>
        <w:t xml:space="preserve">[47] </w:t>
      </w:r>
      <w:r w:rsidRPr="002C05FD">
        <w:t xml:space="preserve">National Security Agency (NSA) Cybersecurity, “Hardware and Firmware Security Guidance – Secure Boot,” </w:t>
      </w:r>
      <w:r w:rsidRPr="002C05FD">
        <w:rPr>
          <w:i/>
          <w:iCs/>
        </w:rPr>
        <w:t>GitHub</w:t>
      </w:r>
      <w:r w:rsidRPr="002C05FD">
        <w:t xml:space="preserve">, [Online]. Available: . [Accessed: 28-Apr-2026]. </w:t>
      </w:r>
    </w:p>
    <w:p w14:paraId="1C7C4B3E" w14:textId="4EDDBDF6" w:rsidR="002C05FD" w:rsidRDefault="002C05FD" w:rsidP="00FA29D8">
      <w:r>
        <w:t xml:space="preserve">[48] </w:t>
      </w:r>
      <w:r w:rsidRPr="002C05FD">
        <w:t xml:space="preserve">National Institute of Standards and Technology (NIST), “Special Publication 800-193: Platform Firmware Resiliency Guidelines,” </w:t>
      </w:r>
      <w:r w:rsidRPr="002C05FD">
        <w:rPr>
          <w:i/>
          <w:iCs/>
        </w:rPr>
        <w:t>NIST Computer Security Resource Center (CSRC)</w:t>
      </w:r>
      <w:r w:rsidRPr="002C05FD">
        <w:t xml:space="preserve">, May 2018. [Online]. Available: </w:t>
      </w:r>
      <w:hyperlink r:id="rId95" w:tgtFrame="_new" w:history="1">
        <w:r w:rsidRPr="002C05FD">
          <w:rPr>
            <w:rStyle w:val="Hyperlink"/>
          </w:rPr>
          <w:t>https://csrc.nist.gov/pubs/sp/800/193/final</w:t>
        </w:r>
      </w:hyperlink>
      <w:r w:rsidRPr="002C05FD">
        <w:t>. [Accessed: 28-Apr-2026].</w:t>
      </w:r>
    </w:p>
    <w:p w14:paraId="11232704" w14:textId="28BFF94C" w:rsidR="000B24CB" w:rsidRDefault="002C05FD" w:rsidP="00FA29D8">
      <w:r>
        <w:t>[49]</w:t>
      </w:r>
      <w:r w:rsidR="00276FBA">
        <w:t xml:space="preserve"> </w:t>
      </w:r>
      <w:r w:rsidRPr="002C05FD">
        <w:t>HashiCorp, "PKI secrets engine (API)," HashiCorp Developer. [Online]. Available: . [Accessed: 28-Apr-2026].</w:t>
      </w:r>
    </w:p>
    <w:p w14:paraId="16628912" w14:textId="75899773" w:rsidR="00276FBA" w:rsidRDefault="002C05FD" w:rsidP="00FA29D8">
      <w:r>
        <w:t>[</w:t>
      </w:r>
      <w:r w:rsidR="00276FBA">
        <w:t>50</w:t>
      </w:r>
      <w:r>
        <w:t>]</w:t>
      </w:r>
      <w:r w:rsidR="00276FBA">
        <w:t xml:space="preserve"> </w:t>
      </w:r>
      <w:r w:rsidR="0010421C" w:rsidRPr="0010421C">
        <w:t xml:space="preserve">Smallstep Labs, “step-ca Certificate Authority Overview,” </w:t>
      </w:r>
      <w:r w:rsidR="0010421C" w:rsidRPr="0010421C">
        <w:rPr>
          <w:i/>
          <w:iCs/>
        </w:rPr>
        <w:t>Smallstep Documentation</w:t>
      </w:r>
      <w:r w:rsidR="0010421C" w:rsidRPr="0010421C">
        <w:t xml:space="preserve">, [Online]. Available: . [Accessed: 28-Apr-2026]. </w:t>
      </w:r>
    </w:p>
    <w:p w14:paraId="302A53CA" w14:textId="2EFFDC87" w:rsidR="002C05FD" w:rsidRDefault="00276FBA" w:rsidP="00FA29D8">
      <w:r>
        <w:t xml:space="preserve">[51] </w:t>
      </w:r>
      <w:r w:rsidR="002C05FD" w:rsidRPr="002C05FD">
        <w:t xml:space="preserve">Keyfactor, “Download EJBCA – Get the Open-Source CA,” </w:t>
      </w:r>
      <w:r w:rsidR="002C05FD" w:rsidRPr="002C05FD">
        <w:rPr>
          <w:i/>
          <w:iCs/>
        </w:rPr>
        <w:t>EJBCA</w:t>
      </w:r>
      <w:r w:rsidR="002C05FD" w:rsidRPr="002C05FD">
        <w:t xml:space="preserve">, [Online]. Available: </w:t>
      </w:r>
      <w:hyperlink r:id="rId96" w:tgtFrame="_new" w:history="1">
        <w:r w:rsidR="002C05FD" w:rsidRPr="002C05FD">
          <w:rPr>
            <w:rStyle w:val="Hyperlink"/>
          </w:rPr>
          <w:t>https://www.ejbca.org/download/</w:t>
        </w:r>
      </w:hyperlink>
      <w:r w:rsidR="002C05FD" w:rsidRPr="002C05FD">
        <w:t xml:space="preserve">. [Accessed: 28-Apr-2026]. </w:t>
      </w:r>
    </w:p>
    <w:p w14:paraId="0E59B055" w14:textId="72987347" w:rsidR="003250DD" w:rsidRDefault="003250DD" w:rsidP="00FA29D8">
      <w:r>
        <w:t xml:space="preserve">[52] </w:t>
      </w:r>
      <w:r w:rsidRPr="003250DD">
        <w:t xml:space="preserve">EVRoaming Foundation, “EVRoaming Foundation – Realising cross-border charging,” </w:t>
      </w:r>
      <w:r w:rsidRPr="003250DD">
        <w:rPr>
          <w:i/>
          <w:iCs/>
        </w:rPr>
        <w:t>EVRoaming</w:t>
      </w:r>
      <w:r w:rsidRPr="003250DD">
        <w:t xml:space="preserve">, [Online]. Available: . [Accessed: 28-Apr-2026]. </w:t>
      </w:r>
    </w:p>
    <w:p w14:paraId="4394374A" w14:textId="04D1315C" w:rsidR="003250DD" w:rsidRDefault="003250DD" w:rsidP="00FA29D8">
      <w:r>
        <w:t xml:space="preserve">[53] </w:t>
      </w:r>
      <w:r w:rsidRPr="003250DD">
        <w:t xml:space="preserve">Hubject, “Plug&amp;Charge | Seamless and secure charging,” </w:t>
      </w:r>
      <w:r w:rsidRPr="003250DD">
        <w:rPr>
          <w:i/>
          <w:iCs/>
        </w:rPr>
        <w:t>Hubject</w:t>
      </w:r>
      <w:r w:rsidRPr="003250DD">
        <w:t xml:space="preserve">, [Online]. Available: . [Accessed: 28-Apr-2026]. </w:t>
      </w:r>
    </w:p>
    <w:p w14:paraId="6A9FCC68" w14:textId="286C6F8C" w:rsidR="003250DD" w:rsidRDefault="003250DD" w:rsidP="00FA29D8">
      <w:r>
        <w:t xml:space="preserve">[54] </w:t>
      </w:r>
      <w:r w:rsidRPr="003250DD">
        <w:t xml:space="preserve">CharIN, “Plug &amp; Charge – Standardized and interoperable Plug &amp; Charge services for secure EV charging,” </w:t>
      </w:r>
      <w:r w:rsidRPr="003250DD">
        <w:rPr>
          <w:i/>
          <w:iCs/>
        </w:rPr>
        <w:t>CharIN</w:t>
      </w:r>
      <w:r w:rsidRPr="003250DD">
        <w:t xml:space="preserve">, [Online]. Available: . [Accessed: 28-Apr-2026]. </w:t>
      </w:r>
    </w:p>
    <w:p w14:paraId="634748B9" w14:textId="504CD4A9" w:rsidR="003250DD" w:rsidRDefault="003250DD" w:rsidP="00FA29D8">
      <w:r>
        <w:t xml:space="preserve">[55] </w:t>
      </w:r>
      <w:r w:rsidRPr="003250DD">
        <w:t xml:space="preserve">CyberSEAS Consortium, “CyberSEAS – Cyber Securing Energy dAta Services,” </w:t>
      </w:r>
      <w:r w:rsidRPr="003250DD">
        <w:rPr>
          <w:i/>
          <w:iCs/>
        </w:rPr>
        <w:t>CyberSEAS</w:t>
      </w:r>
      <w:r w:rsidRPr="003250DD">
        <w:t xml:space="preserve">, [Online]. Available: . [Accessed: 28-Apr-2026]. </w:t>
      </w:r>
    </w:p>
    <w:p w14:paraId="39137E46" w14:textId="77777777" w:rsidR="003250DD" w:rsidRPr="002C05FD" w:rsidRDefault="003250DD" w:rsidP="00FA29D8"/>
    <w:p w14:paraId="0017F3E3" w14:textId="77777777" w:rsidR="000B24CB" w:rsidRDefault="000B24CB" w:rsidP="00FA29D8"/>
    <w:p w14:paraId="2598A49C" w14:textId="5326392A" w:rsidR="000B24CB" w:rsidRPr="00907E1B" w:rsidRDefault="000B24CB" w:rsidP="00FA29D8">
      <w:pPr>
        <w:rPr>
          <w:rFonts w:asciiTheme="minorHAnsi" w:eastAsiaTheme="minorEastAsia" w:hAnsiTheme="minorHAnsi" w:cstheme="minorBidi"/>
        </w:rPr>
        <w:sectPr w:rsidR="000B24CB" w:rsidRPr="00907E1B" w:rsidSect="00AE0D97">
          <w:footerReference w:type="even" r:id="rId97"/>
          <w:footerReference w:type="default" r:id="rId98"/>
          <w:pgSz w:w="11906" w:h="16838" w:code="9"/>
          <w:pgMar w:top="1134" w:right="1134" w:bottom="1134" w:left="1134" w:header="510" w:footer="624" w:gutter="0"/>
          <w:pgNumType w:start="1"/>
          <w:cols w:space="284"/>
          <w:docGrid w:linePitch="360"/>
        </w:sect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62"/>
      </w:tblGrid>
      <w:tr w:rsidR="00557BBC" w14:paraId="73AC50D5" w14:textId="77777777" w:rsidTr="00557BBC">
        <w:trPr>
          <w:trHeight w:val="7767"/>
          <w:jc w:val="right"/>
        </w:trPr>
        <w:tc>
          <w:tcPr>
            <w:tcW w:w="4762" w:type="dxa"/>
          </w:tcPr>
          <w:p w14:paraId="6BEFC8D0" w14:textId="77777777" w:rsidR="00557BBC" w:rsidRPr="00593BAC" w:rsidRDefault="00557BBC" w:rsidP="003972BC">
            <w:pPr>
              <w:pStyle w:val="BackCoverContactHeading"/>
              <w:spacing w:after="120"/>
              <w:rPr>
                <w:sz w:val="24"/>
                <w:szCs w:val="24"/>
              </w:rPr>
            </w:pPr>
            <w:r w:rsidRPr="00593BAC">
              <w:rPr>
                <w:sz w:val="24"/>
                <w:szCs w:val="24"/>
              </w:rPr>
              <w:t xml:space="preserve">As Australia’s national science agency, </w:t>
            </w:r>
            <w:r w:rsidR="004A6521">
              <w:rPr>
                <w:sz w:val="24"/>
                <w:szCs w:val="24"/>
              </w:rPr>
              <w:br/>
            </w:r>
            <w:r w:rsidRPr="00593BAC">
              <w:rPr>
                <w:sz w:val="24"/>
                <w:szCs w:val="24"/>
              </w:rPr>
              <w:t>CSIRO is solving the greatest challenges through innovative science and technology.</w:t>
            </w:r>
          </w:p>
          <w:p w14:paraId="68F7D317" w14:textId="77777777" w:rsidR="00557BBC" w:rsidRPr="00593BAC" w:rsidRDefault="00557BBC" w:rsidP="003972BC">
            <w:pPr>
              <w:pStyle w:val="BackCoverContactDetails"/>
              <w:rPr>
                <w:sz w:val="24"/>
                <w:szCs w:val="24"/>
              </w:rPr>
            </w:pPr>
            <w:r w:rsidRPr="00593BAC">
              <w:rPr>
                <w:sz w:val="24"/>
                <w:szCs w:val="24"/>
              </w:rPr>
              <w:t xml:space="preserve">CSIRO. </w:t>
            </w:r>
            <w:r w:rsidR="004A6521">
              <w:rPr>
                <w:sz w:val="24"/>
                <w:szCs w:val="24"/>
              </w:rPr>
              <w:t>Creat</w:t>
            </w:r>
            <w:r w:rsidRPr="00593BAC">
              <w:rPr>
                <w:sz w:val="24"/>
                <w:szCs w:val="24"/>
              </w:rPr>
              <w:t>ing a better future for everyone.</w:t>
            </w:r>
          </w:p>
          <w:p w14:paraId="0669F931" w14:textId="77777777" w:rsidR="00557BBC" w:rsidRPr="00585C0D" w:rsidRDefault="00557BBC" w:rsidP="003972BC">
            <w:pPr>
              <w:pStyle w:val="BackCoverContactHeading"/>
            </w:pPr>
            <w:r w:rsidRPr="00585C0D">
              <w:t>Contact us</w:t>
            </w:r>
          </w:p>
          <w:p w14:paraId="2A898C7E" w14:textId="77777777" w:rsidR="004D1FAA" w:rsidRPr="00585C0D" w:rsidRDefault="004D1FAA" w:rsidP="004D1FAA">
            <w:pPr>
              <w:pStyle w:val="BackCoverContactDetails"/>
            </w:pPr>
            <w:r w:rsidRPr="00585C0D">
              <w:t>1300 363 400</w:t>
            </w:r>
          </w:p>
          <w:p w14:paraId="79DF8062" w14:textId="77777777" w:rsidR="004D1FAA" w:rsidRPr="00585C0D" w:rsidRDefault="004D1FAA" w:rsidP="004D1FAA">
            <w:pPr>
              <w:pStyle w:val="BackCoverContactDetails"/>
              <w:rPr>
                <w:szCs w:val="22"/>
              </w:rPr>
            </w:pPr>
            <w:r w:rsidRPr="00585C0D">
              <w:t>+61 3 9545 2176</w:t>
            </w:r>
          </w:p>
          <w:p w14:paraId="0E4D1BCD" w14:textId="77777777" w:rsidR="004D1FAA" w:rsidRDefault="004D1FAA" w:rsidP="004D1FAA">
            <w:pPr>
              <w:pStyle w:val="BackCoverContactDetails"/>
            </w:pPr>
            <w:hyperlink r:id="rId99" w:history="1">
              <w:r w:rsidRPr="00DB7E9F">
                <w:rPr>
                  <w:rStyle w:val="Hyperlink"/>
                  <w:color w:val="auto"/>
                </w:rPr>
                <w:t>csiro.au/contact</w:t>
              </w:r>
            </w:hyperlink>
          </w:p>
          <w:p w14:paraId="3F30460A" w14:textId="77777777" w:rsidR="004D1FAA" w:rsidRPr="00DB7E9F" w:rsidRDefault="004D1FAA" w:rsidP="004D1FAA">
            <w:pPr>
              <w:pStyle w:val="BackCoverContactDetails"/>
            </w:pPr>
            <w:hyperlink r:id="rId100" w:history="1">
              <w:r w:rsidRPr="00DB7E9F">
                <w:rPr>
                  <w:rStyle w:val="Hyperlink"/>
                  <w:color w:val="auto"/>
                </w:rPr>
                <w:t>csiro.au</w:t>
              </w:r>
            </w:hyperlink>
          </w:p>
          <w:p w14:paraId="39FBBACF" w14:textId="77777777" w:rsidR="00557BBC" w:rsidRPr="00585C0D" w:rsidRDefault="00557BBC" w:rsidP="003972BC">
            <w:pPr>
              <w:pStyle w:val="BackCoverContactHeading"/>
            </w:pPr>
            <w:r w:rsidRPr="00585C0D">
              <w:t>For further information</w:t>
            </w:r>
            <w:r w:rsidRPr="009F1503">
              <w:rPr>
                <w:color w:val="FF0000"/>
              </w:rPr>
              <w:t xml:space="preserve"> (</w:t>
            </w:r>
            <w:r>
              <w:rPr>
                <w:color w:val="FF0000"/>
              </w:rPr>
              <w:t xml:space="preserve">position </w:t>
            </w:r>
            <w:r w:rsidRPr="009F1503">
              <w:rPr>
                <w:color w:val="FF0000"/>
              </w:rPr>
              <w:t>for single contact</w:t>
            </w:r>
            <w:r>
              <w:rPr>
                <w:color w:val="FF0000"/>
              </w:rPr>
              <w:t xml:space="preserve"> only</w:t>
            </w:r>
            <w:r w:rsidRPr="009F1503">
              <w:rPr>
                <w:color w:val="FF0000"/>
              </w:rPr>
              <w:t>, delete if more</w:t>
            </w:r>
            <w:r>
              <w:rPr>
                <w:color w:val="FF0000"/>
              </w:rPr>
              <w:t xml:space="preserve"> and use below only</w:t>
            </w:r>
            <w:r w:rsidRPr="009F1503">
              <w:rPr>
                <w:color w:val="FF0000"/>
              </w:rPr>
              <w:t>)</w:t>
            </w:r>
          </w:p>
          <w:p w14:paraId="093A747D" w14:textId="77777777" w:rsidR="001375BE" w:rsidRPr="00620FA5" w:rsidRDefault="001375BE" w:rsidP="001375BE">
            <w:pPr>
              <w:pStyle w:val="BackCoverContactDetails"/>
              <w:rPr>
                <w:rStyle w:val="BackCoverContactBold"/>
                <w:b w:val="0"/>
              </w:rPr>
            </w:pPr>
            <w:r w:rsidRPr="00620FA5">
              <w:rPr>
                <w:rStyle w:val="BackCoverContactBold"/>
                <w:b w:val="0"/>
              </w:rPr>
              <w:t xml:space="preserve">Insert </w:t>
            </w:r>
            <w:r>
              <w:rPr>
                <w:rStyle w:val="BackCoverContactBold"/>
                <w:b w:val="0"/>
              </w:rPr>
              <w:t>R</w:t>
            </w:r>
            <w:r w:rsidRPr="00761FFD">
              <w:rPr>
                <w:rStyle w:val="BackCoverContactBold"/>
                <w:b w:val="0"/>
                <w:bCs/>
              </w:rPr>
              <w:t>esearch/Enterprise</w:t>
            </w:r>
            <w:r w:rsidRPr="00620FA5">
              <w:rPr>
                <w:rStyle w:val="BackCoverContactBold"/>
                <w:b w:val="0"/>
              </w:rPr>
              <w:t xml:space="preserve"> Unit name</w:t>
            </w:r>
          </w:p>
          <w:p w14:paraId="2293985C" w14:textId="77777777" w:rsidR="001375BE" w:rsidRPr="00585C0D" w:rsidRDefault="001375BE" w:rsidP="001375BE">
            <w:pPr>
              <w:pStyle w:val="BackCoverContactDetails"/>
            </w:pPr>
            <w:r w:rsidRPr="00CA09F4">
              <w:t>Insert contact name</w:t>
            </w:r>
            <w:r>
              <w:br/>
            </w:r>
            <w:r w:rsidRPr="00CA09F4">
              <w:rPr>
                <w:rStyle w:val="BackCoverContactBold"/>
                <w:b w:val="0"/>
              </w:rPr>
              <w:t>+61 0 0000 0000</w:t>
            </w:r>
          </w:p>
          <w:p w14:paraId="1348B6B3" w14:textId="77777777" w:rsidR="001375BE" w:rsidRPr="00585C0D" w:rsidRDefault="001375BE" w:rsidP="001375BE">
            <w:pPr>
              <w:pStyle w:val="BackCoverContactDetails"/>
            </w:pPr>
            <w:r w:rsidRPr="00CA09F4">
              <w:rPr>
                <w:rStyle w:val="BackCoverContactBold"/>
                <w:b w:val="0"/>
              </w:rPr>
              <w:t>first.last@csiro.au</w:t>
            </w:r>
          </w:p>
          <w:p w14:paraId="6795AA1F" w14:textId="77777777" w:rsidR="00557BBC" w:rsidRPr="00585C0D" w:rsidRDefault="001375BE" w:rsidP="001375BE">
            <w:pPr>
              <w:pStyle w:val="BackCoverContactDetails"/>
            </w:pPr>
            <w:r w:rsidRPr="002B15B7">
              <w:rPr>
                <w:rStyle w:val="BackCoverContactBold"/>
                <w:b w:val="0"/>
              </w:rPr>
              <w:t>csiro.au/</w:t>
            </w:r>
            <w:r>
              <w:rPr>
                <w:rStyle w:val="BackCoverContactBold"/>
                <w:b w:val="0"/>
              </w:rPr>
              <w:t>xxx</w:t>
            </w:r>
          </w:p>
        </w:tc>
      </w:tr>
      <w:tr w:rsidR="00557BBC" w14:paraId="2B744346" w14:textId="77777777" w:rsidTr="00557BBC">
        <w:trPr>
          <w:trHeight w:val="4819"/>
          <w:jc w:val="right"/>
        </w:trPr>
        <w:tc>
          <w:tcPr>
            <w:tcW w:w="4762" w:type="dxa"/>
          </w:tcPr>
          <w:p w14:paraId="34A5F8F6" w14:textId="77777777" w:rsidR="00557BBC" w:rsidRPr="00585C0D" w:rsidRDefault="00557BBC" w:rsidP="003972BC">
            <w:pPr>
              <w:pStyle w:val="BackCoverContactHeading"/>
            </w:pPr>
            <w:r w:rsidRPr="00585C0D">
              <w:t>For further information</w:t>
            </w:r>
            <w:r>
              <w:t xml:space="preserve"> </w:t>
            </w:r>
            <w:r w:rsidRPr="009F1503">
              <w:rPr>
                <w:color w:val="FF0000"/>
              </w:rPr>
              <w:t>(</w:t>
            </w:r>
            <w:r>
              <w:rPr>
                <w:color w:val="FF0000"/>
              </w:rPr>
              <w:t xml:space="preserve">position </w:t>
            </w:r>
            <w:r w:rsidRPr="009F1503">
              <w:rPr>
                <w:color w:val="FF0000"/>
              </w:rPr>
              <w:t xml:space="preserve">for up to </w:t>
            </w:r>
            <w:r>
              <w:rPr>
                <w:color w:val="FF0000"/>
              </w:rPr>
              <w:t xml:space="preserve">four </w:t>
            </w:r>
            <w:r w:rsidRPr="009F1503">
              <w:rPr>
                <w:color w:val="FF0000"/>
              </w:rPr>
              <w:t xml:space="preserve">contacts, </w:t>
            </w:r>
            <w:r>
              <w:rPr>
                <w:color w:val="FF0000"/>
              </w:rPr>
              <w:br/>
            </w:r>
            <w:r w:rsidRPr="009F1503">
              <w:rPr>
                <w:color w:val="FF0000"/>
              </w:rPr>
              <w:t>delete all if single contact</w:t>
            </w:r>
            <w:r>
              <w:rPr>
                <w:color w:val="FF0000"/>
              </w:rPr>
              <w:t xml:space="preserve"> and use above only</w:t>
            </w:r>
            <w:r w:rsidRPr="009F1503">
              <w:rPr>
                <w:color w:val="FF0000"/>
              </w:rPr>
              <w:t>)</w:t>
            </w:r>
          </w:p>
          <w:p w14:paraId="5E4CB953" w14:textId="77777777" w:rsidR="001375BE" w:rsidRPr="00620FA5" w:rsidRDefault="001375BE" w:rsidP="001375BE">
            <w:pPr>
              <w:pStyle w:val="BackCoverContactDetails"/>
              <w:rPr>
                <w:rStyle w:val="BackCoverContactBold"/>
                <w:b w:val="0"/>
              </w:rPr>
            </w:pPr>
            <w:r w:rsidRPr="00620FA5">
              <w:rPr>
                <w:rStyle w:val="BackCoverContactBold"/>
                <w:b w:val="0"/>
              </w:rPr>
              <w:t xml:space="preserve">Insert </w:t>
            </w:r>
            <w:r>
              <w:rPr>
                <w:rStyle w:val="BackCoverContactBold"/>
                <w:b w:val="0"/>
              </w:rPr>
              <w:t>R</w:t>
            </w:r>
            <w:r w:rsidRPr="00761FFD">
              <w:rPr>
                <w:rStyle w:val="BackCoverContactBold"/>
                <w:b w:val="0"/>
                <w:bCs/>
              </w:rPr>
              <w:t>esearch/Enterprise</w:t>
            </w:r>
            <w:r w:rsidRPr="00620FA5">
              <w:rPr>
                <w:rStyle w:val="BackCoverContactBold"/>
                <w:b w:val="0"/>
              </w:rPr>
              <w:t xml:space="preserve"> Unit name</w:t>
            </w:r>
          </w:p>
          <w:p w14:paraId="406E9BB0" w14:textId="77777777" w:rsidR="001375BE" w:rsidRPr="00585C0D" w:rsidRDefault="001375BE" w:rsidP="001375BE">
            <w:pPr>
              <w:pStyle w:val="BackCoverContactDetails"/>
            </w:pPr>
            <w:r w:rsidRPr="00CA09F4">
              <w:t>Insert contact name</w:t>
            </w:r>
            <w:r>
              <w:br/>
            </w:r>
            <w:r w:rsidRPr="00CA09F4">
              <w:rPr>
                <w:rStyle w:val="BackCoverContactBold"/>
                <w:b w:val="0"/>
              </w:rPr>
              <w:t>+61 0 0000 0000</w:t>
            </w:r>
          </w:p>
          <w:p w14:paraId="6E579669" w14:textId="77777777" w:rsidR="001375BE" w:rsidRPr="00585C0D" w:rsidRDefault="001375BE" w:rsidP="001375BE">
            <w:pPr>
              <w:pStyle w:val="BackCoverContactDetails"/>
            </w:pPr>
            <w:r w:rsidRPr="00CA09F4">
              <w:rPr>
                <w:rStyle w:val="BackCoverContactBold"/>
                <w:b w:val="0"/>
              </w:rPr>
              <w:t>first.last@csiro.au</w:t>
            </w:r>
          </w:p>
          <w:p w14:paraId="3132346E" w14:textId="77777777" w:rsidR="00557BBC" w:rsidRDefault="001375BE" w:rsidP="001375BE">
            <w:pPr>
              <w:pStyle w:val="BackCoverContactDetails"/>
              <w:rPr>
                <w:rStyle w:val="BackCoverContactBold"/>
                <w:b w:val="0"/>
              </w:rPr>
            </w:pPr>
            <w:r w:rsidRPr="002B15B7">
              <w:rPr>
                <w:rStyle w:val="BackCoverContactBold"/>
                <w:b w:val="0"/>
              </w:rPr>
              <w:t>csiro.au/</w:t>
            </w:r>
            <w:r>
              <w:rPr>
                <w:rStyle w:val="BackCoverContactBold"/>
                <w:b w:val="0"/>
              </w:rPr>
              <w:t>xxx</w:t>
            </w:r>
          </w:p>
          <w:p w14:paraId="6E122438" w14:textId="77777777" w:rsidR="001375BE" w:rsidRDefault="001375BE" w:rsidP="001375BE">
            <w:pPr>
              <w:pStyle w:val="BackCoverContactDetails"/>
              <w:rPr>
                <w:rStyle w:val="BackCoverContactBold"/>
                <w:szCs w:val="22"/>
              </w:rPr>
            </w:pPr>
          </w:p>
          <w:p w14:paraId="49046464" w14:textId="77777777" w:rsidR="001375BE" w:rsidRPr="00620FA5" w:rsidRDefault="001375BE" w:rsidP="001375BE">
            <w:pPr>
              <w:pStyle w:val="BackCoverContactDetails"/>
              <w:rPr>
                <w:rStyle w:val="BackCoverContactBold"/>
                <w:b w:val="0"/>
              </w:rPr>
            </w:pPr>
            <w:r w:rsidRPr="00620FA5">
              <w:rPr>
                <w:rStyle w:val="BackCoverContactBold"/>
                <w:b w:val="0"/>
              </w:rPr>
              <w:t xml:space="preserve">Insert </w:t>
            </w:r>
            <w:r>
              <w:rPr>
                <w:rStyle w:val="BackCoverContactBold"/>
                <w:b w:val="0"/>
              </w:rPr>
              <w:t>R</w:t>
            </w:r>
            <w:r w:rsidRPr="00761FFD">
              <w:rPr>
                <w:rStyle w:val="BackCoverContactBold"/>
                <w:b w:val="0"/>
                <w:bCs/>
              </w:rPr>
              <w:t>esearch/Enterprise</w:t>
            </w:r>
            <w:r w:rsidRPr="00620FA5">
              <w:rPr>
                <w:rStyle w:val="BackCoverContactBold"/>
                <w:b w:val="0"/>
              </w:rPr>
              <w:t xml:space="preserve"> Unit name</w:t>
            </w:r>
          </w:p>
          <w:p w14:paraId="488C2778" w14:textId="77777777" w:rsidR="001375BE" w:rsidRPr="00585C0D" w:rsidRDefault="001375BE" w:rsidP="001375BE">
            <w:pPr>
              <w:pStyle w:val="BackCoverContactDetails"/>
            </w:pPr>
            <w:r w:rsidRPr="00CA09F4">
              <w:t>Insert contact name</w:t>
            </w:r>
            <w:r>
              <w:br/>
            </w:r>
            <w:r w:rsidRPr="00CA09F4">
              <w:rPr>
                <w:rStyle w:val="BackCoverContactBold"/>
                <w:b w:val="0"/>
              </w:rPr>
              <w:t>+61 0 0000 0000</w:t>
            </w:r>
          </w:p>
          <w:p w14:paraId="43D309F3" w14:textId="77777777" w:rsidR="001375BE" w:rsidRPr="00585C0D" w:rsidRDefault="001375BE" w:rsidP="001375BE">
            <w:pPr>
              <w:pStyle w:val="BackCoverContactDetails"/>
            </w:pPr>
            <w:r w:rsidRPr="00CA09F4">
              <w:rPr>
                <w:rStyle w:val="BackCoverContactBold"/>
                <w:b w:val="0"/>
              </w:rPr>
              <w:t>first.last@csiro.au</w:t>
            </w:r>
          </w:p>
          <w:p w14:paraId="12318393" w14:textId="77777777" w:rsidR="00557BBC" w:rsidRDefault="001375BE" w:rsidP="001375BE">
            <w:pPr>
              <w:pStyle w:val="BackCoverContactDetails"/>
              <w:rPr>
                <w:rStyle w:val="BackCoverContactBold"/>
                <w:b w:val="0"/>
              </w:rPr>
            </w:pPr>
            <w:r w:rsidRPr="002B15B7">
              <w:rPr>
                <w:rStyle w:val="BackCoverContactBold"/>
                <w:b w:val="0"/>
              </w:rPr>
              <w:t>csiro.au/</w:t>
            </w:r>
            <w:r>
              <w:rPr>
                <w:rStyle w:val="BackCoverContactBold"/>
                <w:b w:val="0"/>
              </w:rPr>
              <w:t>xxx</w:t>
            </w:r>
          </w:p>
          <w:p w14:paraId="10915F25" w14:textId="77777777" w:rsidR="001375BE" w:rsidRDefault="001375BE" w:rsidP="001375BE">
            <w:pPr>
              <w:pStyle w:val="BackCoverContactDetails"/>
              <w:rPr>
                <w:rStyle w:val="BackCoverContactBold"/>
                <w:szCs w:val="22"/>
              </w:rPr>
            </w:pPr>
          </w:p>
          <w:p w14:paraId="33FBBF85" w14:textId="77777777" w:rsidR="001375BE" w:rsidRPr="00620FA5" w:rsidRDefault="001375BE" w:rsidP="001375BE">
            <w:pPr>
              <w:pStyle w:val="BackCoverContactDetails"/>
              <w:rPr>
                <w:rStyle w:val="BackCoverContactBold"/>
                <w:b w:val="0"/>
              </w:rPr>
            </w:pPr>
            <w:r w:rsidRPr="00620FA5">
              <w:rPr>
                <w:rStyle w:val="BackCoverContactBold"/>
                <w:b w:val="0"/>
              </w:rPr>
              <w:t xml:space="preserve">Insert </w:t>
            </w:r>
            <w:r>
              <w:rPr>
                <w:rStyle w:val="BackCoverContactBold"/>
                <w:b w:val="0"/>
              </w:rPr>
              <w:t>R</w:t>
            </w:r>
            <w:r w:rsidRPr="00761FFD">
              <w:rPr>
                <w:rStyle w:val="BackCoverContactBold"/>
                <w:b w:val="0"/>
                <w:bCs/>
              </w:rPr>
              <w:t>esearch/Enterprise</w:t>
            </w:r>
            <w:r w:rsidRPr="00620FA5">
              <w:rPr>
                <w:rStyle w:val="BackCoverContactBold"/>
                <w:b w:val="0"/>
              </w:rPr>
              <w:t xml:space="preserve"> Unit name</w:t>
            </w:r>
          </w:p>
          <w:p w14:paraId="5BEF2A2E" w14:textId="77777777" w:rsidR="001375BE" w:rsidRPr="00585C0D" w:rsidRDefault="001375BE" w:rsidP="001375BE">
            <w:pPr>
              <w:pStyle w:val="BackCoverContactDetails"/>
            </w:pPr>
            <w:r w:rsidRPr="00CA09F4">
              <w:t>Insert contact name</w:t>
            </w:r>
            <w:r>
              <w:br/>
            </w:r>
            <w:r w:rsidRPr="00CA09F4">
              <w:rPr>
                <w:rStyle w:val="BackCoverContactBold"/>
                <w:b w:val="0"/>
              </w:rPr>
              <w:t>+61 0 0000 0000</w:t>
            </w:r>
          </w:p>
          <w:p w14:paraId="013210E3" w14:textId="77777777" w:rsidR="001375BE" w:rsidRPr="00585C0D" w:rsidRDefault="001375BE" w:rsidP="001375BE">
            <w:pPr>
              <w:pStyle w:val="BackCoverContactDetails"/>
            </w:pPr>
            <w:r w:rsidRPr="00CA09F4">
              <w:rPr>
                <w:rStyle w:val="BackCoverContactBold"/>
                <w:b w:val="0"/>
              </w:rPr>
              <w:t>first.last@csiro.au</w:t>
            </w:r>
          </w:p>
          <w:p w14:paraId="78BE96B3" w14:textId="77777777" w:rsidR="00557BBC" w:rsidRDefault="001375BE" w:rsidP="001375BE">
            <w:pPr>
              <w:pStyle w:val="BackCoverContactDetails"/>
              <w:rPr>
                <w:rStyle w:val="BackCoverContactBold"/>
                <w:b w:val="0"/>
              </w:rPr>
            </w:pPr>
            <w:r w:rsidRPr="002B15B7">
              <w:rPr>
                <w:rStyle w:val="BackCoverContactBold"/>
                <w:b w:val="0"/>
              </w:rPr>
              <w:t>csiro.au/</w:t>
            </w:r>
            <w:r>
              <w:rPr>
                <w:rStyle w:val="BackCoverContactBold"/>
                <w:b w:val="0"/>
              </w:rPr>
              <w:t>xxx</w:t>
            </w:r>
          </w:p>
          <w:p w14:paraId="42A840BF" w14:textId="77777777" w:rsidR="001375BE" w:rsidRDefault="001375BE" w:rsidP="001375BE">
            <w:pPr>
              <w:pStyle w:val="BackCoverContactDetails"/>
            </w:pPr>
          </w:p>
          <w:p w14:paraId="4BC8BE2C" w14:textId="77777777" w:rsidR="001375BE" w:rsidRPr="00620FA5" w:rsidRDefault="001375BE" w:rsidP="001375BE">
            <w:pPr>
              <w:pStyle w:val="BackCoverContactDetails"/>
              <w:rPr>
                <w:rStyle w:val="BackCoverContactBold"/>
                <w:b w:val="0"/>
              </w:rPr>
            </w:pPr>
            <w:r w:rsidRPr="00620FA5">
              <w:rPr>
                <w:rStyle w:val="BackCoverContactBold"/>
                <w:b w:val="0"/>
              </w:rPr>
              <w:t xml:space="preserve">Insert </w:t>
            </w:r>
            <w:r>
              <w:rPr>
                <w:rStyle w:val="BackCoverContactBold"/>
                <w:b w:val="0"/>
              </w:rPr>
              <w:t>R</w:t>
            </w:r>
            <w:r w:rsidRPr="00761FFD">
              <w:rPr>
                <w:rStyle w:val="BackCoverContactBold"/>
                <w:b w:val="0"/>
                <w:bCs/>
              </w:rPr>
              <w:t>esearch/Enterprise</w:t>
            </w:r>
            <w:r w:rsidRPr="00620FA5">
              <w:rPr>
                <w:rStyle w:val="BackCoverContactBold"/>
                <w:b w:val="0"/>
              </w:rPr>
              <w:t xml:space="preserve"> Unit name</w:t>
            </w:r>
          </w:p>
          <w:p w14:paraId="6F346F34" w14:textId="77777777" w:rsidR="001375BE" w:rsidRPr="00585C0D" w:rsidRDefault="001375BE" w:rsidP="001375BE">
            <w:pPr>
              <w:pStyle w:val="BackCoverContactDetails"/>
            </w:pPr>
            <w:r w:rsidRPr="00CA09F4">
              <w:t>Insert contact name</w:t>
            </w:r>
            <w:r>
              <w:br/>
            </w:r>
            <w:r w:rsidRPr="00CA09F4">
              <w:rPr>
                <w:rStyle w:val="BackCoverContactBold"/>
                <w:b w:val="0"/>
              </w:rPr>
              <w:t>+61 0 0000 0000</w:t>
            </w:r>
          </w:p>
          <w:p w14:paraId="499B1A32" w14:textId="77777777" w:rsidR="001375BE" w:rsidRPr="00585C0D" w:rsidRDefault="001375BE" w:rsidP="001375BE">
            <w:pPr>
              <w:pStyle w:val="BackCoverContactDetails"/>
            </w:pPr>
            <w:r w:rsidRPr="00CA09F4">
              <w:rPr>
                <w:rStyle w:val="BackCoverContactBold"/>
                <w:b w:val="0"/>
              </w:rPr>
              <w:t>first.last@csiro.au</w:t>
            </w:r>
          </w:p>
          <w:p w14:paraId="5E48D730" w14:textId="77777777" w:rsidR="00557BBC" w:rsidRPr="00557BBC" w:rsidRDefault="001375BE" w:rsidP="001375BE">
            <w:pPr>
              <w:pStyle w:val="BackCoverContactDetails"/>
            </w:pPr>
            <w:r w:rsidRPr="002B15B7">
              <w:rPr>
                <w:rStyle w:val="BackCoverContactBold"/>
                <w:b w:val="0"/>
              </w:rPr>
              <w:t>csiro.au/</w:t>
            </w:r>
            <w:r>
              <w:rPr>
                <w:rStyle w:val="BackCoverContactBold"/>
                <w:b w:val="0"/>
              </w:rPr>
              <w:t>xxx</w:t>
            </w:r>
          </w:p>
        </w:tc>
      </w:tr>
    </w:tbl>
    <w:sdt>
      <w:sdtPr>
        <w:id w:val="-993248963"/>
        <w:docPartObj>
          <w:docPartGallery w:val="Cover Pages"/>
        </w:docPartObj>
      </w:sdtPr>
      <w:sdtContent>
        <w:p w14:paraId="2645B16B" w14:textId="77777777" w:rsidR="00925BAA" w:rsidRDefault="00557BBC" w:rsidP="00595936">
          <w:pPr>
            <w:pStyle w:val="BodyText"/>
            <w:sectPr w:rsidR="00925BAA" w:rsidSect="00D051DE">
              <w:type w:val="evenPage"/>
              <w:pgSz w:w="11906" w:h="16838" w:code="9"/>
              <w:pgMar w:top="1134" w:right="1134" w:bottom="1134" w:left="1134" w:header="510" w:footer="624" w:gutter="0"/>
              <w:cols w:space="850"/>
              <w:docGrid w:linePitch="360"/>
            </w:sectPr>
          </w:pPr>
          <w:r>
            <w:rPr>
              <w:noProof/>
              <w:sz w:val="18"/>
            </w:rPr>
            <mc:AlternateContent>
              <mc:Choice Requires="wps">
                <w:drawing>
                  <wp:anchor distT="0" distB="0" distL="114300" distR="114300" simplePos="0" relativeHeight="251658242" behindDoc="0" locked="1" layoutInCell="1" allowOverlap="1" wp14:anchorId="29FDC580" wp14:editId="078E8018">
                    <wp:simplePos x="0" y="0"/>
                    <wp:positionH relativeFrom="page">
                      <wp:posOffset>0</wp:posOffset>
                    </wp:positionH>
                    <wp:positionV relativeFrom="page">
                      <wp:align>bottom</wp:align>
                    </wp:positionV>
                    <wp:extent cx="7560000" cy="630000"/>
                    <wp:effectExtent l="0" t="0" r="3175" b="0"/>
                    <wp:wrapNone/>
                    <wp:docPr id="35" name="Rectangle 35"/>
                    <wp:cNvGraphicFramePr/>
                    <a:graphic xmlns:a="http://schemas.openxmlformats.org/drawingml/2006/main">
                      <a:graphicData uri="http://schemas.microsoft.com/office/word/2010/wordprocessingShape">
                        <wps:wsp>
                          <wps:cNvSpPr/>
                          <wps:spPr>
                            <a:xfrm>
                              <a:off x="0" y="0"/>
                              <a:ext cx="7560000" cy="6300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8717CD" id="Rectangle 35" o:spid="_x0000_s1026" style="position:absolute;margin-left:0;margin-top:0;width:595.3pt;height:49.6pt;z-index:251658242;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" fillcolor="white [3214]" stroked="f" strokeweight="2pt">
                    <w10:wrap anchorx="page" anchory="page"/>
                    <w10:anchorlock/>
                  </v:rect>
                </w:pict>
              </mc:Fallback>
            </mc:AlternateContent>
          </w:r>
          <w:r w:rsidRPr="000F4BA3">
            <w:rPr>
              <w:noProof/>
              <w:sz w:val="18"/>
            </w:rPr>
            <mc:AlternateContent>
              <mc:Choice Requires="wpg">
                <w:drawing>
                  <wp:anchor distT="0" distB="0" distL="720090" distR="114300" simplePos="0" relativeHeight="251658241" behindDoc="1" locked="1" layoutInCell="1" allowOverlap="1" wp14:anchorId="00D4BBDD" wp14:editId="7C37C807">
                    <wp:simplePos x="0" y="0"/>
                    <wp:positionH relativeFrom="page">
                      <wp:posOffset>-2772410</wp:posOffset>
                    </wp:positionH>
                    <wp:positionV relativeFrom="margin">
                      <wp:posOffset>1843405</wp:posOffset>
                    </wp:positionV>
                    <wp:extent cx="5551170" cy="5543550"/>
                    <wp:effectExtent l="19050" t="19050" r="11430" b="19050"/>
                    <wp:wrapTight wrapText="bothSides">
                      <wp:wrapPolygon edited="0">
                        <wp:start x="9562" y="-74"/>
                        <wp:lineTo x="8524" y="-74"/>
                        <wp:lineTo x="5559" y="816"/>
                        <wp:lineTo x="5559" y="1113"/>
                        <wp:lineTo x="3780" y="2153"/>
                        <wp:lineTo x="2520" y="3340"/>
                        <wp:lineTo x="1631" y="4528"/>
                        <wp:lineTo x="667" y="6235"/>
                        <wp:lineTo x="74" y="8016"/>
                        <wp:lineTo x="-74" y="9427"/>
                        <wp:lineTo x="-74" y="12693"/>
                        <wp:lineTo x="296" y="14177"/>
                        <wp:lineTo x="741" y="15365"/>
                        <wp:lineTo x="1334" y="16553"/>
                        <wp:lineTo x="2150" y="17740"/>
                        <wp:lineTo x="3336" y="18928"/>
                        <wp:lineTo x="5040" y="20190"/>
                        <wp:lineTo x="7635" y="21303"/>
                        <wp:lineTo x="7857" y="21303"/>
                        <wp:lineTo x="9340" y="21600"/>
                        <wp:lineTo x="9414" y="21600"/>
                        <wp:lineTo x="12156" y="21600"/>
                        <wp:lineTo x="12231" y="21600"/>
                        <wp:lineTo x="13713" y="21303"/>
                        <wp:lineTo x="13787" y="21303"/>
                        <wp:lineTo x="16456" y="20115"/>
                        <wp:lineTo x="16530" y="20115"/>
                        <wp:lineTo x="18161" y="18928"/>
                        <wp:lineTo x="19347" y="17740"/>
                        <wp:lineTo x="20162" y="16553"/>
                        <wp:lineTo x="20755" y="15365"/>
                        <wp:lineTo x="21570" y="12990"/>
                        <wp:lineTo x="21570" y="9427"/>
                        <wp:lineTo x="21422" y="8313"/>
                        <wp:lineTo x="21422" y="8239"/>
                        <wp:lineTo x="21126" y="7052"/>
                        <wp:lineTo x="20607" y="5864"/>
                        <wp:lineTo x="19940" y="4676"/>
                        <wp:lineTo x="18976" y="3489"/>
                        <wp:lineTo x="17716" y="2227"/>
                        <wp:lineTo x="16307" y="1262"/>
                        <wp:lineTo x="15937" y="1113"/>
                        <wp:lineTo x="15937" y="816"/>
                        <wp:lineTo x="12898" y="-74"/>
                        <wp:lineTo x="11934" y="-74"/>
                        <wp:lineTo x="9562" y="-74"/>
                      </wp:wrapPolygon>
                    </wp:wrapTight>
                    <wp:docPr id="20" name="Group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551170" cy="5543550"/>
                              <a:chOff x="0" y="0"/>
                              <a:chExt cx="5410200" cy="5403215"/>
                            </a:xfrm>
                          </wpg:grpSpPr>
                          <wps:wsp>
                            <wps:cNvPr id="21" name="Oval 21"/>
                            <wps:cNvSpPr>
                              <a:spLocks noChangeAspect="1"/>
                            </wps:cNvSpPr>
                            <wps:spPr>
                              <a:xfrm>
                                <a:off x="0" y="0"/>
                                <a:ext cx="5410200" cy="5403215"/>
                              </a:xfrm>
                              <a:prstGeom prst="ellipse">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Pie 53"/>
                            <wps:cNvSpPr>
                              <a:spLocks noChangeAspect="1"/>
                            </wps:cNvSpPr>
                            <wps:spPr>
                              <a:xfrm rot="16200000">
                                <a:off x="1355834" y="1340070"/>
                                <a:ext cx="2704465" cy="5403215"/>
                              </a:xfrm>
                              <a:custGeom>
                                <a:avLst/>
                                <a:gdLst>
                                  <a:gd name="connsiteX0" fmla="*/ 5153594 w 5153594"/>
                                  <a:gd name="connsiteY0" fmla="*/ 2576797 h 5153594"/>
                                  <a:gd name="connsiteX1" fmla="*/ 2576797 w 5153594"/>
                                  <a:gd name="connsiteY1" fmla="*/ 5153594 h 5153594"/>
                                  <a:gd name="connsiteX2" fmla="*/ 0 w 5153594"/>
                                  <a:gd name="connsiteY2" fmla="*/ 2576797 h 5153594"/>
                                  <a:gd name="connsiteX3" fmla="*/ 2576797 w 5153594"/>
                                  <a:gd name="connsiteY3" fmla="*/ 0 h 5153594"/>
                                  <a:gd name="connsiteX4" fmla="*/ 2576797 w 5153594"/>
                                  <a:gd name="connsiteY4" fmla="*/ 2576797 h 5153594"/>
                                  <a:gd name="connsiteX5" fmla="*/ 5153594 w 5153594"/>
                                  <a:gd name="connsiteY5" fmla="*/ 2576797 h 5153594"/>
                                  <a:gd name="connsiteX0" fmla="*/ 2576797 w 2576797"/>
                                  <a:gd name="connsiteY0" fmla="*/ 2576797 h 5153594"/>
                                  <a:gd name="connsiteX1" fmla="*/ 2576797 w 2576797"/>
                                  <a:gd name="connsiteY1" fmla="*/ 5153594 h 5153594"/>
                                  <a:gd name="connsiteX2" fmla="*/ 0 w 2576797"/>
                                  <a:gd name="connsiteY2" fmla="*/ 2576797 h 5153594"/>
                                  <a:gd name="connsiteX3" fmla="*/ 2576797 w 2576797"/>
                                  <a:gd name="connsiteY3" fmla="*/ 0 h 5153594"/>
                                  <a:gd name="connsiteX4" fmla="*/ 2576797 w 2576797"/>
                                  <a:gd name="connsiteY4" fmla="*/ 2576797 h 51535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576797" h="5153594">
                                    <a:moveTo>
                                      <a:pt x="2576797" y="2576797"/>
                                    </a:moveTo>
                                    <a:lnTo>
                                      <a:pt x="2576797" y="5153594"/>
                                    </a:lnTo>
                                    <a:cubicBezTo>
                                      <a:pt x="1153671" y="5153594"/>
                                      <a:pt x="0" y="3999923"/>
                                      <a:pt x="0" y="2576797"/>
                                    </a:cubicBezTo>
                                    <a:cubicBezTo>
                                      <a:pt x="0" y="1153671"/>
                                      <a:pt x="1153671" y="0"/>
                                      <a:pt x="2576797" y="0"/>
                                    </a:cubicBezTo>
                                    <a:lnTo>
                                      <a:pt x="2576797" y="2576797"/>
                                    </a:lnTo>
                                    <a:close/>
                                  </a:path>
                                </a:pathLst>
                              </a:custGeom>
                              <a:solidFill>
                                <a:schemeClr val="accent1"/>
                              </a:solid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BC76C0" id="Group 20" o:spid="_x0000_s1026" alt="&quot;&quot;" style="position:absolute;margin-left:-218.3pt;margin-top:145.15pt;width:437.1pt;height:436.5pt;z-index:-251658239;mso-wrap-distance-left:56.7pt;mso-position-horizontal-relative:page;mso-position-vertical-relative:margin;mso-width-relative:margin;mso-height-relative:margin" coordsize="54102,5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">
                    <o:lock v:ext="edit" aspectratio="t"/>
                    <v:oval id="Oval 21" o:spid="_x0000_s1027" style="position:absolute;width:54102;height:54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" filled="f" strokecolor="#00a9ce [3204]" strokeweight="3pt">
                      <v:path arrowok="t"/>
                      <o:lock v:ext="edit" aspectratio="t"/>
                    </v:oval>
                    <v:shape id="Pie 53" o:spid="_x0000_s1028" style="position:absolute;left:13557;top:13401;width:27045;height:54032;rotation:-90;visibility:visible;mso-wrap-style:square;v-text-anchor:middle" coordsize="2576797,515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" path="m2576797,2576797r,2576797c1153671,5153594,,3999923,,2576797,,1153671,1153671,,2576797,r,2576797xe" fillcolor="#00a9ce [3204]" strokecolor="#00a9ce [3204]" strokeweight="3pt">
                      <v:path arrowok="t" o:connecttype="custom" o:connectlocs="2704465,2701608;2704465,5403215;0,2701608;2704465,0;2704465,2701608" o:connectangles="0,0,0,0,0"/>
                      <o:lock v:ext="edit" aspectratio="t"/>
                    </v:shape>
                    <w10:wrap type="tight" anchorx="page" anchory="margin"/>
                    <w10:anchorlock/>
                  </v:group>
                </w:pict>
              </mc:Fallback>
            </mc:AlternateContent>
          </w:r>
          <w:r w:rsidRPr="000F4BA3">
            <w:rPr>
              <w:noProof/>
              <w:sz w:val="18"/>
            </w:rPr>
            <mc:AlternateContent>
              <mc:Choice Requires="wps">
                <w:drawing>
                  <wp:anchor distT="0" distB="0" distL="114300" distR="114300" simplePos="0" relativeHeight="251658240" behindDoc="1" locked="1" layoutInCell="1" allowOverlap="1" wp14:anchorId="03019DF9" wp14:editId="701607FC">
                    <wp:simplePos x="0" y="0"/>
                    <wp:positionH relativeFrom="page">
                      <wp:align>right</wp:align>
                    </wp:positionH>
                    <wp:positionV relativeFrom="page">
                      <wp:posOffset>5325110</wp:posOffset>
                    </wp:positionV>
                    <wp:extent cx="7560000" cy="0"/>
                    <wp:effectExtent l="0" t="19050" r="22225" b="19050"/>
                    <wp:wrapNone/>
                    <wp:docPr id="36" name="Straight Connector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02D1019" id="Straight Connector 36" o:spid="_x0000_s1026" alt="&quot;&quot;" style="position:absolute;z-index:-251658240;visibility:visible;mso-wrap-style:square;mso-width-percent:0;mso-wrap-distance-left:9pt;mso-wrap-distance-top:0;mso-wrap-distance-right:9pt;mso-wrap-distance-bottom:0;mso-position-horizontal:right;mso-position-horizontal-relative:page;mso-position-vertical:absolute;mso-position-vertical-relative:page;mso-width-percent:0;mso-width-relative:margin" from="544.1pt,419.3pt" to="1139.4pt,4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" strokecolor="#00a0c3 [3044]" strokeweight="3pt">
                    <w10:wrap anchorx="page" anchory="page"/>
                    <w10:anchorlock/>
                  </v:line>
                </w:pict>
              </mc:Fallback>
            </mc:AlternateContent>
          </w:r>
        </w:p>
      </w:sdtContent>
    </w:sdt>
    <w:p w14:paraId="5AB4194E" w14:textId="77777777" w:rsidR="00A14107" w:rsidRPr="006C2F7A" w:rsidRDefault="00A14107" w:rsidP="00557BBC">
      <w:pPr>
        <w:pStyle w:val="BodyText"/>
        <w:rPr>
          <w:sz w:val="18"/>
        </w:rPr>
      </w:pPr>
    </w:p>
    <w:sectPr w:rsidR="00A14107" w:rsidRPr="006C2F7A" w:rsidSect="00925BAA">
      <w:type w:val="continuous"/>
      <w:pgSz w:w="11906" w:h="16838" w:code="9"/>
      <w:pgMar w:top="1134" w:right="1134" w:bottom="1134" w:left="1134" w:header="510" w:footer="624" w:gutter="0"/>
      <w:cols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5" w:author="Asma AZIZ" w:date="2026-02-24T23:30:00Z" w:initials="AA">
    <w:p w14:paraId="4DA3CFAB" w14:textId="77777777" w:rsidR="0029720F" w:rsidRDefault="001915CE" w:rsidP="0029720F">
      <w:pPr>
        <w:pStyle w:val="CommentText"/>
      </w:pPr>
      <w:r>
        <w:rPr>
          <w:rStyle w:val="CommentReference"/>
        </w:rPr>
        <w:annotationRef/>
      </w:r>
      <w:r w:rsidR="0029720F">
        <w:t>Should we not add figure caption and reference here for figure 1?</w:t>
      </w:r>
    </w:p>
  </w:comment>
  <w:comment w:id="26" w:author="Ahmad MOHSIN" w:date="2026-02-24T07:34:00Z" w:initials="">
    <w:p w14:paraId="3F33F54E" w14:textId="5E934A1B" w:rsidR="00341A83" w:rsidRDefault="00341A83">
      <w:pPr>
        <w:pStyle w:val="CommentText"/>
      </w:pPr>
      <w:r>
        <w:rPr>
          <w:rStyle w:val="CommentReference"/>
        </w:rPr>
        <w:annotationRef/>
      </w:r>
      <w:r>
        <w:t xml:space="preserve">Yes caption should be added </w:t>
      </w:r>
    </w:p>
  </w:comment>
  <w:comment w:id="27" w:author="Asma AZIZ" w:date="2026-02-24T23:32:00Z" w:initials="AA">
    <w:p w14:paraId="6D2405A4" w14:textId="77777777" w:rsidR="001533D3" w:rsidRDefault="001533D3" w:rsidP="001533D3">
      <w:pPr>
        <w:pStyle w:val="CommentText"/>
      </w:pPr>
      <w:r>
        <w:rPr>
          <w:rStyle w:val="CommentReference"/>
        </w:rPr>
        <w:annotationRef/>
      </w:r>
      <w:r>
        <w:t>What is OT. Are we presenting the full form somewhere earlier in report. Same for EVSE-full form not included</w:t>
      </w:r>
    </w:p>
  </w:comment>
  <w:comment w:id="356" w:author="Helge JANICKE" w:date="2026-02-27T09:00:00Z" w:initials="HJ">
    <w:p w14:paraId="58EE842A" w14:textId="77777777" w:rsidR="00DF60E5" w:rsidRDefault="00DF60E5" w:rsidP="00DF60E5">
      <w:r>
        <w:rPr>
          <w:rStyle w:val="CommentReference"/>
        </w:rPr>
        <w:annotationRef/>
      </w:r>
      <w:r>
        <w:rPr>
          <w:sz w:val="20"/>
          <w:szCs w:val="20"/>
        </w:rPr>
        <w:t>Needs completing</w:t>
      </w:r>
    </w:p>
  </w:comment>
  <w:comment w:id="364" w:author="Ahmed IBRAHIM" w:date="2026-02-27T06:24:00Z" w:initials="AI">
    <w:p w14:paraId="6AE8B903" w14:textId="77777777" w:rsidR="007E4081" w:rsidRDefault="007E4081" w:rsidP="007E4081">
      <w:pPr>
        <w:pStyle w:val="CommentText"/>
      </w:pPr>
      <w:r>
        <w:rPr>
          <w:rStyle w:val="CommentReference"/>
        </w:rPr>
        <w:annotationRef/>
      </w:r>
      <w:r>
        <w:t xml:space="preserve">Would “Coordinated DER behaviour” lead to degradation? </w:t>
      </w:r>
    </w:p>
    <w:p w14:paraId="004074AE" w14:textId="77777777" w:rsidR="007E4081" w:rsidRDefault="007E4081" w:rsidP="007E4081">
      <w:pPr>
        <w:pStyle w:val="CommentText"/>
      </w:pPr>
      <w:r>
        <w:t>Is this meant to say “attack behaviour” or “malicious behaviour”?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DA3CFAB" w15:done="1"/>
  <w15:commentEx w15:paraId="3F33F54E" w15:paraIdParent="4DA3CFAB" w15:done="1"/>
  <w15:commentEx w15:paraId="6D2405A4" w15:done="1"/>
  <w15:commentEx w15:paraId="58EE842A" w15:done="1"/>
  <w15:commentEx w15:paraId="004074A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2150D91" w16cex:dateUtc="2026-02-24T15:30:00Z"/>
  <w16cex:commentExtensible w16cex:durableId="579B6335" w16cex:dateUtc="2026-02-24T15:34:00Z"/>
  <w16cex:commentExtensible w16cex:durableId="07482FAE" w16cex:dateUtc="2026-02-24T15:32:00Z"/>
  <w16cex:commentExtensible w16cex:durableId="66AF3EFE" w16cex:dateUtc="2026-02-27T01:00:00Z"/>
  <w16cex:commentExtensible w16cex:durableId="753A45E1" w16cex:dateUtc="2026-02-26T22:24:00Z">
    <w16cex:extLst>
      <w16:ext w16:uri="{CE6994B0-6A32-4C9F-8C6B-6E91EDA988CE}">
        <cr:reactions xmlns:cr="http://schemas.microsoft.com/office/comments/2020/reactions">
          <cr:reaction reactionType="1">
            <cr:reactionInfo dateUtc="2026-02-27T02:52:32Z">
              <cr:user userId="S::a.mohsin@ecu.edu.au::145396bc-06d4-4cbb-8fe2-12fe536756d9" userProvider="AD" userName="Ahmad MOHSIN"/>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A3CFAB" w16cid:durableId="32150D91"/>
  <w16cid:commentId w16cid:paraId="3F33F54E" w16cid:durableId="579B6335"/>
  <w16cid:commentId w16cid:paraId="6D2405A4" w16cid:durableId="07482FAE"/>
  <w16cid:commentId w16cid:paraId="58EE842A" w16cid:durableId="66AF3EFE"/>
  <w16cid:commentId w16cid:paraId="004074AE" w16cid:durableId="753A45E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3B692" w14:textId="77777777" w:rsidR="00697ED5" w:rsidRDefault="00697ED5" w:rsidP="009964E7">
      <w:r>
        <w:separator/>
      </w:r>
    </w:p>
    <w:p w14:paraId="009FA5EE" w14:textId="77777777" w:rsidR="00697ED5" w:rsidRDefault="00697ED5"/>
  </w:endnote>
  <w:endnote w:type="continuationSeparator" w:id="0">
    <w:p w14:paraId="2049B862" w14:textId="77777777" w:rsidR="00697ED5" w:rsidRDefault="00697ED5" w:rsidP="009964E7">
      <w:r>
        <w:continuationSeparator/>
      </w:r>
    </w:p>
    <w:p w14:paraId="47335B45" w14:textId="77777777" w:rsidR="00697ED5" w:rsidRDefault="00697E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CD110" w14:textId="1D1A083D" w:rsidR="003972BC" w:rsidRDefault="003972BC" w:rsidP="00AE0D97">
    <w:pPr>
      <w:pStyle w:val="Footer"/>
      <w:tabs>
        <w:tab w:val="clear" w:pos="4513"/>
        <w:tab w:val="clear" w:pos="9026"/>
      </w:tabs>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r>
      <w:rPr>
        <w:rStyle w:val="PageNumber"/>
      </w:rPr>
      <w:t xml:space="preserve">  |  </w:t>
    </w:r>
    <w:r w:rsidRPr="00883E43">
      <w:rPr>
        <w:b/>
        <w:noProof/>
      </w:rPr>
      <w:t>CSIRO</w:t>
    </w:r>
    <w:r w:rsidRPr="00883E43">
      <w:rPr>
        <w:noProof/>
      </w:rPr>
      <w:t xml:space="preserve"> Australia’s National Science Agency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1040C" w14:textId="2077794A" w:rsidR="003972BC" w:rsidRDefault="003972BC" w:rsidP="00AE0D97">
    <w:pPr>
      <w:pStyle w:val="Footer"/>
      <w:tabs>
        <w:tab w:val="clear" w:pos="4513"/>
        <w:tab w:val="clear" w:pos="9026"/>
      </w:tabs>
      <w:jc w:val="right"/>
    </w:pPr>
    <w:r>
      <w:rPr>
        <w:noProof/>
      </w:rPr>
      <w:fldChar w:fldCharType="begin"/>
    </w:r>
    <w:r>
      <w:rPr>
        <w:noProof/>
      </w:rPr>
      <w:instrText xml:space="preserve"> STYLEREF  CoverTitle </w:instrText>
    </w:r>
    <w:r>
      <w:rPr>
        <w:noProof/>
      </w:rPr>
      <w:fldChar w:fldCharType="separate"/>
    </w:r>
    <w:r w:rsidR="00000000">
      <w:rPr>
        <w:noProof/>
      </w:rPr>
      <w:t>AR-PST Stage 5</w:t>
    </w:r>
    <w:r>
      <w:rPr>
        <w:noProof/>
      </w:rPr>
      <w:fldChar w:fldCharType="end"/>
    </w:r>
    <w:r>
      <w:t xml:space="preserve">  |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63695" w14:textId="77777777" w:rsidR="00697ED5" w:rsidRDefault="00697ED5" w:rsidP="009964E7">
      <w:r>
        <w:separator/>
      </w:r>
    </w:p>
    <w:p w14:paraId="5B98A65A" w14:textId="77777777" w:rsidR="00697ED5" w:rsidRDefault="00697ED5"/>
  </w:footnote>
  <w:footnote w:type="continuationSeparator" w:id="0">
    <w:p w14:paraId="5757257B" w14:textId="77777777" w:rsidR="00697ED5" w:rsidRDefault="00697ED5" w:rsidP="009964E7">
      <w:r>
        <w:continuationSeparator/>
      </w:r>
    </w:p>
    <w:p w14:paraId="4545B1A8" w14:textId="77777777" w:rsidR="00697ED5" w:rsidRDefault="00697ED5"/>
  </w:footnote>
</w:footnotes>
</file>

<file path=word/intelligence2.xml><?xml version="1.0" encoding="utf-8"?>
<int2:intelligence xmlns:int2="http://schemas.microsoft.com/office/intelligence/2020/intelligence" xmlns:oel="http://schemas.microsoft.com/office/2019/extlst">
  <int2:observations>
    <int2:textHash int2:hashCode="xk2IFjGQetko+7" int2:id="Gnm1B6aZ">
      <int2:state int2:value="Rejected" int2:type="spell"/>
    </int2:textHash>
    <int2:textHash int2:hashCode="i35B0pFTqAfgyD" int2:id="xIX531O9">
      <int2:state int2:value="Rejected" int2:type="spell"/>
    </int2:textHash>
    <int2:bookmark int2:bookmarkName="_Int_oT5WVHtd" int2:invalidationBookmarkName="" int2:hashCode="IyZttd7mE4Fnwe" int2:id="Bhlh5l9P">
      <int2:state int2:value="Rejected" int2:type="gram"/>
    </int2:bookmark>
    <int2:bookmark int2:bookmarkName="_Int_WPiWz4Q8" int2:invalidationBookmarkName="" int2:hashCode="dDjdD3HPRt5e/7" int2:id="y5YrgkRr">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C3EF2D2"/>
    <w:lvl w:ilvl="0">
      <w:start w:val="1"/>
      <w:numFmt w:val="lowerLetter"/>
      <w:pStyle w:val="ListNumber2"/>
      <w:lvlText w:val="%1."/>
      <w:lvlJc w:val="left"/>
      <w:pPr>
        <w:ind w:left="4471" w:hanging="360"/>
      </w:pPr>
    </w:lvl>
  </w:abstractNum>
  <w:abstractNum w:abstractNumId="1" w15:restartNumberingAfterBreak="0">
    <w:nsid w:val="FFFFFF80"/>
    <w:multiLevelType w:val="singleLevel"/>
    <w:tmpl w:val="B442ECCC"/>
    <w:lvl w:ilvl="0">
      <w:start w:val="1"/>
      <w:numFmt w:val="bullet"/>
      <w:pStyle w:val="ListNumber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B77C9CB0"/>
    <w:lvl w:ilvl="0">
      <w:start w:val="1"/>
      <w:numFmt w:val="bullet"/>
      <w:pStyle w:val="ListNumber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2716FB9A"/>
    <w:lvl w:ilvl="0">
      <w:start w:val="1"/>
      <w:numFmt w:val="bullet"/>
      <w:pStyle w:val="ListBullet5"/>
      <w:lvlText w:val="–"/>
      <w:lvlJc w:val="left"/>
      <w:pPr>
        <w:ind w:left="360" w:hanging="360"/>
      </w:pPr>
      <w:rPr>
        <w:rFonts w:ascii="Feijoa Medium" w:hAnsi="Feijoa Medium" w:hint="default"/>
      </w:rPr>
    </w:lvl>
  </w:abstractNum>
  <w:abstractNum w:abstractNumId="4" w15:restartNumberingAfterBreak="0">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5" w15:restartNumberingAfterBreak="0">
    <w:nsid w:val="000A3F0B"/>
    <w:multiLevelType w:val="hybridMultilevel"/>
    <w:tmpl w:val="FFFFFFFF"/>
    <w:lvl w:ilvl="0" w:tplc="42CE25D0">
      <w:start w:val="1"/>
      <w:numFmt w:val="decimal"/>
      <w:lvlText w:val="%1."/>
      <w:lvlJc w:val="left"/>
      <w:pPr>
        <w:ind w:left="720" w:hanging="360"/>
      </w:pPr>
    </w:lvl>
    <w:lvl w:ilvl="1" w:tplc="1554B292">
      <w:start w:val="1"/>
      <w:numFmt w:val="lowerLetter"/>
      <w:lvlText w:val="%2."/>
      <w:lvlJc w:val="left"/>
      <w:pPr>
        <w:ind w:left="1440" w:hanging="360"/>
      </w:pPr>
    </w:lvl>
    <w:lvl w:ilvl="2" w:tplc="22768EAA">
      <w:start w:val="1"/>
      <w:numFmt w:val="lowerRoman"/>
      <w:lvlText w:val="%3."/>
      <w:lvlJc w:val="right"/>
      <w:pPr>
        <w:ind w:left="2160" w:hanging="180"/>
      </w:pPr>
    </w:lvl>
    <w:lvl w:ilvl="3" w:tplc="90603A2A">
      <w:start w:val="1"/>
      <w:numFmt w:val="decimal"/>
      <w:lvlText w:val="%4."/>
      <w:lvlJc w:val="left"/>
      <w:pPr>
        <w:ind w:left="2880" w:hanging="360"/>
      </w:pPr>
    </w:lvl>
    <w:lvl w:ilvl="4" w:tplc="D5F48D1C">
      <w:start w:val="1"/>
      <w:numFmt w:val="lowerLetter"/>
      <w:lvlText w:val="%5."/>
      <w:lvlJc w:val="left"/>
      <w:pPr>
        <w:ind w:left="3600" w:hanging="360"/>
      </w:pPr>
    </w:lvl>
    <w:lvl w:ilvl="5" w:tplc="06CE4600">
      <w:start w:val="1"/>
      <w:numFmt w:val="lowerRoman"/>
      <w:lvlText w:val="%6."/>
      <w:lvlJc w:val="right"/>
      <w:pPr>
        <w:ind w:left="4320" w:hanging="180"/>
      </w:pPr>
    </w:lvl>
    <w:lvl w:ilvl="6" w:tplc="CB20487E">
      <w:start w:val="1"/>
      <w:numFmt w:val="decimal"/>
      <w:lvlText w:val="%7."/>
      <w:lvlJc w:val="left"/>
      <w:pPr>
        <w:ind w:left="5040" w:hanging="360"/>
      </w:pPr>
    </w:lvl>
    <w:lvl w:ilvl="7" w:tplc="89AE5990">
      <w:start w:val="1"/>
      <w:numFmt w:val="lowerLetter"/>
      <w:lvlText w:val="%8."/>
      <w:lvlJc w:val="left"/>
      <w:pPr>
        <w:ind w:left="5760" w:hanging="360"/>
      </w:pPr>
    </w:lvl>
    <w:lvl w:ilvl="8" w:tplc="67B2B366">
      <w:start w:val="1"/>
      <w:numFmt w:val="lowerRoman"/>
      <w:lvlText w:val="%9."/>
      <w:lvlJc w:val="right"/>
      <w:pPr>
        <w:ind w:left="6480" w:hanging="180"/>
      </w:pPr>
    </w:lvl>
  </w:abstractNum>
  <w:abstractNum w:abstractNumId="6" w15:restartNumberingAfterBreak="0">
    <w:nsid w:val="01390471"/>
    <w:multiLevelType w:val="hybridMultilevel"/>
    <w:tmpl w:val="46C69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15B3F94"/>
    <w:multiLevelType w:val="multilevel"/>
    <w:tmpl w:val="B6CA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DA5C85"/>
    <w:multiLevelType w:val="hybridMultilevel"/>
    <w:tmpl w:val="FFFFFFFF"/>
    <w:lvl w:ilvl="0" w:tplc="B5F28624">
      <w:start w:val="1"/>
      <w:numFmt w:val="bullet"/>
      <w:lvlText w:val=""/>
      <w:lvlJc w:val="left"/>
      <w:pPr>
        <w:ind w:left="720" w:hanging="360"/>
      </w:pPr>
      <w:rPr>
        <w:rFonts w:ascii="Symbol" w:hAnsi="Symbol" w:hint="default"/>
      </w:rPr>
    </w:lvl>
    <w:lvl w:ilvl="1" w:tplc="9A54EDE6">
      <w:start w:val="1"/>
      <w:numFmt w:val="bullet"/>
      <w:lvlText w:val="o"/>
      <w:lvlJc w:val="left"/>
      <w:pPr>
        <w:ind w:left="1440" w:hanging="360"/>
      </w:pPr>
      <w:rPr>
        <w:rFonts w:ascii="Courier New" w:hAnsi="Courier New" w:hint="default"/>
      </w:rPr>
    </w:lvl>
    <w:lvl w:ilvl="2" w:tplc="2762343E">
      <w:start w:val="1"/>
      <w:numFmt w:val="bullet"/>
      <w:lvlText w:val=""/>
      <w:lvlJc w:val="left"/>
      <w:pPr>
        <w:ind w:left="2160" w:hanging="360"/>
      </w:pPr>
      <w:rPr>
        <w:rFonts w:ascii="Wingdings" w:hAnsi="Wingdings" w:hint="default"/>
      </w:rPr>
    </w:lvl>
    <w:lvl w:ilvl="3" w:tplc="95BE3FC2">
      <w:start w:val="1"/>
      <w:numFmt w:val="bullet"/>
      <w:lvlText w:val=""/>
      <w:lvlJc w:val="left"/>
      <w:pPr>
        <w:ind w:left="2880" w:hanging="360"/>
      </w:pPr>
      <w:rPr>
        <w:rFonts w:ascii="Symbol" w:hAnsi="Symbol" w:hint="default"/>
      </w:rPr>
    </w:lvl>
    <w:lvl w:ilvl="4" w:tplc="702A5D4E">
      <w:start w:val="1"/>
      <w:numFmt w:val="bullet"/>
      <w:lvlText w:val="o"/>
      <w:lvlJc w:val="left"/>
      <w:pPr>
        <w:ind w:left="3600" w:hanging="360"/>
      </w:pPr>
      <w:rPr>
        <w:rFonts w:ascii="Courier New" w:hAnsi="Courier New" w:hint="default"/>
      </w:rPr>
    </w:lvl>
    <w:lvl w:ilvl="5" w:tplc="FB1AA59C">
      <w:start w:val="1"/>
      <w:numFmt w:val="bullet"/>
      <w:lvlText w:val=""/>
      <w:lvlJc w:val="left"/>
      <w:pPr>
        <w:ind w:left="4320" w:hanging="360"/>
      </w:pPr>
      <w:rPr>
        <w:rFonts w:ascii="Wingdings" w:hAnsi="Wingdings" w:hint="default"/>
      </w:rPr>
    </w:lvl>
    <w:lvl w:ilvl="6" w:tplc="CEB47DA2">
      <w:start w:val="1"/>
      <w:numFmt w:val="bullet"/>
      <w:lvlText w:val=""/>
      <w:lvlJc w:val="left"/>
      <w:pPr>
        <w:ind w:left="5040" w:hanging="360"/>
      </w:pPr>
      <w:rPr>
        <w:rFonts w:ascii="Symbol" w:hAnsi="Symbol" w:hint="default"/>
      </w:rPr>
    </w:lvl>
    <w:lvl w:ilvl="7" w:tplc="2710FA18">
      <w:start w:val="1"/>
      <w:numFmt w:val="bullet"/>
      <w:lvlText w:val="o"/>
      <w:lvlJc w:val="left"/>
      <w:pPr>
        <w:ind w:left="5760" w:hanging="360"/>
      </w:pPr>
      <w:rPr>
        <w:rFonts w:ascii="Courier New" w:hAnsi="Courier New" w:hint="default"/>
      </w:rPr>
    </w:lvl>
    <w:lvl w:ilvl="8" w:tplc="EECCB062">
      <w:start w:val="1"/>
      <w:numFmt w:val="bullet"/>
      <w:lvlText w:val=""/>
      <w:lvlJc w:val="left"/>
      <w:pPr>
        <w:ind w:left="6480" w:hanging="360"/>
      </w:pPr>
      <w:rPr>
        <w:rFonts w:ascii="Wingdings" w:hAnsi="Wingdings" w:hint="default"/>
      </w:rPr>
    </w:lvl>
  </w:abstractNum>
  <w:abstractNum w:abstractNumId="9" w15:restartNumberingAfterBreak="0">
    <w:nsid w:val="0597F811"/>
    <w:multiLevelType w:val="hybridMultilevel"/>
    <w:tmpl w:val="4DD2F8B0"/>
    <w:lvl w:ilvl="0" w:tplc="0590A9BC">
      <w:start w:val="1"/>
      <w:numFmt w:val="bullet"/>
      <w:lvlText w:val=""/>
      <w:lvlJc w:val="left"/>
      <w:pPr>
        <w:ind w:left="720" w:hanging="360"/>
      </w:pPr>
      <w:rPr>
        <w:rFonts w:ascii="Symbol" w:hAnsi="Symbol" w:hint="default"/>
      </w:rPr>
    </w:lvl>
    <w:lvl w:ilvl="1" w:tplc="07DA8C04">
      <w:start w:val="1"/>
      <w:numFmt w:val="bullet"/>
      <w:lvlText w:val="o"/>
      <w:lvlJc w:val="left"/>
      <w:pPr>
        <w:ind w:left="1440" w:hanging="360"/>
      </w:pPr>
      <w:rPr>
        <w:rFonts w:ascii="Courier New" w:hAnsi="Courier New" w:hint="default"/>
      </w:rPr>
    </w:lvl>
    <w:lvl w:ilvl="2" w:tplc="03FE8076">
      <w:start w:val="1"/>
      <w:numFmt w:val="bullet"/>
      <w:lvlText w:val=""/>
      <w:lvlJc w:val="left"/>
      <w:pPr>
        <w:ind w:left="2160" w:hanging="360"/>
      </w:pPr>
      <w:rPr>
        <w:rFonts w:ascii="Wingdings" w:hAnsi="Wingdings" w:hint="default"/>
      </w:rPr>
    </w:lvl>
    <w:lvl w:ilvl="3" w:tplc="B6045E4C">
      <w:start w:val="1"/>
      <w:numFmt w:val="bullet"/>
      <w:lvlText w:val=""/>
      <w:lvlJc w:val="left"/>
      <w:pPr>
        <w:ind w:left="2880" w:hanging="360"/>
      </w:pPr>
      <w:rPr>
        <w:rFonts w:ascii="Symbol" w:hAnsi="Symbol" w:hint="default"/>
      </w:rPr>
    </w:lvl>
    <w:lvl w:ilvl="4" w:tplc="07E8B744">
      <w:start w:val="1"/>
      <w:numFmt w:val="bullet"/>
      <w:lvlText w:val="o"/>
      <w:lvlJc w:val="left"/>
      <w:pPr>
        <w:ind w:left="3600" w:hanging="360"/>
      </w:pPr>
      <w:rPr>
        <w:rFonts w:ascii="Courier New" w:hAnsi="Courier New" w:hint="default"/>
      </w:rPr>
    </w:lvl>
    <w:lvl w:ilvl="5" w:tplc="63AE63B0">
      <w:start w:val="1"/>
      <w:numFmt w:val="bullet"/>
      <w:lvlText w:val=""/>
      <w:lvlJc w:val="left"/>
      <w:pPr>
        <w:ind w:left="4320" w:hanging="360"/>
      </w:pPr>
      <w:rPr>
        <w:rFonts w:ascii="Wingdings" w:hAnsi="Wingdings" w:hint="default"/>
      </w:rPr>
    </w:lvl>
    <w:lvl w:ilvl="6" w:tplc="C642563C">
      <w:start w:val="1"/>
      <w:numFmt w:val="bullet"/>
      <w:lvlText w:val=""/>
      <w:lvlJc w:val="left"/>
      <w:pPr>
        <w:ind w:left="5040" w:hanging="360"/>
      </w:pPr>
      <w:rPr>
        <w:rFonts w:ascii="Symbol" w:hAnsi="Symbol" w:hint="default"/>
      </w:rPr>
    </w:lvl>
    <w:lvl w:ilvl="7" w:tplc="D4DA4778">
      <w:start w:val="1"/>
      <w:numFmt w:val="bullet"/>
      <w:lvlText w:val="o"/>
      <w:lvlJc w:val="left"/>
      <w:pPr>
        <w:ind w:left="5760" w:hanging="360"/>
      </w:pPr>
      <w:rPr>
        <w:rFonts w:ascii="Courier New" w:hAnsi="Courier New" w:hint="default"/>
      </w:rPr>
    </w:lvl>
    <w:lvl w:ilvl="8" w:tplc="15746ED8">
      <w:start w:val="1"/>
      <w:numFmt w:val="bullet"/>
      <w:lvlText w:val=""/>
      <w:lvlJc w:val="left"/>
      <w:pPr>
        <w:ind w:left="6480" w:hanging="360"/>
      </w:pPr>
      <w:rPr>
        <w:rFonts w:ascii="Wingdings" w:hAnsi="Wingdings" w:hint="default"/>
      </w:rPr>
    </w:lvl>
  </w:abstractNum>
  <w:abstractNum w:abstractNumId="10" w15:restartNumberingAfterBreak="0">
    <w:nsid w:val="079F1E5A"/>
    <w:multiLevelType w:val="hybridMultilevel"/>
    <w:tmpl w:val="3A58B0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AB3967"/>
    <w:multiLevelType w:val="multilevel"/>
    <w:tmpl w:val="CEFC5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8B4655"/>
    <w:multiLevelType w:val="hybridMultilevel"/>
    <w:tmpl w:val="FFFFFFFF"/>
    <w:lvl w:ilvl="0" w:tplc="F5125FF8">
      <w:start w:val="1"/>
      <w:numFmt w:val="bullet"/>
      <w:lvlText w:val=""/>
      <w:lvlJc w:val="left"/>
      <w:pPr>
        <w:ind w:left="720" w:hanging="360"/>
      </w:pPr>
      <w:rPr>
        <w:rFonts w:ascii="Symbol" w:hAnsi="Symbol" w:hint="default"/>
      </w:rPr>
    </w:lvl>
    <w:lvl w:ilvl="1" w:tplc="211A38D2">
      <w:start w:val="1"/>
      <w:numFmt w:val="bullet"/>
      <w:lvlText w:val="o"/>
      <w:lvlJc w:val="left"/>
      <w:pPr>
        <w:ind w:left="1440" w:hanging="360"/>
      </w:pPr>
      <w:rPr>
        <w:rFonts w:ascii="Courier New" w:hAnsi="Courier New" w:hint="default"/>
      </w:rPr>
    </w:lvl>
    <w:lvl w:ilvl="2" w:tplc="5AC4A76E">
      <w:start w:val="1"/>
      <w:numFmt w:val="bullet"/>
      <w:lvlText w:val=""/>
      <w:lvlJc w:val="left"/>
      <w:pPr>
        <w:ind w:left="2160" w:hanging="360"/>
      </w:pPr>
      <w:rPr>
        <w:rFonts w:ascii="Wingdings" w:hAnsi="Wingdings" w:hint="default"/>
      </w:rPr>
    </w:lvl>
    <w:lvl w:ilvl="3" w:tplc="CC60F536">
      <w:start w:val="1"/>
      <w:numFmt w:val="bullet"/>
      <w:lvlText w:val=""/>
      <w:lvlJc w:val="left"/>
      <w:pPr>
        <w:ind w:left="2880" w:hanging="360"/>
      </w:pPr>
      <w:rPr>
        <w:rFonts w:ascii="Symbol" w:hAnsi="Symbol" w:hint="default"/>
      </w:rPr>
    </w:lvl>
    <w:lvl w:ilvl="4" w:tplc="D018E0C4">
      <w:start w:val="1"/>
      <w:numFmt w:val="bullet"/>
      <w:lvlText w:val="o"/>
      <w:lvlJc w:val="left"/>
      <w:pPr>
        <w:ind w:left="3600" w:hanging="360"/>
      </w:pPr>
      <w:rPr>
        <w:rFonts w:ascii="Courier New" w:hAnsi="Courier New" w:hint="default"/>
      </w:rPr>
    </w:lvl>
    <w:lvl w:ilvl="5" w:tplc="651C8230">
      <w:start w:val="1"/>
      <w:numFmt w:val="bullet"/>
      <w:lvlText w:val=""/>
      <w:lvlJc w:val="left"/>
      <w:pPr>
        <w:ind w:left="4320" w:hanging="360"/>
      </w:pPr>
      <w:rPr>
        <w:rFonts w:ascii="Wingdings" w:hAnsi="Wingdings" w:hint="default"/>
      </w:rPr>
    </w:lvl>
    <w:lvl w:ilvl="6" w:tplc="E74010D8">
      <w:start w:val="1"/>
      <w:numFmt w:val="bullet"/>
      <w:lvlText w:val=""/>
      <w:lvlJc w:val="left"/>
      <w:pPr>
        <w:ind w:left="5040" w:hanging="360"/>
      </w:pPr>
      <w:rPr>
        <w:rFonts w:ascii="Symbol" w:hAnsi="Symbol" w:hint="default"/>
      </w:rPr>
    </w:lvl>
    <w:lvl w:ilvl="7" w:tplc="9992118C">
      <w:start w:val="1"/>
      <w:numFmt w:val="bullet"/>
      <w:lvlText w:val="o"/>
      <w:lvlJc w:val="left"/>
      <w:pPr>
        <w:ind w:left="5760" w:hanging="360"/>
      </w:pPr>
      <w:rPr>
        <w:rFonts w:ascii="Courier New" w:hAnsi="Courier New" w:hint="default"/>
      </w:rPr>
    </w:lvl>
    <w:lvl w:ilvl="8" w:tplc="A5425516">
      <w:start w:val="1"/>
      <w:numFmt w:val="bullet"/>
      <w:lvlText w:val=""/>
      <w:lvlJc w:val="left"/>
      <w:pPr>
        <w:ind w:left="6480" w:hanging="360"/>
      </w:pPr>
      <w:rPr>
        <w:rFonts w:ascii="Wingdings" w:hAnsi="Wingdings" w:hint="default"/>
      </w:rPr>
    </w:lvl>
  </w:abstractNum>
  <w:abstractNum w:abstractNumId="13" w15:restartNumberingAfterBreak="0">
    <w:nsid w:val="0A005438"/>
    <w:multiLevelType w:val="multilevel"/>
    <w:tmpl w:val="757EF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ADB2EE3"/>
    <w:multiLevelType w:val="hybridMultilevel"/>
    <w:tmpl w:val="B0B457CE"/>
    <w:lvl w:ilvl="0" w:tplc="BC2426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E700402"/>
    <w:multiLevelType w:val="hybridMultilevel"/>
    <w:tmpl w:val="FE3E56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F67173D"/>
    <w:multiLevelType w:val="hybridMultilevel"/>
    <w:tmpl w:val="8EC45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26C6DF8"/>
    <w:multiLevelType w:val="hybridMultilevel"/>
    <w:tmpl w:val="FFFFFFFF"/>
    <w:lvl w:ilvl="0" w:tplc="2368D3EA">
      <w:start w:val="1"/>
      <w:numFmt w:val="bullet"/>
      <w:lvlText w:val=""/>
      <w:lvlJc w:val="left"/>
      <w:pPr>
        <w:ind w:left="720" w:hanging="360"/>
      </w:pPr>
      <w:rPr>
        <w:rFonts w:ascii="Symbol" w:hAnsi="Symbol" w:hint="default"/>
      </w:rPr>
    </w:lvl>
    <w:lvl w:ilvl="1" w:tplc="3522BEC2">
      <w:start w:val="1"/>
      <w:numFmt w:val="bullet"/>
      <w:lvlText w:val="o"/>
      <w:lvlJc w:val="left"/>
      <w:pPr>
        <w:ind w:left="1440" w:hanging="360"/>
      </w:pPr>
      <w:rPr>
        <w:rFonts w:ascii="Courier New" w:hAnsi="Courier New" w:hint="default"/>
      </w:rPr>
    </w:lvl>
    <w:lvl w:ilvl="2" w:tplc="B068FFCE">
      <w:start w:val="1"/>
      <w:numFmt w:val="bullet"/>
      <w:lvlText w:val=""/>
      <w:lvlJc w:val="left"/>
      <w:pPr>
        <w:ind w:left="2160" w:hanging="360"/>
      </w:pPr>
      <w:rPr>
        <w:rFonts w:ascii="Wingdings" w:hAnsi="Wingdings" w:hint="default"/>
      </w:rPr>
    </w:lvl>
    <w:lvl w:ilvl="3" w:tplc="382A29EA">
      <w:start w:val="1"/>
      <w:numFmt w:val="bullet"/>
      <w:lvlText w:val=""/>
      <w:lvlJc w:val="left"/>
      <w:pPr>
        <w:ind w:left="2880" w:hanging="360"/>
      </w:pPr>
      <w:rPr>
        <w:rFonts w:ascii="Symbol" w:hAnsi="Symbol" w:hint="default"/>
      </w:rPr>
    </w:lvl>
    <w:lvl w:ilvl="4" w:tplc="4258B65E">
      <w:start w:val="1"/>
      <w:numFmt w:val="bullet"/>
      <w:lvlText w:val="o"/>
      <w:lvlJc w:val="left"/>
      <w:pPr>
        <w:ind w:left="3600" w:hanging="360"/>
      </w:pPr>
      <w:rPr>
        <w:rFonts w:ascii="Courier New" w:hAnsi="Courier New" w:hint="default"/>
      </w:rPr>
    </w:lvl>
    <w:lvl w:ilvl="5" w:tplc="AC84DC14">
      <w:start w:val="1"/>
      <w:numFmt w:val="bullet"/>
      <w:lvlText w:val=""/>
      <w:lvlJc w:val="left"/>
      <w:pPr>
        <w:ind w:left="4320" w:hanging="360"/>
      </w:pPr>
      <w:rPr>
        <w:rFonts w:ascii="Wingdings" w:hAnsi="Wingdings" w:hint="default"/>
      </w:rPr>
    </w:lvl>
    <w:lvl w:ilvl="6" w:tplc="9F365B08">
      <w:start w:val="1"/>
      <w:numFmt w:val="bullet"/>
      <w:lvlText w:val=""/>
      <w:lvlJc w:val="left"/>
      <w:pPr>
        <w:ind w:left="5040" w:hanging="360"/>
      </w:pPr>
      <w:rPr>
        <w:rFonts w:ascii="Symbol" w:hAnsi="Symbol" w:hint="default"/>
      </w:rPr>
    </w:lvl>
    <w:lvl w:ilvl="7" w:tplc="9D1A79C4">
      <w:start w:val="1"/>
      <w:numFmt w:val="bullet"/>
      <w:lvlText w:val="o"/>
      <w:lvlJc w:val="left"/>
      <w:pPr>
        <w:ind w:left="5760" w:hanging="360"/>
      </w:pPr>
      <w:rPr>
        <w:rFonts w:ascii="Courier New" w:hAnsi="Courier New" w:hint="default"/>
      </w:rPr>
    </w:lvl>
    <w:lvl w:ilvl="8" w:tplc="EDA679E8">
      <w:start w:val="1"/>
      <w:numFmt w:val="bullet"/>
      <w:lvlText w:val=""/>
      <w:lvlJc w:val="left"/>
      <w:pPr>
        <w:ind w:left="6480" w:hanging="360"/>
      </w:pPr>
      <w:rPr>
        <w:rFonts w:ascii="Wingdings" w:hAnsi="Wingdings" w:hint="default"/>
      </w:rPr>
    </w:lvl>
  </w:abstractNum>
  <w:abstractNum w:abstractNumId="18" w15:restartNumberingAfterBreak="0">
    <w:nsid w:val="14DB476C"/>
    <w:multiLevelType w:val="multilevel"/>
    <w:tmpl w:val="94D2C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6F32CCB"/>
    <w:multiLevelType w:val="multilevel"/>
    <w:tmpl w:val="2B34D5CE"/>
    <w:styleLink w:val="Sources"/>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A2C47EF"/>
    <w:multiLevelType w:val="multilevel"/>
    <w:tmpl w:val="BC08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ACF4B40"/>
    <w:multiLevelType w:val="hybridMultilevel"/>
    <w:tmpl w:val="244828C0"/>
    <w:lvl w:ilvl="0" w:tplc="B09492D8">
      <w:start w:val="1"/>
      <w:numFmt w:val="bullet"/>
      <w:lvlText w:val=""/>
      <w:lvlJc w:val="left"/>
      <w:pPr>
        <w:ind w:left="720" w:hanging="360"/>
      </w:pPr>
      <w:rPr>
        <w:rFonts w:ascii="Symbol" w:hAnsi="Symbol" w:hint="default"/>
      </w:rPr>
    </w:lvl>
    <w:lvl w:ilvl="1" w:tplc="EB1EA530">
      <w:start w:val="1"/>
      <w:numFmt w:val="bullet"/>
      <w:lvlText w:val="o"/>
      <w:lvlJc w:val="left"/>
      <w:pPr>
        <w:ind w:left="1440" w:hanging="360"/>
      </w:pPr>
      <w:rPr>
        <w:rFonts w:ascii="Courier New" w:hAnsi="Courier New" w:hint="default"/>
      </w:rPr>
    </w:lvl>
    <w:lvl w:ilvl="2" w:tplc="9F169BB6">
      <w:start w:val="1"/>
      <w:numFmt w:val="bullet"/>
      <w:lvlText w:val=""/>
      <w:lvlJc w:val="left"/>
      <w:pPr>
        <w:ind w:left="2160" w:hanging="360"/>
      </w:pPr>
      <w:rPr>
        <w:rFonts w:ascii="Wingdings" w:hAnsi="Wingdings" w:hint="default"/>
      </w:rPr>
    </w:lvl>
    <w:lvl w:ilvl="3" w:tplc="38A81494">
      <w:start w:val="1"/>
      <w:numFmt w:val="bullet"/>
      <w:lvlText w:val=""/>
      <w:lvlJc w:val="left"/>
      <w:pPr>
        <w:ind w:left="2880" w:hanging="360"/>
      </w:pPr>
      <w:rPr>
        <w:rFonts w:ascii="Symbol" w:hAnsi="Symbol" w:hint="default"/>
      </w:rPr>
    </w:lvl>
    <w:lvl w:ilvl="4" w:tplc="B02C2800">
      <w:start w:val="1"/>
      <w:numFmt w:val="bullet"/>
      <w:lvlText w:val="o"/>
      <w:lvlJc w:val="left"/>
      <w:pPr>
        <w:ind w:left="3600" w:hanging="360"/>
      </w:pPr>
      <w:rPr>
        <w:rFonts w:ascii="Courier New" w:hAnsi="Courier New" w:hint="default"/>
      </w:rPr>
    </w:lvl>
    <w:lvl w:ilvl="5" w:tplc="E43EA60A">
      <w:start w:val="1"/>
      <w:numFmt w:val="bullet"/>
      <w:lvlText w:val=""/>
      <w:lvlJc w:val="left"/>
      <w:pPr>
        <w:ind w:left="4320" w:hanging="360"/>
      </w:pPr>
      <w:rPr>
        <w:rFonts w:ascii="Wingdings" w:hAnsi="Wingdings" w:hint="default"/>
      </w:rPr>
    </w:lvl>
    <w:lvl w:ilvl="6" w:tplc="617EB72E">
      <w:start w:val="1"/>
      <w:numFmt w:val="bullet"/>
      <w:lvlText w:val=""/>
      <w:lvlJc w:val="left"/>
      <w:pPr>
        <w:ind w:left="5040" w:hanging="360"/>
      </w:pPr>
      <w:rPr>
        <w:rFonts w:ascii="Symbol" w:hAnsi="Symbol" w:hint="default"/>
      </w:rPr>
    </w:lvl>
    <w:lvl w:ilvl="7" w:tplc="F44A5D6A">
      <w:start w:val="1"/>
      <w:numFmt w:val="bullet"/>
      <w:lvlText w:val="o"/>
      <w:lvlJc w:val="left"/>
      <w:pPr>
        <w:ind w:left="5760" w:hanging="360"/>
      </w:pPr>
      <w:rPr>
        <w:rFonts w:ascii="Courier New" w:hAnsi="Courier New" w:hint="default"/>
      </w:rPr>
    </w:lvl>
    <w:lvl w:ilvl="8" w:tplc="2B6E89B0">
      <w:start w:val="1"/>
      <w:numFmt w:val="bullet"/>
      <w:lvlText w:val=""/>
      <w:lvlJc w:val="left"/>
      <w:pPr>
        <w:ind w:left="6480" w:hanging="360"/>
      </w:pPr>
      <w:rPr>
        <w:rFonts w:ascii="Wingdings" w:hAnsi="Wingdings" w:hint="default"/>
      </w:rPr>
    </w:lvl>
  </w:abstractNum>
  <w:abstractNum w:abstractNumId="22" w15:restartNumberingAfterBreak="0">
    <w:nsid w:val="1AE0332A"/>
    <w:multiLevelType w:val="hybridMultilevel"/>
    <w:tmpl w:val="4208C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AED30D0"/>
    <w:multiLevelType w:val="hybridMultilevel"/>
    <w:tmpl w:val="9BBC2036"/>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BD26EF9"/>
    <w:multiLevelType w:val="multilevel"/>
    <w:tmpl w:val="3894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C470761"/>
    <w:multiLevelType w:val="hybridMultilevel"/>
    <w:tmpl w:val="66C618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E17E49D"/>
    <w:multiLevelType w:val="hybridMultilevel"/>
    <w:tmpl w:val="FFFFFFFF"/>
    <w:lvl w:ilvl="0" w:tplc="5B4034A0">
      <w:start w:val="1"/>
      <w:numFmt w:val="decimal"/>
      <w:lvlText w:val="%1."/>
      <w:lvlJc w:val="left"/>
      <w:pPr>
        <w:ind w:left="720" w:hanging="360"/>
      </w:pPr>
    </w:lvl>
    <w:lvl w:ilvl="1" w:tplc="695C7ECA">
      <w:start w:val="1"/>
      <w:numFmt w:val="lowerLetter"/>
      <w:lvlText w:val="%2."/>
      <w:lvlJc w:val="left"/>
      <w:pPr>
        <w:ind w:left="1440" w:hanging="360"/>
      </w:pPr>
    </w:lvl>
    <w:lvl w:ilvl="2" w:tplc="6AA0EEA2">
      <w:start w:val="1"/>
      <w:numFmt w:val="lowerRoman"/>
      <w:lvlText w:val="%3."/>
      <w:lvlJc w:val="right"/>
      <w:pPr>
        <w:ind w:left="2160" w:hanging="180"/>
      </w:pPr>
    </w:lvl>
    <w:lvl w:ilvl="3" w:tplc="428E9864">
      <w:start w:val="1"/>
      <w:numFmt w:val="decimal"/>
      <w:lvlText w:val="%4."/>
      <w:lvlJc w:val="left"/>
      <w:pPr>
        <w:ind w:left="2880" w:hanging="360"/>
      </w:pPr>
    </w:lvl>
    <w:lvl w:ilvl="4" w:tplc="D0F2935A">
      <w:start w:val="1"/>
      <w:numFmt w:val="lowerLetter"/>
      <w:lvlText w:val="%5."/>
      <w:lvlJc w:val="left"/>
      <w:pPr>
        <w:ind w:left="3600" w:hanging="360"/>
      </w:pPr>
    </w:lvl>
    <w:lvl w:ilvl="5" w:tplc="7116BF3C">
      <w:start w:val="1"/>
      <w:numFmt w:val="lowerRoman"/>
      <w:lvlText w:val="%6."/>
      <w:lvlJc w:val="right"/>
      <w:pPr>
        <w:ind w:left="4320" w:hanging="180"/>
      </w:pPr>
    </w:lvl>
    <w:lvl w:ilvl="6" w:tplc="D8CE03A0">
      <w:start w:val="1"/>
      <w:numFmt w:val="decimal"/>
      <w:lvlText w:val="%7."/>
      <w:lvlJc w:val="left"/>
      <w:pPr>
        <w:ind w:left="5040" w:hanging="360"/>
      </w:pPr>
    </w:lvl>
    <w:lvl w:ilvl="7" w:tplc="4CB41200">
      <w:start w:val="1"/>
      <w:numFmt w:val="lowerLetter"/>
      <w:lvlText w:val="%8."/>
      <w:lvlJc w:val="left"/>
      <w:pPr>
        <w:ind w:left="5760" w:hanging="360"/>
      </w:pPr>
    </w:lvl>
    <w:lvl w:ilvl="8" w:tplc="DB42EAFA">
      <w:start w:val="1"/>
      <w:numFmt w:val="lowerRoman"/>
      <w:lvlText w:val="%9."/>
      <w:lvlJc w:val="right"/>
      <w:pPr>
        <w:ind w:left="6480" w:hanging="180"/>
      </w:pPr>
    </w:lvl>
  </w:abstractNum>
  <w:abstractNum w:abstractNumId="27" w15:restartNumberingAfterBreak="0">
    <w:nsid w:val="2086735F"/>
    <w:multiLevelType w:val="multilevel"/>
    <w:tmpl w:val="F1420D32"/>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21050236"/>
    <w:multiLevelType w:val="multilevel"/>
    <w:tmpl w:val="2B34D5CE"/>
    <w:styleLink w:val="TableBullets"/>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2F0025B"/>
    <w:multiLevelType w:val="hybridMultilevel"/>
    <w:tmpl w:val="2E68C5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3884079"/>
    <w:multiLevelType w:val="hybridMultilevel"/>
    <w:tmpl w:val="FFFFFFFF"/>
    <w:lvl w:ilvl="0" w:tplc="A3544904">
      <w:start w:val="1"/>
      <w:numFmt w:val="decimal"/>
      <w:lvlText w:val="%1."/>
      <w:lvlJc w:val="left"/>
      <w:pPr>
        <w:ind w:left="720" w:hanging="360"/>
      </w:pPr>
    </w:lvl>
    <w:lvl w:ilvl="1" w:tplc="9AB23616">
      <w:start w:val="1"/>
      <w:numFmt w:val="lowerLetter"/>
      <w:lvlText w:val="%2."/>
      <w:lvlJc w:val="left"/>
      <w:pPr>
        <w:ind w:left="1440" w:hanging="360"/>
      </w:pPr>
    </w:lvl>
    <w:lvl w:ilvl="2" w:tplc="3814A830">
      <w:start w:val="1"/>
      <w:numFmt w:val="lowerRoman"/>
      <w:lvlText w:val="%3."/>
      <w:lvlJc w:val="right"/>
      <w:pPr>
        <w:ind w:left="2160" w:hanging="180"/>
      </w:pPr>
    </w:lvl>
    <w:lvl w:ilvl="3" w:tplc="AF1EC206">
      <w:start w:val="1"/>
      <w:numFmt w:val="decimal"/>
      <w:lvlText w:val="%4."/>
      <w:lvlJc w:val="left"/>
      <w:pPr>
        <w:ind w:left="2880" w:hanging="360"/>
      </w:pPr>
    </w:lvl>
    <w:lvl w:ilvl="4" w:tplc="EA1E4938">
      <w:start w:val="1"/>
      <w:numFmt w:val="lowerLetter"/>
      <w:lvlText w:val="%5."/>
      <w:lvlJc w:val="left"/>
      <w:pPr>
        <w:ind w:left="3600" w:hanging="360"/>
      </w:pPr>
    </w:lvl>
    <w:lvl w:ilvl="5" w:tplc="5C440D9E">
      <w:start w:val="1"/>
      <w:numFmt w:val="lowerRoman"/>
      <w:lvlText w:val="%6."/>
      <w:lvlJc w:val="right"/>
      <w:pPr>
        <w:ind w:left="4320" w:hanging="180"/>
      </w:pPr>
    </w:lvl>
    <w:lvl w:ilvl="6" w:tplc="A9409E62">
      <w:start w:val="1"/>
      <w:numFmt w:val="decimal"/>
      <w:lvlText w:val="%7."/>
      <w:lvlJc w:val="left"/>
      <w:pPr>
        <w:ind w:left="5040" w:hanging="360"/>
      </w:pPr>
    </w:lvl>
    <w:lvl w:ilvl="7" w:tplc="8D8A78CC">
      <w:start w:val="1"/>
      <w:numFmt w:val="lowerLetter"/>
      <w:lvlText w:val="%8."/>
      <w:lvlJc w:val="left"/>
      <w:pPr>
        <w:ind w:left="5760" w:hanging="360"/>
      </w:pPr>
    </w:lvl>
    <w:lvl w:ilvl="8" w:tplc="A0B01F50">
      <w:start w:val="1"/>
      <w:numFmt w:val="lowerRoman"/>
      <w:lvlText w:val="%9."/>
      <w:lvlJc w:val="right"/>
      <w:pPr>
        <w:ind w:left="6480" w:hanging="180"/>
      </w:pPr>
    </w:lvl>
  </w:abstractNum>
  <w:abstractNum w:abstractNumId="31" w15:restartNumberingAfterBreak="0">
    <w:nsid w:val="24E8088D"/>
    <w:multiLevelType w:val="hybridMultilevel"/>
    <w:tmpl w:val="68FAE0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4FE56A3"/>
    <w:multiLevelType w:val="multilevel"/>
    <w:tmpl w:val="01CA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60B2226"/>
    <w:multiLevelType w:val="multilevel"/>
    <w:tmpl w:val="7BEC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6134EE6"/>
    <w:multiLevelType w:val="multilevel"/>
    <w:tmpl w:val="2766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8EC2C1B"/>
    <w:multiLevelType w:val="hybridMultilevel"/>
    <w:tmpl w:val="28A81C26"/>
    <w:lvl w:ilvl="0" w:tplc="43E4E1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29AF558B"/>
    <w:multiLevelType w:val="hybridMultilevel"/>
    <w:tmpl w:val="FFFFFFFF"/>
    <w:lvl w:ilvl="0" w:tplc="454E3424">
      <w:start w:val="1"/>
      <w:numFmt w:val="bullet"/>
      <w:lvlText w:val="·"/>
      <w:lvlJc w:val="left"/>
      <w:pPr>
        <w:ind w:left="720" w:hanging="360"/>
      </w:pPr>
      <w:rPr>
        <w:rFonts w:ascii="Symbol" w:hAnsi="Symbol" w:hint="default"/>
      </w:rPr>
    </w:lvl>
    <w:lvl w:ilvl="1" w:tplc="C3202D2C">
      <w:start w:val="1"/>
      <w:numFmt w:val="bullet"/>
      <w:lvlText w:val="o"/>
      <w:lvlJc w:val="left"/>
      <w:pPr>
        <w:ind w:left="1440" w:hanging="360"/>
      </w:pPr>
      <w:rPr>
        <w:rFonts w:ascii="Courier New" w:hAnsi="Courier New" w:hint="default"/>
      </w:rPr>
    </w:lvl>
    <w:lvl w:ilvl="2" w:tplc="42784F40">
      <w:start w:val="1"/>
      <w:numFmt w:val="bullet"/>
      <w:lvlText w:val=""/>
      <w:lvlJc w:val="left"/>
      <w:pPr>
        <w:ind w:left="2160" w:hanging="360"/>
      </w:pPr>
      <w:rPr>
        <w:rFonts w:ascii="Wingdings" w:hAnsi="Wingdings" w:hint="default"/>
      </w:rPr>
    </w:lvl>
    <w:lvl w:ilvl="3" w:tplc="AC6AEA4A">
      <w:start w:val="1"/>
      <w:numFmt w:val="bullet"/>
      <w:lvlText w:val=""/>
      <w:lvlJc w:val="left"/>
      <w:pPr>
        <w:ind w:left="2880" w:hanging="360"/>
      </w:pPr>
      <w:rPr>
        <w:rFonts w:ascii="Symbol" w:hAnsi="Symbol" w:hint="default"/>
      </w:rPr>
    </w:lvl>
    <w:lvl w:ilvl="4" w:tplc="AACCC81A">
      <w:start w:val="1"/>
      <w:numFmt w:val="bullet"/>
      <w:lvlText w:val="o"/>
      <w:lvlJc w:val="left"/>
      <w:pPr>
        <w:ind w:left="3600" w:hanging="360"/>
      </w:pPr>
      <w:rPr>
        <w:rFonts w:ascii="Courier New" w:hAnsi="Courier New" w:hint="default"/>
      </w:rPr>
    </w:lvl>
    <w:lvl w:ilvl="5" w:tplc="1F80B7AA">
      <w:start w:val="1"/>
      <w:numFmt w:val="bullet"/>
      <w:lvlText w:val=""/>
      <w:lvlJc w:val="left"/>
      <w:pPr>
        <w:ind w:left="4320" w:hanging="360"/>
      </w:pPr>
      <w:rPr>
        <w:rFonts w:ascii="Wingdings" w:hAnsi="Wingdings" w:hint="default"/>
      </w:rPr>
    </w:lvl>
    <w:lvl w:ilvl="6" w:tplc="70CA8332">
      <w:start w:val="1"/>
      <w:numFmt w:val="bullet"/>
      <w:lvlText w:val=""/>
      <w:lvlJc w:val="left"/>
      <w:pPr>
        <w:ind w:left="5040" w:hanging="360"/>
      </w:pPr>
      <w:rPr>
        <w:rFonts w:ascii="Symbol" w:hAnsi="Symbol" w:hint="default"/>
      </w:rPr>
    </w:lvl>
    <w:lvl w:ilvl="7" w:tplc="7BA4DA80">
      <w:start w:val="1"/>
      <w:numFmt w:val="bullet"/>
      <w:lvlText w:val="o"/>
      <w:lvlJc w:val="left"/>
      <w:pPr>
        <w:ind w:left="5760" w:hanging="360"/>
      </w:pPr>
      <w:rPr>
        <w:rFonts w:ascii="Courier New" w:hAnsi="Courier New" w:hint="default"/>
      </w:rPr>
    </w:lvl>
    <w:lvl w:ilvl="8" w:tplc="F0AEF7D0">
      <w:start w:val="1"/>
      <w:numFmt w:val="bullet"/>
      <w:lvlText w:val=""/>
      <w:lvlJc w:val="left"/>
      <w:pPr>
        <w:ind w:left="6480" w:hanging="360"/>
      </w:pPr>
      <w:rPr>
        <w:rFonts w:ascii="Wingdings" w:hAnsi="Wingdings" w:hint="default"/>
      </w:rPr>
    </w:lvl>
  </w:abstractNum>
  <w:abstractNum w:abstractNumId="37" w15:restartNumberingAfterBreak="0">
    <w:nsid w:val="2A5384CA"/>
    <w:multiLevelType w:val="hybridMultilevel"/>
    <w:tmpl w:val="FFFFFFFF"/>
    <w:lvl w:ilvl="0" w:tplc="74E28CFA">
      <w:start w:val="1"/>
      <w:numFmt w:val="bullet"/>
      <w:lvlText w:val=""/>
      <w:lvlJc w:val="left"/>
      <w:pPr>
        <w:ind w:left="720" w:hanging="360"/>
      </w:pPr>
      <w:rPr>
        <w:rFonts w:ascii="Symbol" w:hAnsi="Symbol" w:hint="default"/>
      </w:rPr>
    </w:lvl>
    <w:lvl w:ilvl="1" w:tplc="EA3E1442">
      <w:start w:val="1"/>
      <w:numFmt w:val="bullet"/>
      <w:lvlText w:val="o"/>
      <w:lvlJc w:val="left"/>
      <w:pPr>
        <w:ind w:left="1440" w:hanging="360"/>
      </w:pPr>
      <w:rPr>
        <w:rFonts w:ascii="Courier New" w:hAnsi="Courier New" w:hint="default"/>
      </w:rPr>
    </w:lvl>
    <w:lvl w:ilvl="2" w:tplc="83840788">
      <w:start w:val="1"/>
      <w:numFmt w:val="bullet"/>
      <w:lvlText w:val=""/>
      <w:lvlJc w:val="left"/>
      <w:pPr>
        <w:ind w:left="2160" w:hanging="360"/>
      </w:pPr>
      <w:rPr>
        <w:rFonts w:ascii="Wingdings" w:hAnsi="Wingdings" w:hint="default"/>
      </w:rPr>
    </w:lvl>
    <w:lvl w:ilvl="3" w:tplc="4E16117C">
      <w:start w:val="1"/>
      <w:numFmt w:val="bullet"/>
      <w:lvlText w:val=""/>
      <w:lvlJc w:val="left"/>
      <w:pPr>
        <w:ind w:left="2880" w:hanging="360"/>
      </w:pPr>
      <w:rPr>
        <w:rFonts w:ascii="Symbol" w:hAnsi="Symbol" w:hint="default"/>
      </w:rPr>
    </w:lvl>
    <w:lvl w:ilvl="4" w:tplc="428EA9BC">
      <w:start w:val="1"/>
      <w:numFmt w:val="bullet"/>
      <w:lvlText w:val="o"/>
      <w:lvlJc w:val="left"/>
      <w:pPr>
        <w:ind w:left="3600" w:hanging="360"/>
      </w:pPr>
      <w:rPr>
        <w:rFonts w:ascii="Courier New" w:hAnsi="Courier New" w:hint="default"/>
      </w:rPr>
    </w:lvl>
    <w:lvl w:ilvl="5" w:tplc="1C5EA64E">
      <w:start w:val="1"/>
      <w:numFmt w:val="bullet"/>
      <w:lvlText w:val=""/>
      <w:lvlJc w:val="left"/>
      <w:pPr>
        <w:ind w:left="4320" w:hanging="360"/>
      </w:pPr>
      <w:rPr>
        <w:rFonts w:ascii="Wingdings" w:hAnsi="Wingdings" w:hint="default"/>
      </w:rPr>
    </w:lvl>
    <w:lvl w:ilvl="6" w:tplc="9FF86298">
      <w:start w:val="1"/>
      <w:numFmt w:val="bullet"/>
      <w:lvlText w:val=""/>
      <w:lvlJc w:val="left"/>
      <w:pPr>
        <w:ind w:left="5040" w:hanging="360"/>
      </w:pPr>
      <w:rPr>
        <w:rFonts w:ascii="Symbol" w:hAnsi="Symbol" w:hint="default"/>
      </w:rPr>
    </w:lvl>
    <w:lvl w:ilvl="7" w:tplc="EAB6EA60">
      <w:start w:val="1"/>
      <w:numFmt w:val="bullet"/>
      <w:lvlText w:val="o"/>
      <w:lvlJc w:val="left"/>
      <w:pPr>
        <w:ind w:left="5760" w:hanging="360"/>
      </w:pPr>
      <w:rPr>
        <w:rFonts w:ascii="Courier New" w:hAnsi="Courier New" w:hint="default"/>
      </w:rPr>
    </w:lvl>
    <w:lvl w:ilvl="8" w:tplc="F3A24F22">
      <w:start w:val="1"/>
      <w:numFmt w:val="bullet"/>
      <w:lvlText w:val=""/>
      <w:lvlJc w:val="left"/>
      <w:pPr>
        <w:ind w:left="6480" w:hanging="360"/>
      </w:pPr>
      <w:rPr>
        <w:rFonts w:ascii="Wingdings" w:hAnsi="Wingdings" w:hint="default"/>
      </w:rPr>
    </w:lvl>
  </w:abstractNum>
  <w:abstractNum w:abstractNumId="38" w15:restartNumberingAfterBreak="0">
    <w:nsid w:val="2EDC5896"/>
    <w:multiLevelType w:val="hybridMultilevel"/>
    <w:tmpl w:val="85802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FDC3C6A"/>
    <w:multiLevelType w:val="multilevel"/>
    <w:tmpl w:val="42529818"/>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269E90B"/>
    <w:multiLevelType w:val="hybridMultilevel"/>
    <w:tmpl w:val="FFFFFFFF"/>
    <w:lvl w:ilvl="0" w:tplc="9DF2B670">
      <w:start w:val="1"/>
      <w:numFmt w:val="decimal"/>
      <w:lvlText w:val="%1."/>
      <w:lvlJc w:val="left"/>
      <w:pPr>
        <w:ind w:left="720" w:hanging="360"/>
      </w:pPr>
    </w:lvl>
    <w:lvl w:ilvl="1" w:tplc="86ACE290">
      <w:start w:val="1"/>
      <w:numFmt w:val="lowerLetter"/>
      <w:lvlText w:val="%2."/>
      <w:lvlJc w:val="left"/>
      <w:pPr>
        <w:ind w:left="1440" w:hanging="360"/>
      </w:pPr>
    </w:lvl>
    <w:lvl w:ilvl="2" w:tplc="5C6630C2">
      <w:start w:val="1"/>
      <w:numFmt w:val="lowerRoman"/>
      <w:lvlText w:val="%3."/>
      <w:lvlJc w:val="right"/>
      <w:pPr>
        <w:ind w:left="2160" w:hanging="180"/>
      </w:pPr>
    </w:lvl>
    <w:lvl w:ilvl="3" w:tplc="E5882548">
      <w:start w:val="1"/>
      <w:numFmt w:val="decimal"/>
      <w:lvlText w:val="%4."/>
      <w:lvlJc w:val="left"/>
      <w:pPr>
        <w:ind w:left="2880" w:hanging="360"/>
      </w:pPr>
    </w:lvl>
    <w:lvl w:ilvl="4" w:tplc="864223DA">
      <w:start w:val="1"/>
      <w:numFmt w:val="lowerLetter"/>
      <w:lvlText w:val="%5."/>
      <w:lvlJc w:val="left"/>
      <w:pPr>
        <w:ind w:left="3600" w:hanging="360"/>
      </w:pPr>
    </w:lvl>
    <w:lvl w:ilvl="5" w:tplc="D76CE41E">
      <w:start w:val="1"/>
      <w:numFmt w:val="lowerRoman"/>
      <w:lvlText w:val="%6."/>
      <w:lvlJc w:val="right"/>
      <w:pPr>
        <w:ind w:left="4320" w:hanging="180"/>
      </w:pPr>
    </w:lvl>
    <w:lvl w:ilvl="6" w:tplc="15163084">
      <w:start w:val="1"/>
      <w:numFmt w:val="decimal"/>
      <w:lvlText w:val="%7."/>
      <w:lvlJc w:val="left"/>
      <w:pPr>
        <w:ind w:left="5040" w:hanging="360"/>
      </w:pPr>
    </w:lvl>
    <w:lvl w:ilvl="7" w:tplc="93941840">
      <w:start w:val="1"/>
      <w:numFmt w:val="lowerLetter"/>
      <w:lvlText w:val="%8."/>
      <w:lvlJc w:val="left"/>
      <w:pPr>
        <w:ind w:left="5760" w:hanging="360"/>
      </w:pPr>
    </w:lvl>
    <w:lvl w:ilvl="8" w:tplc="D5408158">
      <w:start w:val="1"/>
      <w:numFmt w:val="lowerRoman"/>
      <w:lvlText w:val="%9."/>
      <w:lvlJc w:val="right"/>
      <w:pPr>
        <w:ind w:left="6480" w:hanging="180"/>
      </w:pPr>
    </w:lvl>
  </w:abstractNum>
  <w:abstractNum w:abstractNumId="41" w15:restartNumberingAfterBreak="0">
    <w:nsid w:val="335E7B57"/>
    <w:multiLevelType w:val="hybridMultilevel"/>
    <w:tmpl w:val="FFFFFFFF"/>
    <w:lvl w:ilvl="0" w:tplc="8B3278AC">
      <w:start w:val="1"/>
      <w:numFmt w:val="bullet"/>
      <w:lvlText w:val=""/>
      <w:lvlJc w:val="left"/>
      <w:pPr>
        <w:ind w:left="720" w:hanging="360"/>
      </w:pPr>
      <w:rPr>
        <w:rFonts w:ascii="Symbol" w:hAnsi="Symbol" w:hint="default"/>
      </w:rPr>
    </w:lvl>
    <w:lvl w:ilvl="1" w:tplc="D2220A72">
      <w:start w:val="1"/>
      <w:numFmt w:val="bullet"/>
      <w:lvlText w:val="o"/>
      <w:lvlJc w:val="left"/>
      <w:pPr>
        <w:ind w:left="1440" w:hanging="360"/>
      </w:pPr>
      <w:rPr>
        <w:rFonts w:ascii="Courier New" w:hAnsi="Courier New" w:hint="default"/>
      </w:rPr>
    </w:lvl>
    <w:lvl w:ilvl="2" w:tplc="032E7526">
      <w:start w:val="1"/>
      <w:numFmt w:val="bullet"/>
      <w:lvlText w:val=""/>
      <w:lvlJc w:val="left"/>
      <w:pPr>
        <w:ind w:left="2160" w:hanging="360"/>
      </w:pPr>
      <w:rPr>
        <w:rFonts w:ascii="Wingdings" w:hAnsi="Wingdings" w:hint="default"/>
      </w:rPr>
    </w:lvl>
    <w:lvl w:ilvl="3" w:tplc="CBB6B116">
      <w:start w:val="1"/>
      <w:numFmt w:val="bullet"/>
      <w:lvlText w:val=""/>
      <w:lvlJc w:val="left"/>
      <w:pPr>
        <w:ind w:left="2880" w:hanging="360"/>
      </w:pPr>
      <w:rPr>
        <w:rFonts w:ascii="Symbol" w:hAnsi="Symbol" w:hint="default"/>
      </w:rPr>
    </w:lvl>
    <w:lvl w:ilvl="4" w:tplc="3FBC9ABE">
      <w:start w:val="1"/>
      <w:numFmt w:val="bullet"/>
      <w:lvlText w:val="o"/>
      <w:lvlJc w:val="left"/>
      <w:pPr>
        <w:ind w:left="3600" w:hanging="360"/>
      </w:pPr>
      <w:rPr>
        <w:rFonts w:ascii="Courier New" w:hAnsi="Courier New" w:hint="default"/>
      </w:rPr>
    </w:lvl>
    <w:lvl w:ilvl="5" w:tplc="17744408">
      <w:start w:val="1"/>
      <w:numFmt w:val="bullet"/>
      <w:lvlText w:val=""/>
      <w:lvlJc w:val="left"/>
      <w:pPr>
        <w:ind w:left="4320" w:hanging="360"/>
      </w:pPr>
      <w:rPr>
        <w:rFonts w:ascii="Wingdings" w:hAnsi="Wingdings" w:hint="default"/>
      </w:rPr>
    </w:lvl>
    <w:lvl w:ilvl="6" w:tplc="5FC6C27E">
      <w:start w:val="1"/>
      <w:numFmt w:val="bullet"/>
      <w:lvlText w:val=""/>
      <w:lvlJc w:val="left"/>
      <w:pPr>
        <w:ind w:left="5040" w:hanging="360"/>
      </w:pPr>
      <w:rPr>
        <w:rFonts w:ascii="Symbol" w:hAnsi="Symbol" w:hint="default"/>
      </w:rPr>
    </w:lvl>
    <w:lvl w:ilvl="7" w:tplc="D7404F8C">
      <w:start w:val="1"/>
      <w:numFmt w:val="bullet"/>
      <w:lvlText w:val="o"/>
      <w:lvlJc w:val="left"/>
      <w:pPr>
        <w:ind w:left="5760" w:hanging="360"/>
      </w:pPr>
      <w:rPr>
        <w:rFonts w:ascii="Courier New" w:hAnsi="Courier New" w:hint="default"/>
      </w:rPr>
    </w:lvl>
    <w:lvl w:ilvl="8" w:tplc="2D1261FC">
      <w:start w:val="1"/>
      <w:numFmt w:val="bullet"/>
      <w:lvlText w:val=""/>
      <w:lvlJc w:val="left"/>
      <w:pPr>
        <w:ind w:left="6480" w:hanging="360"/>
      </w:pPr>
      <w:rPr>
        <w:rFonts w:ascii="Wingdings" w:hAnsi="Wingdings" w:hint="default"/>
      </w:rPr>
    </w:lvl>
  </w:abstractNum>
  <w:abstractNum w:abstractNumId="42" w15:restartNumberingAfterBreak="0">
    <w:nsid w:val="381406C9"/>
    <w:multiLevelType w:val="hybridMultilevel"/>
    <w:tmpl w:val="F2428A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85E20A4"/>
    <w:multiLevelType w:val="multilevel"/>
    <w:tmpl w:val="DB004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8E43E5E"/>
    <w:multiLevelType w:val="multilevel"/>
    <w:tmpl w:val="A868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9384DBF"/>
    <w:multiLevelType w:val="multilevel"/>
    <w:tmpl w:val="D12AC598"/>
    <w:styleLink w:val="ArticleSection"/>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9F958DC"/>
    <w:multiLevelType w:val="hybridMultilevel"/>
    <w:tmpl w:val="FFFFFFFF"/>
    <w:lvl w:ilvl="0" w:tplc="B18E0896">
      <w:start w:val="1"/>
      <w:numFmt w:val="bullet"/>
      <w:lvlText w:val=""/>
      <w:lvlJc w:val="left"/>
      <w:pPr>
        <w:ind w:left="720" w:hanging="360"/>
      </w:pPr>
      <w:rPr>
        <w:rFonts w:ascii="Symbol" w:hAnsi="Symbol" w:hint="default"/>
      </w:rPr>
    </w:lvl>
    <w:lvl w:ilvl="1" w:tplc="C64A7FF2">
      <w:start w:val="1"/>
      <w:numFmt w:val="bullet"/>
      <w:lvlText w:val="o"/>
      <w:lvlJc w:val="left"/>
      <w:pPr>
        <w:ind w:left="1440" w:hanging="360"/>
      </w:pPr>
      <w:rPr>
        <w:rFonts w:ascii="Courier New" w:hAnsi="Courier New" w:hint="default"/>
      </w:rPr>
    </w:lvl>
    <w:lvl w:ilvl="2" w:tplc="FA3681F6">
      <w:start w:val="1"/>
      <w:numFmt w:val="bullet"/>
      <w:lvlText w:val=""/>
      <w:lvlJc w:val="left"/>
      <w:pPr>
        <w:ind w:left="2160" w:hanging="360"/>
      </w:pPr>
      <w:rPr>
        <w:rFonts w:ascii="Wingdings" w:hAnsi="Wingdings" w:hint="default"/>
      </w:rPr>
    </w:lvl>
    <w:lvl w:ilvl="3" w:tplc="50B82068">
      <w:start w:val="1"/>
      <w:numFmt w:val="bullet"/>
      <w:lvlText w:val=""/>
      <w:lvlJc w:val="left"/>
      <w:pPr>
        <w:ind w:left="2880" w:hanging="360"/>
      </w:pPr>
      <w:rPr>
        <w:rFonts w:ascii="Symbol" w:hAnsi="Symbol" w:hint="default"/>
      </w:rPr>
    </w:lvl>
    <w:lvl w:ilvl="4" w:tplc="A4E0BD68">
      <w:start w:val="1"/>
      <w:numFmt w:val="bullet"/>
      <w:lvlText w:val="o"/>
      <w:lvlJc w:val="left"/>
      <w:pPr>
        <w:ind w:left="3600" w:hanging="360"/>
      </w:pPr>
      <w:rPr>
        <w:rFonts w:ascii="Courier New" w:hAnsi="Courier New" w:hint="default"/>
      </w:rPr>
    </w:lvl>
    <w:lvl w:ilvl="5" w:tplc="C370187C">
      <w:start w:val="1"/>
      <w:numFmt w:val="bullet"/>
      <w:lvlText w:val=""/>
      <w:lvlJc w:val="left"/>
      <w:pPr>
        <w:ind w:left="4320" w:hanging="360"/>
      </w:pPr>
      <w:rPr>
        <w:rFonts w:ascii="Wingdings" w:hAnsi="Wingdings" w:hint="default"/>
      </w:rPr>
    </w:lvl>
    <w:lvl w:ilvl="6" w:tplc="BB1CD660">
      <w:start w:val="1"/>
      <w:numFmt w:val="bullet"/>
      <w:lvlText w:val=""/>
      <w:lvlJc w:val="left"/>
      <w:pPr>
        <w:ind w:left="5040" w:hanging="360"/>
      </w:pPr>
      <w:rPr>
        <w:rFonts w:ascii="Symbol" w:hAnsi="Symbol" w:hint="default"/>
      </w:rPr>
    </w:lvl>
    <w:lvl w:ilvl="7" w:tplc="D952BB86">
      <w:start w:val="1"/>
      <w:numFmt w:val="bullet"/>
      <w:lvlText w:val="o"/>
      <w:lvlJc w:val="left"/>
      <w:pPr>
        <w:ind w:left="5760" w:hanging="360"/>
      </w:pPr>
      <w:rPr>
        <w:rFonts w:ascii="Courier New" w:hAnsi="Courier New" w:hint="default"/>
      </w:rPr>
    </w:lvl>
    <w:lvl w:ilvl="8" w:tplc="77080A68">
      <w:start w:val="1"/>
      <w:numFmt w:val="bullet"/>
      <w:lvlText w:val=""/>
      <w:lvlJc w:val="left"/>
      <w:pPr>
        <w:ind w:left="6480" w:hanging="360"/>
      </w:pPr>
      <w:rPr>
        <w:rFonts w:ascii="Wingdings" w:hAnsi="Wingdings" w:hint="default"/>
      </w:rPr>
    </w:lvl>
  </w:abstractNum>
  <w:abstractNum w:abstractNumId="47" w15:restartNumberingAfterBreak="0">
    <w:nsid w:val="3B22FF1A"/>
    <w:multiLevelType w:val="hybridMultilevel"/>
    <w:tmpl w:val="FFFFFFFF"/>
    <w:lvl w:ilvl="0" w:tplc="D11E0A46">
      <w:start w:val="1"/>
      <w:numFmt w:val="decimal"/>
      <w:lvlText w:val="%1."/>
      <w:lvlJc w:val="left"/>
      <w:pPr>
        <w:ind w:left="720" w:hanging="360"/>
      </w:pPr>
    </w:lvl>
    <w:lvl w:ilvl="1" w:tplc="A09288DC">
      <w:start w:val="1"/>
      <w:numFmt w:val="lowerLetter"/>
      <w:lvlText w:val="%2."/>
      <w:lvlJc w:val="left"/>
      <w:pPr>
        <w:ind w:left="1440" w:hanging="360"/>
      </w:pPr>
    </w:lvl>
    <w:lvl w:ilvl="2" w:tplc="F3301692">
      <w:start w:val="1"/>
      <w:numFmt w:val="lowerRoman"/>
      <w:lvlText w:val="%3."/>
      <w:lvlJc w:val="right"/>
      <w:pPr>
        <w:ind w:left="2160" w:hanging="180"/>
      </w:pPr>
    </w:lvl>
    <w:lvl w:ilvl="3" w:tplc="20EA0D0E">
      <w:start w:val="1"/>
      <w:numFmt w:val="decimal"/>
      <w:lvlText w:val="%4."/>
      <w:lvlJc w:val="left"/>
      <w:pPr>
        <w:ind w:left="2880" w:hanging="360"/>
      </w:pPr>
    </w:lvl>
    <w:lvl w:ilvl="4" w:tplc="3CAE5A2E">
      <w:start w:val="1"/>
      <w:numFmt w:val="lowerLetter"/>
      <w:lvlText w:val="%5."/>
      <w:lvlJc w:val="left"/>
      <w:pPr>
        <w:ind w:left="3600" w:hanging="360"/>
      </w:pPr>
    </w:lvl>
    <w:lvl w:ilvl="5" w:tplc="0E1A7452">
      <w:start w:val="1"/>
      <w:numFmt w:val="lowerRoman"/>
      <w:lvlText w:val="%6."/>
      <w:lvlJc w:val="right"/>
      <w:pPr>
        <w:ind w:left="4320" w:hanging="180"/>
      </w:pPr>
    </w:lvl>
    <w:lvl w:ilvl="6" w:tplc="C7C8BAD8">
      <w:start w:val="1"/>
      <w:numFmt w:val="decimal"/>
      <w:lvlText w:val="%7."/>
      <w:lvlJc w:val="left"/>
      <w:pPr>
        <w:ind w:left="5040" w:hanging="360"/>
      </w:pPr>
    </w:lvl>
    <w:lvl w:ilvl="7" w:tplc="80CCA396">
      <w:start w:val="1"/>
      <w:numFmt w:val="lowerLetter"/>
      <w:lvlText w:val="%8."/>
      <w:lvlJc w:val="left"/>
      <w:pPr>
        <w:ind w:left="5760" w:hanging="360"/>
      </w:pPr>
    </w:lvl>
    <w:lvl w:ilvl="8" w:tplc="372C25A4">
      <w:start w:val="1"/>
      <w:numFmt w:val="lowerRoman"/>
      <w:lvlText w:val="%9."/>
      <w:lvlJc w:val="right"/>
      <w:pPr>
        <w:ind w:left="6480" w:hanging="180"/>
      </w:pPr>
    </w:lvl>
  </w:abstractNum>
  <w:abstractNum w:abstractNumId="48" w15:restartNumberingAfterBreak="0">
    <w:nsid w:val="3C1C3805"/>
    <w:multiLevelType w:val="hybridMultilevel"/>
    <w:tmpl w:val="3B7A0D72"/>
    <w:lvl w:ilvl="0" w:tplc="42784F40">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3CD33E2F"/>
    <w:multiLevelType w:val="hybridMultilevel"/>
    <w:tmpl w:val="FFFFFFFF"/>
    <w:lvl w:ilvl="0" w:tplc="42A898F8">
      <w:start w:val="1"/>
      <w:numFmt w:val="bullet"/>
      <w:lvlText w:val=""/>
      <w:lvlJc w:val="left"/>
      <w:pPr>
        <w:ind w:left="720" w:hanging="360"/>
      </w:pPr>
      <w:rPr>
        <w:rFonts w:ascii="Symbol" w:hAnsi="Symbol" w:hint="default"/>
      </w:rPr>
    </w:lvl>
    <w:lvl w:ilvl="1" w:tplc="11FE7B08">
      <w:start w:val="1"/>
      <w:numFmt w:val="bullet"/>
      <w:lvlText w:val="o"/>
      <w:lvlJc w:val="left"/>
      <w:pPr>
        <w:ind w:left="1440" w:hanging="360"/>
      </w:pPr>
      <w:rPr>
        <w:rFonts w:ascii="Courier New" w:hAnsi="Courier New" w:hint="default"/>
      </w:rPr>
    </w:lvl>
    <w:lvl w:ilvl="2" w:tplc="5EDC9A7C">
      <w:start w:val="1"/>
      <w:numFmt w:val="bullet"/>
      <w:lvlText w:val=""/>
      <w:lvlJc w:val="left"/>
      <w:pPr>
        <w:ind w:left="2160" w:hanging="360"/>
      </w:pPr>
      <w:rPr>
        <w:rFonts w:ascii="Wingdings" w:hAnsi="Wingdings" w:hint="default"/>
      </w:rPr>
    </w:lvl>
    <w:lvl w:ilvl="3" w:tplc="2E6656CA">
      <w:start w:val="1"/>
      <w:numFmt w:val="bullet"/>
      <w:lvlText w:val=""/>
      <w:lvlJc w:val="left"/>
      <w:pPr>
        <w:ind w:left="2880" w:hanging="360"/>
      </w:pPr>
      <w:rPr>
        <w:rFonts w:ascii="Symbol" w:hAnsi="Symbol" w:hint="default"/>
      </w:rPr>
    </w:lvl>
    <w:lvl w:ilvl="4" w:tplc="0C3220F0">
      <w:start w:val="1"/>
      <w:numFmt w:val="bullet"/>
      <w:lvlText w:val="o"/>
      <w:lvlJc w:val="left"/>
      <w:pPr>
        <w:ind w:left="3600" w:hanging="360"/>
      </w:pPr>
      <w:rPr>
        <w:rFonts w:ascii="Courier New" w:hAnsi="Courier New" w:hint="default"/>
      </w:rPr>
    </w:lvl>
    <w:lvl w:ilvl="5" w:tplc="239EE8E2">
      <w:start w:val="1"/>
      <w:numFmt w:val="bullet"/>
      <w:lvlText w:val=""/>
      <w:lvlJc w:val="left"/>
      <w:pPr>
        <w:ind w:left="4320" w:hanging="360"/>
      </w:pPr>
      <w:rPr>
        <w:rFonts w:ascii="Wingdings" w:hAnsi="Wingdings" w:hint="default"/>
      </w:rPr>
    </w:lvl>
    <w:lvl w:ilvl="6" w:tplc="C3DC8AE4">
      <w:start w:val="1"/>
      <w:numFmt w:val="bullet"/>
      <w:lvlText w:val=""/>
      <w:lvlJc w:val="left"/>
      <w:pPr>
        <w:ind w:left="5040" w:hanging="360"/>
      </w:pPr>
      <w:rPr>
        <w:rFonts w:ascii="Symbol" w:hAnsi="Symbol" w:hint="default"/>
      </w:rPr>
    </w:lvl>
    <w:lvl w:ilvl="7" w:tplc="B0A2EBE8">
      <w:start w:val="1"/>
      <w:numFmt w:val="bullet"/>
      <w:lvlText w:val="o"/>
      <w:lvlJc w:val="left"/>
      <w:pPr>
        <w:ind w:left="5760" w:hanging="360"/>
      </w:pPr>
      <w:rPr>
        <w:rFonts w:ascii="Courier New" w:hAnsi="Courier New" w:hint="default"/>
      </w:rPr>
    </w:lvl>
    <w:lvl w:ilvl="8" w:tplc="BDD2D83A">
      <w:start w:val="1"/>
      <w:numFmt w:val="bullet"/>
      <w:lvlText w:val=""/>
      <w:lvlJc w:val="left"/>
      <w:pPr>
        <w:ind w:left="6480" w:hanging="360"/>
      </w:pPr>
      <w:rPr>
        <w:rFonts w:ascii="Wingdings" w:hAnsi="Wingdings" w:hint="default"/>
      </w:rPr>
    </w:lvl>
  </w:abstractNum>
  <w:abstractNum w:abstractNumId="50" w15:restartNumberingAfterBreak="0">
    <w:nsid w:val="3D714736"/>
    <w:multiLevelType w:val="multilevel"/>
    <w:tmpl w:val="49361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EA7459B"/>
    <w:multiLevelType w:val="hybridMultilevel"/>
    <w:tmpl w:val="F470F45C"/>
    <w:lvl w:ilvl="0" w:tplc="1FAC625A">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52" w15:restartNumberingAfterBreak="0">
    <w:nsid w:val="4126E954"/>
    <w:multiLevelType w:val="hybridMultilevel"/>
    <w:tmpl w:val="FFFFFFFF"/>
    <w:lvl w:ilvl="0" w:tplc="5314B0EE">
      <w:start w:val="1"/>
      <w:numFmt w:val="bullet"/>
      <w:lvlText w:val=""/>
      <w:lvlJc w:val="left"/>
      <w:pPr>
        <w:ind w:left="720" w:hanging="360"/>
      </w:pPr>
      <w:rPr>
        <w:rFonts w:ascii="Symbol" w:hAnsi="Symbol" w:hint="default"/>
      </w:rPr>
    </w:lvl>
    <w:lvl w:ilvl="1" w:tplc="1F3CB3DE">
      <w:start w:val="1"/>
      <w:numFmt w:val="bullet"/>
      <w:lvlText w:val="o"/>
      <w:lvlJc w:val="left"/>
      <w:pPr>
        <w:ind w:left="1440" w:hanging="360"/>
      </w:pPr>
      <w:rPr>
        <w:rFonts w:ascii="Courier New" w:hAnsi="Courier New" w:hint="default"/>
      </w:rPr>
    </w:lvl>
    <w:lvl w:ilvl="2" w:tplc="B8DC7F48">
      <w:start w:val="1"/>
      <w:numFmt w:val="bullet"/>
      <w:lvlText w:val=""/>
      <w:lvlJc w:val="left"/>
      <w:pPr>
        <w:ind w:left="2160" w:hanging="360"/>
      </w:pPr>
      <w:rPr>
        <w:rFonts w:ascii="Wingdings" w:hAnsi="Wingdings" w:hint="default"/>
      </w:rPr>
    </w:lvl>
    <w:lvl w:ilvl="3" w:tplc="5A0AA792">
      <w:start w:val="1"/>
      <w:numFmt w:val="bullet"/>
      <w:lvlText w:val=""/>
      <w:lvlJc w:val="left"/>
      <w:pPr>
        <w:ind w:left="2880" w:hanging="360"/>
      </w:pPr>
      <w:rPr>
        <w:rFonts w:ascii="Symbol" w:hAnsi="Symbol" w:hint="default"/>
      </w:rPr>
    </w:lvl>
    <w:lvl w:ilvl="4" w:tplc="21DA1612">
      <w:start w:val="1"/>
      <w:numFmt w:val="bullet"/>
      <w:lvlText w:val="o"/>
      <w:lvlJc w:val="left"/>
      <w:pPr>
        <w:ind w:left="3600" w:hanging="360"/>
      </w:pPr>
      <w:rPr>
        <w:rFonts w:ascii="Courier New" w:hAnsi="Courier New" w:hint="default"/>
      </w:rPr>
    </w:lvl>
    <w:lvl w:ilvl="5" w:tplc="1B8AE66C">
      <w:start w:val="1"/>
      <w:numFmt w:val="bullet"/>
      <w:lvlText w:val=""/>
      <w:lvlJc w:val="left"/>
      <w:pPr>
        <w:ind w:left="4320" w:hanging="360"/>
      </w:pPr>
      <w:rPr>
        <w:rFonts w:ascii="Wingdings" w:hAnsi="Wingdings" w:hint="default"/>
      </w:rPr>
    </w:lvl>
    <w:lvl w:ilvl="6" w:tplc="3FD2E1A0">
      <w:start w:val="1"/>
      <w:numFmt w:val="bullet"/>
      <w:lvlText w:val=""/>
      <w:lvlJc w:val="left"/>
      <w:pPr>
        <w:ind w:left="5040" w:hanging="360"/>
      </w:pPr>
      <w:rPr>
        <w:rFonts w:ascii="Symbol" w:hAnsi="Symbol" w:hint="default"/>
      </w:rPr>
    </w:lvl>
    <w:lvl w:ilvl="7" w:tplc="52087600">
      <w:start w:val="1"/>
      <w:numFmt w:val="bullet"/>
      <w:lvlText w:val="o"/>
      <w:lvlJc w:val="left"/>
      <w:pPr>
        <w:ind w:left="5760" w:hanging="360"/>
      </w:pPr>
      <w:rPr>
        <w:rFonts w:ascii="Courier New" w:hAnsi="Courier New" w:hint="default"/>
      </w:rPr>
    </w:lvl>
    <w:lvl w:ilvl="8" w:tplc="4ADC5A86">
      <w:start w:val="1"/>
      <w:numFmt w:val="bullet"/>
      <w:lvlText w:val=""/>
      <w:lvlJc w:val="left"/>
      <w:pPr>
        <w:ind w:left="6480" w:hanging="360"/>
      </w:pPr>
      <w:rPr>
        <w:rFonts w:ascii="Wingdings" w:hAnsi="Wingdings" w:hint="default"/>
      </w:rPr>
    </w:lvl>
  </w:abstractNum>
  <w:abstractNum w:abstractNumId="53" w15:restartNumberingAfterBreak="0">
    <w:nsid w:val="4265682E"/>
    <w:multiLevelType w:val="multilevel"/>
    <w:tmpl w:val="6E74B694"/>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54" w15:restartNumberingAfterBreak="0">
    <w:nsid w:val="451C0F4D"/>
    <w:multiLevelType w:val="hybridMultilevel"/>
    <w:tmpl w:val="FFFFFFFF"/>
    <w:lvl w:ilvl="0" w:tplc="B9EC1202">
      <w:start w:val="1"/>
      <w:numFmt w:val="bullet"/>
      <w:lvlText w:val="·"/>
      <w:lvlJc w:val="left"/>
      <w:pPr>
        <w:ind w:left="720" w:hanging="360"/>
      </w:pPr>
      <w:rPr>
        <w:rFonts w:ascii="Symbol" w:hAnsi="Symbol" w:hint="default"/>
      </w:rPr>
    </w:lvl>
    <w:lvl w:ilvl="1" w:tplc="54746F0C">
      <w:start w:val="1"/>
      <w:numFmt w:val="bullet"/>
      <w:lvlText w:val="o"/>
      <w:lvlJc w:val="left"/>
      <w:pPr>
        <w:ind w:left="1440" w:hanging="360"/>
      </w:pPr>
      <w:rPr>
        <w:rFonts w:ascii="Courier New" w:hAnsi="Courier New" w:hint="default"/>
      </w:rPr>
    </w:lvl>
    <w:lvl w:ilvl="2" w:tplc="B184A876">
      <w:start w:val="1"/>
      <w:numFmt w:val="bullet"/>
      <w:lvlText w:val=""/>
      <w:lvlJc w:val="left"/>
      <w:pPr>
        <w:ind w:left="2160" w:hanging="360"/>
      </w:pPr>
      <w:rPr>
        <w:rFonts w:ascii="Wingdings" w:hAnsi="Wingdings" w:hint="default"/>
      </w:rPr>
    </w:lvl>
    <w:lvl w:ilvl="3" w:tplc="4B9E5AC8">
      <w:start w:val="1"/>
      <w:numFmt w:val="bullet"/>
      <w:lvlText w:val=""/>
      <w:lvlJc w:val="left"/>
      <w:pPr>
        <w:ind w:left="2880" w:hanging="360"/>
      </w:pPr>
      <w:rPr>
        <w:rFonts w:ascii="Symbol" w:hAnsi="Symbol" w:hint="default"/>
      </w:rPr>
    </w:lvl>
    <w:lvl w:ilvl="4" w:tplc="1D40644C">
      <w:start w:val="1"/>
      <w:numFmt w:val="bullet"/>
      <w:lvlText w:val="o"/>
      <w:lvlJc w:val="left"/>
      <w:pPr>
        <w:ind w:left="3600" w:hanging="360"/>
      </w:pPr>
      <w:rPr>
        <w:rFonts w:ascii="Courier New" w:hAnsi="Courier New" w:hint="default"/>
      </w:rPr>
    </w:lvl>
    <w:lvl w:ilvl="5" w:tplc="1752032E">
      <w:start w:val="1"/>
      <w:numFmt w:val="bullet"/>
      <w:lvlText w:val=""/>
      <w:lvlJc w:val="left"/>
      <w:pPr>
        <w:ind w:left="4320" w:hanging="360"/>
      </w:pPr>
      <w:rPr>
        <w:rFonts w:ascii="Wingdings" w:hAnsi="Wingdings" w:hint="default"/>
      </w:rPr>
    </w:lvl>
    <w:lvl w:ilvl="6" w:tplc="52D63176">
      <w:start w:val="1"/>
      <w:numFmt w:val="bullet"/>
      <w:lvlText w:val=""/>
      <w:lvlJc w:val="left"/>
      <w:pPr>
        <w:ind w:left="5040" w:hanging="360"/>
      </w:pPr>
      <w:rPr>
        <w:rFonts w:ascii="Symbol" w:hAnsi="Symbol" w:hint="default"/>
      </w:rPr>
    </w:lvl>
    <w:lvl w:ilvl="7" w:tplc="C4B61A52">
      <w:start w:val="1"/>
      <w:numFmt w:val="bullet"/>
      <w:lvlText w:val="o"/>
      <w:lvlJc w:val="left"/>
      <w:pPr>
        <w:ind w:left="5760" w:hanging="360"/>
      </w:pPr>
      <w:rPr>
        <w:rFonts w:ascii="Courier New" w:hAnsi="Courier New" w:hint="default"/>
      </w:rPr>
    </w:lvl>
    <w:lvl w:ilvl="8" w:tplc="2B7C9B0C">
      <w:start w:val="1"/>
      <w:numFmt w:val="bullet"/>
      <w:lvlText w:val=""/>
      <w:lvlJc w:val="left"/>
      <w:pPr>
        <w:ind w:left="6480" w:hanging="360"/>
      </w:pPr>
      <w:rPr>
        <w:rFonts w:ascii="Wingdings" w:hAnsi="Wingdings" w:hint="default"/>
      </w:rPr>
    </w:lvl>
  </w:abstractNum>
  <w:abstractNum w:abstractNumId="55" w15:restartNumberingAfterBreak="0">
    <w:nsid w:val="47157B17"/>
    <w:multiLevelType w:val="hybridMultilevel"/>
    <w:tmpl w:val="FFFFFFFF"/>
    <w:lvl w:ilvl="0" w:tplc="05503FBE">
      <w:start w:val="1"/>
      <w:numFmt w:val="bullet"/>
      <w:lvlText w:val=""/>
      <w:lvlJc w:val="left"/>
      <w:pPr>
        <w:ind w:left="720" w:hanging="360"/>
      </w:pPr>
      <w:rPr>
        <w:rFonts w:ascii="Symbol" w:hAnsi="Symbol" w:hint="default"/>
      </w:rPr>
    </w:lvl>
    <w:lvl w:ilvl="1" w:tplc="BA4CA9D0">
      <w:start w:val="1"/>
      <w:numFmt w:val="bullet"/>
      <w:lvlText w:val="o"/>
      <w:lvlJc w:val="left"/>
      <w:pPr>
        <w:ind w:left="1440" w:hanging="360"/>
      </w:pPr>
      <w:rPr>
        <w:rFonts w:ascii="Courier New" w:hAnsi="Courier New" w:hint="default"/>
      </w:rPr>
    </w:lvl>
    <w:lvl w:ilvl="2" w:tplc="2A3E027C">
      <w:start w:val="1"/>
      <w:numFmt w:val="bullet"/>
      <w:lvlText w:val=""/>
      <w:lvlJc w:val="left"/>
      <w:pPr>
        <w:ind w:left="2160" w:hanging="360"/>
      </w:pPr>
      <w:rPr>
        <w:rFonts w:ascii="Wingdings" w:hAnsi="Wingdings" w:hint="default"/>
      </w:rPr>
    </w:lvl>
    <w:lvl w:ilvl="3" w:tplc="864C852E">
      <w:start w:val="1"/>
      <w:numFmt w:val="bullet"/>
      <w:lvlText w:val=""/>
      <w:lvlJc w:val="left"/>
      <w:pPr>
        <w:ind w:left="2880" w:hanging="360"/>
      </w:pPr>
      <w:rPr>
        <w:rFonts w:ascii="Symbol" w:hAnsi="Symbol" w:hint="default"/>
      </w:rPr>
    </w:lvl>
    <w:lvl w:ilvl="4" w:tplc="9C6E9270">
      <w:start w:val="1"/>
      <w:numFmt w:val="bullet"/>
      <w:lvlText w:val="o"/>
      <w:lvlJc w:val="left"/>
      <w:pPr>
        <w:ind w:left="3600" w:hanging="360"/>
      </w:pPr>
      <w:rPr>
        <w:rFonts w:ascii="Courier New" w:hAnsi="Courier New" w:hint="default"/>
      </w:rPr>
    </w:lvl>
    <w:lvl w:ilvl="5" w:tplc="6DBAE01E">
      <w:start w:val="1"/>
      <w:numFmt w:val="bullet"/>
      <w:lvlText w:val=""/>
      <w:lvlJc w:val="left"/>
      <w:pPr>
        <w:ind w:left="4320" w:hanging="360"/>
      </w:pPr>
      <w:rPr>
        <w:rFonts w:ascii="Wingdings" w:hAnsi="Wingdings" w:hint="default"/>
      </w:rPr>
    </w:lvl>
    <w:lvl w:ilvl="6" w:tplc="6C881BF6">
      <w:start w:val="1"/>
      <w:numFmt w:val="bullet"/>
      <w:lvlText w:val=""/>
      <w:lvlJc w:val="left"/>
      <w:pPr>
        <w:ind w:left="5040" w:hanging="360"/>
      </w:pPr>
      <w:rPr>
        <w:rFonts w:ascii="Symbol" w:hAnsi="Symbol" w:hint="default"/>
      </w:rPr>
    </w:lvl>
    <w:lvl w:ilvl="7" w:tplc="F068558A">
      <w:start w:val="1"/>
      <w:numFmt w:val="bullet"/>
      <w:lvlText w:val="o"/>
      <w:lvlJc w:val="left"/>
      <w:pPr>
        <w:ind w:left="5760" w:hanging="360"/>
      </w:pPr>
      <w:rPr>
        <w:rFonts w:ascii="Courier New" w:hAnsi="Courier New" w:hint="default"/>
      </w:rPr>
    </w:lvl>
    <w:lvl w:ilvl="8" w:tplc="02409818">
      <w:start w:val="1"/>
      <w:numFmt w:val="bullet"/>
      <w:lvlText w:val=""/>
      <w:lvlJc w:val="left"/>
      <w:pPr>
        <w:ind w:left="6480" w:hanging="360"/>
      </w:pPr>
      <w:rPr>
        <w:rFonts w:ascii="Wingdings" w:hAnsi="Wingdings" w:hint="default"/>
      </w:rPr>
    </w:lvl>
  </w:abstractNum>
  <w:abstractNum w:abstractNumId="56" w15:restartNumberingAfterBreak="0">
    <w:nsid w:val="494D543D"/>
    <w:multiLevelType w:val="multilevel"/>
    <w:tmpl w:val="01AEB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AFA06AD"/>
    <w:multiLevelType w:val="hybridMultilevel"/>
    <w:tmpl w:val="FFFFFFFF"/>
    <w:lvl w:ilvl="0" w:tplc="8C1C852C">
      <w:start w:val="1"/>
      <w:numFmt w:val="bullet"/>
      <w:lvlText w:val=""/>
      <w:lvlJc w:val="left"/>
      <w:pPr>
        <w:ind w:left="720" w:hanging="360"/>
      </w:pPr>
      <w:rPr>
        <w:rFonts w:ascii="Symbol" w:hAnsi="Symbol" w:hint="default"/>
      </w:rPr>
    </w:lvl>
    <w:lvl w:ilvl="1" w:tplc="6ACC75AC">
      <w:start w:val="1"/>
      <w:numFmt w:val="bullet"/>
      <w:lvlText w:val="o"/>
      <w:lvlJc w:val="left"/>
      <w:pPr>
        <w:ind w:left="1440" w:hanging="360"/>
      </w:pPr>
      <w:rPr>
        <w:rFonts w:ascii="Courier New" w:hAnsi="Courier New" w:hint="default"/>
      </w:rPr>
    </w:lvl>
    <w:lvl w:ilvl="2" w:tplc="D500F1F6">
      <w:start w:val="1"/>
      <w:numFmt w:val="bullet"/>
      <w:lvlText w:val=""/>
      <w:lvlJc w:val="left"/>
      <w:pPr>
        <w:ind w:left="2160" w:hanging="360"/>
      </w:pPr>
      <w:rPr>
        <w:rFonts w:ascii="Wingdings" w:hAnsi="Wingdings" w:hint="default"/>
      </w:rPr>
    </w:lvl>
    <w:lvl w:ilvl="3" w:tplc="02D85446">
      <w:start w:val="1"/>
      <w:numFmt w:val="bullet"/>
      <w:lvlText w:val=""/>
      <w:lvlJc w:val="left"/>
      <w:pPr>
        <w:ind w:left="2880" w:hanging="360"/>
      </w:pPr>
      <w:rPr>
        <w:rFonts w:ascii="Symbol" w:hAnsi="Symbol" w:hint="default"/>
      </w:rPr>
    </w:lvl>
    <w:lvl w:ilvl="4" w:tplc="54768E36">
      <w:start w:val="1"/>
      <w:numFmt w:val="bullet"/>
      <w:lvlText w:val="o"/>
      <w:lvlJc w:val="left"/>
      <w:pPr>
        <w:ind w:left="3600" w:hanging="360"/>
      </w:pPr>
      <w:rPr>
        <w:rFonts w:ascii="Courier New" w:hAnsi="Courier New" w:hint="default"/>
      </w:rPr>
    </w:lvl>
    <w:lvl w:ilvl="5" w:tplc="108C1B9A">
      <w:start w:val="1"/>
      <w:numFmt w:val="bullet"/>
      <w:lvlText w:val=""/>
      <w:lvlJc w:val="left"/>
      <w:pPr>
        <w:ind w:left="4320" w:hanging="360"/>
      </w:pPr>
      <w:rPr>
        <w:rFonts w:ascii="Wingdings" w:hAnsi="Wingdings" w:hint="default"/>
      </w:rPr>
    </w:lvl>
    <w:lvl w:ilvl="6" w:tplc="279AC304">
      <w:start w:val="1"/>
      <w:numFmt w:val="bullet"/>
      <w:lvlText w:val=""/>
      <w:lvlJc w:val="left"/>
      <w:pPr>
        <w:ind w:left="5040" w:hanging="360"/>
      </w:pPr>
      <w:rPr>
        <w:rFonts w:ascii="Symbol" w:hAnsi="Symbol" w:hint="default"/>
      </w:rPr>
    </w:lvl>
    <w:lvl w:ilvl="7" w:tplc="E630853A">
      <w:start w:val="1"/>
      <w:numFmt w:val="bullet"/>
      <w:lvlText w:val="o"/>
      <w:lvlJc w:val="left"/>
      <w:pPr>
        <w:ind w:left="5760" w:hanging="360"/>
      </w:pPr>
      <w:rPr>
        <w:rFonts w:ascii="Courier New" w:hAnsi="Courier New" w:hint="default"/>
      </w:rPr>
    </w:lvl>
    <w:lvl w:ilvl="8" w:tplc="A376944A">
      <w:start w:val="1"/>
      <w:numFmt w:val="bullet"/>
      <w:lvlText w:val=""/>
      <w:lvlJc w:val="left"/>
      <w:pPr>
        <w:ind w:left="6480" w:hanging="360"/>
      </w:pPr>
      <w:rPr>
        <w:rFonts w:ascii="Wingdings" w:hAnsi="Wingdings" w:hint="default"/>
      </w:rPr>
    </w:lvl>
  </w:abstractNum>
  <w:abstractNum w:abstractNumId="58" w15:restartNumberingAfterBreak="0">
    <w:nsid w:val="4C6F798B"/>
    <w:multiLevelType w:val="hybridMultilevel"/>
    <w:tmpl w:val="1E4A4628"/>
    <w:styleLink w:val="11111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529864E1"/>
    <w:multiLevelType w:val="multilevel"/>
    <w:tmpl w:val="A0EAD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9136995"/>
    <w:multiLevelType w:val="multilevel"/>
    <w:tmpl w:val="88BC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9444BE6"/>
    <w:multiLevelType w:val="multilevel"/>
    <w:tmpl w:val="092ADFE4"/>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62" w15:restartNumberingAfterBreak="0">
    <w:nsid w:val="595133DC"/>
    <w:multiLevelType w:val="multilevel"/>
    <w:tmpl w:val="581CB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64" w15:restartNumberingAfterBreak="0">
    <w:nsid w:val="5A470DE1"/>
    <w:multiLevelType w:val="hybridMultilevel"/>
    <w:tmpl w:val="93721DC8"/>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5C2027FD"/>
    <w:multiLevelType w:val="hybridMultilevel"/>
    <w:tmpl w:val="27D0A8EA"/>
    <w:lvl w:ilvl="0" w:tplc="C2A85526">
      <w:start w:val="1"/>
      <w:numFmt w:val="bullet"/>
      <w:lvlText w:val=""/>
      <w:lvlJc w:val="left"/>
      <w:pPr>
        <w:ind w:left="720" w:hanging="360"/>
      </w:pPr>
      <w:rPr>
        <w:rFonts w:ascii="Symbol" w:hAnsi="Symbol" w:hint="default"/>
      </w:rPr>
    </w:lvl>
    <w:lvl w:ilvl="1" w:tplc="079A1EE0">
      <w:start w:val="1"/>
      <w:numFmt w:val="bullet"/>
      <w:lvlText w:val="o"/>
      <w:lvlJc w:val="left"/>
      <w:pPr>
        <w:ind w:left="1440" w:hanging="360"/>
      </w:pPr>
      <w:rPr>
        <w:rFonts w:ascii="Courier New" w:hAnsi="Courier New" w:hint="default"/>
      </w:rPr>
    </w:lvl>
    <w:lvl w:ilvl="2" w:tplc="F7786308">
      <w:start w:val="1"/>
      <w:numFmt w:val="bullet"/>
      <w:lvlText w:val=""/>
      <w:lvlJc w:val="left"/>
      <w:pPr>
        <w:ind w:left="2160" w:hanging="360"/>
      </w:pPr>
      <w:rPr>
        <w:rFonts w:ascii="Wingdings" w:hAnsi="Wingdings" w:hint="default"/>
      </w:rPr>
    </w:lvl>
    <w:lvl w:ilvl="3" w:tplc="A6E6648C">
      <w:start w:val="1"/>
      <w:numFmt w:val="bullet"/>
      <w:lvlText w:val=""/>
      <w:lvlJc w:val="left"/>
      <w:pPr>
        <w:ind w:left="2880" w:hanging="360"/>
      </w:pPr>
      <w:rPr>
        <w:rFonts w:ascii="Symbol" w:hAnsi="Symbol" w:hint="default"/>
      </w:rPr>
    </w:lvl>
    <w:lvl w:ilvl="4" w:tplc="D72C699A">
      <w:start w:val="1"/>
      <w:numFmt w:val="bullet"/>
      <w:lvlText w:val="o"/>
      <w:lvlJc w:val="left"/>
      <w:pPr>
        <w:ind w:left="3600" w:hanging="360"/>
      </w:pPr>
      <w:rPr>
        <w:rFonts w:ascii="Courier New" w:hAnsi="Courier New" w:hint="default"/>
      </w:rPr>
    </w:lvl>
    <w:lvl w:ilvl="5" w:tplc="D48A6194">
      <w:start w:val="1"/>
      <w:numFmt w:val="bullet"/>
      <w:lvlText w:val=""/>
      <w:lvlJc w:val="left"/>
      <w:pPr>
        <w:ind w:left="4320" w:hanging="360"/>
      </w:pPr>
      <w:rPr>
        <w:rFonts w:ascii="Wingdings" w:hAnsi="Wingdings" w:hint="default"/>
      </w:rPr>
    </w:lvl>
    <w:lvl w:ilvl="6" w:tplc="C58888B0">
      <w:start w:val="1"/>
      <w:numFmt w:val="bullet"/>
      <w:lvlText w:val=""/>
      <w:lvlJc w:val="left"/>
      <w:pPr>
        <w:ind w:left="5040" w:hanging="360"/>
      </w:pPr>
      <w:rPr>
        <w:rFonts w:ascii="Symbol" w:hAnsi="Symbol" w:hint="default"/>
      </w:rPr>
    </w:lvl>
    <w:lvl w:ilvl="7" w:tplc="52ACE1DC">
      <w:start w:val="1"/>
      <w:numFmt w:val="bullet"/>
      <w:lvlText w:val="o"/>
      <w:lvlJc w:val="left"/>
      <w:pPr>
        <w:ind w:left="5760" w:hanging="360"/>
      </w:pPr>
      <w:rPr>
        <w:rFonts w:ascii="Courier New" w:hAnsi="Courier New" w:hint="default"/>
      </w:rPr>
    </w:lvl>
    <w:lvl w:ilvl="8" w:tplc="747E979A">
      <w:start w:val="1"/>
      <w:numFmt w:val="bullet"/>
      <w:lvlText w:val=""/>
      <w:lvlJc w:val="left"/>
      <w:pPr>
        <w:ind w:left="6480" w:hanging="360"/>
      </w:pPr>
      <w:rPr>
        <w:rFonts w:ascii="Wingdings" w:hAnsi="Wingdings" w:hint="default"/>
      </w:rPr>
    </w:lvl>
  </w:abstractNum>
  <w:abstractNum w:abstractNumId="66" w15:restartNumberingAfterBreak="0">
    <w:nsid w:val="5CF91032"/>
    <w:multiLevelType w:val="hybridMultilevel"/>
    <w:tmpl w:val="EC6A2208"/>
    <w:lvl w:ilvl="0" w:tplc="BCA8F5C2">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5E245AF2"/>
    <w:multiLevelType w:val="hybridMultilevel"/>
    <w:tmpl w:val="FFFFFFFF"/>
    <w:lvl w:ilvl="0" w:tplc="F5D0F436">
      <w:start w:val="1"/>
      <w:numFmt w:val="bullet"/>
      <w:lvlText w:val="·"/>
      <w:lvlJc w:val="left"/>
      <w:pPr>
        <w:ind w:left="720" w:hanging="360"/>
      </w:pPr>
      <w:rPr>
        <w:rFonts w:ascii="Symbol" w:hAnsi="Symbol" w:hint="default"/>
      </w:rPr>
    </w:lvl>
    <w:lvl w:ilvl="1" w:tplc="7750B64E">
      <w:start w:val="1"/>
      <w:numFmt w:val="bullet"/>
      <w:lvlText w:val="o"/>
      <w:lvlJc w:val="left"/>
      <w:pPr>
        <w:ind w:left="1440" w:hanging="360"/>
      </w:pPr>
      <w:rPr>
        <w:rFonts w:ascii="Courier New" w:hAnsi="Courier New" w:hint="default"/>
      </w:rPr>
    </w:lvl>
    <w:lvl w:ilvl="2" w:tplc="4EE071AC">
      <w:start w:val="1"/>
      <w:numFmt w:val="bullet"/>
      <w:lvlText w:val=""/>
      <w:lvlJc w:val="left"/>
      <w:pPr>
        <w:ind w:left="2160" w:hanging="360"/>
      </w:pPr>
      <w:rPr>
        <w:rFonts w:ascii="Wingdings" w:hAnsi="Wingdings" w:hint="default"/>
      </w:rPr>
    </w:lvl>
    <w:lvl w:ilvl="3" w:tplc="5AF00436">
      <w:start w:val="1"/>
      <w:numFmt w:val="bullet"/>
      <w:lvlText w:val=""/>
      <w:lvlJc w:val="left"/>
      <w:pPr>
        <w:ind w:left="2880" w:hanging="360"/>
      </w:pPr>
      <w:rPr>
        <w:rFonts w:ascii="Symbol" w:hAnsi="Symbol" w:hint="default"/>
      </w:rPr>
    </w:lvl>
    <w:lvl w:ilvl="4" w:tplc="DDF23042">
      <w:start w:val="1"/>
      <w:numFmt w:val="bullet"/>
      <w:lvlText w:val="o"/>
      <w:lvlJc w:val="left"/>
      <w:pPr>
        <w:ind w:left="3600" w:hanging="360"/>
      </w:pPr>
      <w:rPr>
        <w:rFonts w:ascii="Courier New" w:hAnsi="Courier New" w:hint="default"/>
      </w:rPr>
    </w:lvl>
    <w:lvl w:ilvl="5" w:tplc="9DF8AF36">
      <w:start w:val="1"/>
      <w:numFmt w:val="bullet"/>
      <w:lvlText w:val=""/>
      <w:lvlJc w:val="left"/>
      <w:pPr>
        <w:ind w:left="4320" w:hanging="360"/>
      </w:pPr>
      <w:rPr>
        <w:rFonts w:ascii="Wingdings" w:hAnsi="Wingdings" w:hint="default"/>
      </w:rPr>
    </w:lvl>
    <w:lvl w:ilvl="6" w:tplc="393AB912">
      <w:start w:val="1"/>
      <w:numFmt w:val="bullet"/>
      <w:lvlText w:val=""/>
      <w:lvlJc w:val="left"/>
      <w:pPr>
        <w:ind w:left="5040" w:hanging="360"/>
      </w:pPr>
      <w:rPr>
        <w:rFonts w:ascii="Symbol" w:hAnsi="Symbol" w:hint="default"/>
      </w:rPr>
    </w:lvl>
    <w:lvl w:ilvl="7" w:tplc="89F26CA4">
      <w:start w:val="1"/>
      <w:numFmt w:val="bullet"/>
      <w:lvlText w:val="o"/>
      <w:lvlJc w:val="left"/>
      <w:pPr>
        <w:ind w:left="5760" w:hanging="360"/>
      </w:pPr>
      <w:rPr>
        <w:rFonts w:ascii="Courier New" w:hAnsi="Courier New" w:hint="default"/>
      </w:rPr>
    </w:lvl>
    <w:lvl w:ilvl="8" w:tplc="5B180478">
      <w:start w:val="1"/>
      <w:numFmt w:val="bullet"/>
      <w:lvlText w:val=""/>
      <w:lvlJc w:val="left"/>
      <w:pPr>
        <w:ind w:left="6480" w:hanging="360"/>
      </w:pPr>
      <w:rPr>
        <w:rFonts w:ascii="Wingdings" w:hAnsi="Wingdings" w:hint="default"/>
      </w:rPr>
    </w:lvl>
  </w:abstractNum>
  <w:abstractNum w:abstractNumId="68" w15:restartNumberingAfterBreak="0">
    <w:nsid w:val="60D54D3E"/>
    <w:multiLevelType w:val="hybridMultilevel"/>
    <w:tmpl w:val="FFFFFFFF"/>
    <w:lvl w:ilvl="0" w:tplc="FE3CFFA2">
      <w:start w:val="1"/>
      <w:numFmt w:val="decimal"/>
      <w:lvlText w:val="%1."/>
      <w:lvlJc w:val="left"/>
      <w:pPr>
        <w:ind w:left="720" w:hanging="360"/>
      </w:pPr>
    </w:lvl>
    <w:lvl w:ilvl="1" w:tplc="90465022">
      <w:start w:val="1"/>
      <w:numFmt w:val="lowerLetter"/>
      <w:lvlText w:val="%2."/>
      <w:lvlJc w:val="left"/>
      <w:pPr>
        <w:ind w:left="1440" w:hanging="360"/>
      </w:pPr>
    </w:lvl>
    <w:lvl w:ilvl="2" w:tplc="BEBE2D00">
      <w:start w:val="1"/>
      <w:numFmt w:val="lowerRoman"/>
      <w:lvlText w:val="%3."/>
      <w:lvlJc w:val="right"/>
      <w:pPr>
        <w:ind w:left="2160" w:hanging="180"/>
      </w:pPr>
    </w:lvl>
    <w:lvl w:ilvl="3" w:tplc="E73C7B92">
      <w:start w:val="1"/>
      <w:numFmt w:val="decimal"/>
      <w:lvlText w:val="%4."/>
      <w:lvlJc w:val="left"/>
      <w:pPr>
        <w:ind w:left="2880" w:hanging="360"/>
      </w:pPr>
    </w:lvl>
    <w:lvl w:ilvl="4" w:tplc="3560F528">
      <w:start w:val="1"/>
      <w:numFmt w:val="lowerLetter"/>
      <w:lvlText w:val="%5."/>
      <w:lvlJc w:val="left"/>
      <w:pPr>
        <w:ind w:left="3600" w:hanging="360"/>
      </w:pPr>
    </w:lvl>
    <w:lvl w:ilvl="5" w:tplc="BE30B4BE">
      <w:start w:val="1"/>
      <w:numFmt w:val="lowerRoman"/>
      <w:lvlText w:val="%6."/>
      <w:lvlJc w:val="right"/>
      <w:pPr>
        <w:ind w:left="4320" w:hanging="180"/>
      </w:pPr>
    </w:lvl>
    <w:lvl w:ilvl="6" w:tplc="8D0A33B4">
      <w:start w:val="1"/>
      <w:numFmt w:val="decimal"/>
      <w:lvlText w:val="%7."/>
      <w:lvlJc w:val="left"/>
      <w:pPr>
        <w:ind w:left="5040" w:hanging="360"/>
      </w:pPr>
    </w:lvl>
    <w:lvl w:ilvl="7" w:tplc="CBECC948">
      <w:start w:val="1"/>
      <w:numFmt w:val="lowerLetter"/>
      <w:lvlText w:val="%8."/>
      <w:lvlJc w:val="left"/>
      <w:pPr>
        <w:ind w:left="5760" w:hanging="360"/>
      </w:pPr>
    </w:lvl>
    <w:lvl w:ilvl="8" w:tplc="853A91DC">
      <w:start w:val="1"/>
      <w:numFmt w:val="lowerRoman"/>
      <w:lvlText w:val="%9."/>
      <w:lvlJc w:val="right"/>
      <w:pPr>
        <w:ind w:left="6480" w:hanging="180"/>
      </w:pPr>
    </w:lvl>
  </w:abstractNum>
  <w:abstractNum w:abstractNumId="69" w15:restartNumberingAfterBreak="0">
    <w:nsid w:val="637A07A7"/>
    <w:multiLevelType w:val="multilevel"/>
    <w:tmpl w:val="68AAD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3C4F483"/>
    <w:multiLevelType w:val="hybridMultilevel"/>
    <w:tmpl w:val="FFFFFFFF"/>
    <w:lvl w:ilvl="0" w:tplc="43A8F428">
      <w:start w:val="1"/>
      <w:numFmt w:val="bullet"/>
      <w:lvlText w:val=""/>
      <w:lvlJc w:val="left"/>
      <w:pPr>
        <w:ind w:left="720" w:hanging="360"/>
      </w:pPr>
      <w:rPr>
        <w:rFonts w:ascii="Symbol" w:hAnsi="Symbol" w:hint="default"/>
      </w:rPr>
    </w:lvl>
    <w:lvl w:ilvl="1" w:tplc="3382700C">
      <w:start w:val="1"/>
      <w:numFmt w:val="bullet"/>
      <w:lvlText w:val="o"/>
      <w:lvlJc w:val="left"/>
      <w:pPr>
        <w:ind w:left="1440" w:hanging="360"/>
      </w:pPr>
      <w:rPr>
        <w:rFonts w:ascii="Courier New" w:hAnsi="Courier New" w:hint="default"/>
      </w:rPr>
    </w:lvl>
    <w:lvl w:ilvl="2" w:tplc="F24CDA42">
      <w:start w:val="1"/>
      <w:numFmt w:val="bullet"/>
      <w:lvlText w:val=""/>
      <w:lvlJc w:val="left"/>
      <w:pPr>
        <w:ind w:left="2160" w:hanging="360"/>
      </w:pPr>
      <w:rPr>
        <w:rFonts w:ascii="Wingdings" w:hAnsi="Wingdings" w:hint="default"/>
      </w:rPr>
    </w:lvl>
    <w:lvl w:ilvl="3" w:tplc="93AA5DF2">
      <w:start w:val="1"/>
      <w:numFmt w:val="bullet"/>
      <w:lvlText w:val=""/>
      <w:lvlJc w:val="left"/>
      <w:pPr>
        <w:ind w:left="2880" w:hanging="360"/>
      </w:pPr>
      <w:rPr>
        <w:rFonts w:ascii="Symbol" w:hAnsi="Symbol" w:hint="default"/>
      </w:rPr>
    </w:lvl>
    <w:lvl w:ilvl="4" w:tplc="7A2A2336">
      <w:start w:val="1"/>
      <w:numFmt w:val="bullet"/>
      <w:lvlText w:val="o"/>
      <w:lvlJc w:val="left"/>
      <w:pPr>
        <w:ind w:left="3600" w:hanging="360"/>
      </w:pPr>
      <w:rPr>
        <w:rFonts w:ascii="Courier New" w:hAnsi="Courier New" w:hint="default"/>
      </w:rPr>
    </w:lvl>
    <w:lvl w:ilvl="5" w:tplc="0F82355C">
      <w:start w:val="1"/>
      <w:numFmt w:val="bullet"/>
      <w:lvlText w:val=""/>
      <w:lvlJc w:val="left"/>
      <w:pPr>
        <w:ind w:left="4320" w:hanging="360"/>
      </w:pPr>
      <w:rPr>
        <w:rFonts w:ascii="Wingdings" w:hAnsi="Wingdings" w:hint="default"/>
      </w:rPr>
    </w:lvl>
    <w:lvl w:ilvl="6" w:tplc="674670B8">
      <w:start w:val="1"/>
      <w:numFmt w:val="bullet"/>
      <w:lvlText w:val=""/>
      <w:lvlJc w:val="left"/>
      <w:pPr>
        <w:ind w:left="5040" w:hanging="360"/>
      </w:pPr>
      <w:rPr>
        <w:rFonts w:ascii="Symbol" w:hAnsi="Symbol" w:hint="default"/>
      </w:rPr>
    </w:lvl>
    <w:lvl w:ilvl="7" w:tplc="9BA2213E">
      <w:start w:val="1"/>
      <w:numFmt w:val="bullet"/>
      <w:lvlText w:val="o"/>
      <w:lvlJc w:val="left"/>
      <w:pPr>
        <w:ind w:left="5760" w:hanging="360"/>
      </w:pPr>
      <w:rPr>
        <w:rFonts w:ascii="Courier New" w:hAnsi="Courier New" w:hint="default"/>
      </w:rPr>
    </w:lvl>
    <w:lvl w:ilvl="8" w:tplc="AF7CC1E6">
      <w:start w:val="1"/>
      <w:numFmt w:val="bullet"/>
      <w:lvlText w:val=""/>
      <w:lvlJc w:val="left"/>
      <w:pPr>
        <w:ind w:left="6480" w:hanging="360"/>
      </w:pPr>
      <w:rPr>
        <w:rFonts w:ascii="Wingdings" w:hAnsi="Wingdings" w:hint="default"/>
      </w:rPr>
    </w:lvl>
  </w:abstractNum>
  <w:abstractNum w:abstractNumId="71" w15:restartNumberingAfterBreak="0">
    <w:nsid w:val="66063429"/>
    <w:multiLevelType w:val="multilevel"/>
    <w:tmpl w:val="97A651F8"/>
    <w:lvl w:ilvl="0">
      <w:start w:val="1"/>
      <w:numFmt w:val="upperLetter"/>
      <w:pStyle w:val="AppendixHeading1base"/>
      <w:lvlText w:val="Appendix %1 "/>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ing2"/>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72" w15:restartNumberingAfterBreak="0">
    <w:nsid w:val="67736C11"/>
    <w:multiLevelType w:val="multilevel"/>
    <w:tmpl w:val="4CD4F920"/>
    <w:styleLink w:val="1ai"/>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7BF5349"/>
    <w:multiLevelType w:val="multilevel"/>
    <w:tmpl w:val="AC8E4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85C65CF"/>
    <w:multiLevelType w:val="multilevel"/>
    <w:tmpl w:val="EA705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B7C3D0A"/>
    <w:multiLevelType w:val="multilevel"/>
    <w:tmpl w:val="BCE05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CB5971B"/>
    <w:multiLevelType w:val="hybridMultilevel"/>
    <w:tmpl w:val="359E46A0"/>
    <w:lvl w:ilvl="0" w:tplc="D9E4A8DA">
      <w:start w:val="1"/>
      <w:numFmt w:val="bullet"/>
      <w:lvlText w:val=""/>
      <w:lvlJc w:val="left"/>
      <w:pPr>
        <w:ind w:left="720" w:hanging="360"/>
      </w:pPr>
      <w:rPr>
        <w:rFonts w:ascii="Symbol" w:hAnsi="Symbol" w:hint="default"/>
      </w:rPr>
    </w:lvl>
    <w:lvl w:ilvl="1" w:tplc="3DCAC6BE">
      <w:start w:val="1"/>
      <w:numFmt w:val="bullet"/>
      <w:lvlText w:val="o"/>
      <w:lvlJc w:val="left"/>
      <w:pPr>
        <w:ind w:left="1440" w:hanging="360"/>
      </w:pPr>
      <w:rPr>
        <w:rFonts w:ascii="Courier New" w:hAnsi="Courier New" w:hint="default"/>
      </w:rPr>
    </w:lvl>
    <w:lvl w:ilvl="2" w:tplc="F96427C2">
      <w:start w:val="1"/>
      <w:numFmt w:val="bullet"/>
      <w:lvlText w:val=""/>
      <w:lvlJc w:val="left"/>
      <w:pPr>
        <w:ind w:left="2160" w:hanging="360"/>
      </w:pPr>
      <w:rPr>
        <w:rFonts w:ascii="Wingdings" w:hAnsi="Wingdings" w:hint="default"/>
      </w:rPr>
    </w:lvl>
    <w:lvl w:ilvl="3" w:tplc="97BC8838">
      <w:start w:val="1"/>
      <w:numFmt w:val="bullet"/>
      <w:lvlText w:val=""/>
      <w:lvlJc w:val="left"/>
      <w:pPr>
        <w:ind w:left="2880" w:hanging="360"/>
      </w:pPr>
      <w:rPr>
        <w:rFonts w:ascii="Symbol" w:hAnsi="Symbol" w:hint="default"/>
      </w:rPr>
    </w:lvl>
    <w:lvl w:ilvl="4" w:tplc="774E8178">
      <w:start w:val="1"/>
      <w:numFmt w:val="bullet"/>
      <w:lvlText w:val="o"/>
      <w:lvlJc w:val="left"/>
      <w:pPr>
        <w:ind w:left="3600" w:hanging="360"/>
      </w:pPr>
      <w:rPr>
        <w:rFonts w:ascii="Courier New" w:hAnsi="Courier New" w:hint="default"/>
      </w:rPr>
    </w:lvl>
    <w:lvl w:ilvl="5" w:tplc="6FB4EBAC">
      <w:start w:val="1"/>
      <w:numFmt w:val="bullet"/>
      <w:lvlText w:val=""/>
      <w:lvlJc w:val="left"/>
      <w:pPr>
        <w:ind w:left="4320" w:hanging="360"/>
      </w:pPr>
      <w:rPr>
        <w:rFonts w:ascii="Wingdings" w:hAnsi="Wingdings" w:hint="default"/>
      </w:rPr>
    </w:lvl>
    <w:lvl w:ilvl="6" w:tplc="D37A95E0">
      <w:start w:val="1"/>
      <w:numFmt w:val="bullet"/>
      <w:lvlText w:val=""/>
      <w:lvlJc w:val="left"/>
      <w:pPr>
        <w:ind w:left="5040" w:hanging="360"/>
      </w:pPr>
      <w:rPr>
        <w:rFonts w:ascii="Symbol" w:hAnsi="Symbol" w:hint="default"/>
      </w:rPr>
    </w:lvl>
    <w:lvl w:ilvl="7" w:tplc="1EE479BA">
      <w:start w:val="1"/>
      <w:numFmt w:val="bullet"/>
      <w:lvlText w:val="o"/>
      <w:lvlJc w:val="left"/>
      <w:pPr>
        <w:ind w:left="5760" w:hanging="360"/>
      </w:pPr>
      <w:rPr>
        <w:rFonts w:ascii="Courier New" w:hAnsi="Courier New" w:hint="default"/>
      </w:rPr>
    </w:lvl>
    <w:lvl w:ilvl="8" w:tplc="471A265E">
      <w:start w:val="1"/>
      <w:numFmt w:val="bullet"/>
      <w:lvlText w:val=""/>
      <w:lvlJc w:val="left"/>
      <w:pPr>
        <w:ind w:left="6480" w:hanging="360"/>
      </w:pPr>
      <w:rPr>
        <w:rFonts w:ascii="Wingdings" w:hAnsi="Wingdings" w:hint="default"/>
      </w:rPr>
    </w:lvl>
  </w:abstractNum>
  <w:abstractNum w:abstractNumId="77" w15:restartNumberingAfterBreak="0">
    <w:nsid w:val="6EA4546A"/>
    <w:multiLevelType w:val="hybridMultilevel"/>
    <w:tmpl w:val="4FAE428A"/>
    <w:lvl w:ilvl="0" w:tplc="42784F40">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6FDA5FE4"/>
    <w:multiLevelType w:val="hybridMultilevel"/>
    <w:tmpl w:val="FF1430E4"/>
    <w:lvl w:ilvl="0" w:tplc="6AD2961C">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6FDFE535"/>
    <w:multiLevelType w:val="hybridMultilevel"/>
    <w:tmpl w:val="FFFFFFFF"/>
    <w:lvl w:ilvl="0" w:tplc="52AE54C4">
      <w:start w:val="1"/>
      <w:numFmt w:val="decimal"/>
      <w:lvlText w:val="%1."/>
      <w:lvlJc w:val="left"/>
      <w:pPr>
        <w:ind w:left="720" w:hanging="360"/>
      </w:pPr>
    </w:lvl>
    <w:lvl w:ilvl="1" w:tplc="5798CDDA">
      <w:start w:val="1"/>
      <w:numFmt w:val="lowerLetter"/>
      <w:lvlText w:val="%2."/>
      <w:lvlJc w:val="left"/>
      <w:pPr>
        <w:ind w:left="1440" w:hanging="360"/>
      </w:pPr>
    </w:lvl>
    <w:lvl w:ilvl="2" w:tplc="AAB09DCE">
      <w:start w:val="1"/>
      <w:numFmt w:val="lowerRoman"/>
      <w:lvlText w:val="%3."/>
      <w:lvlJc w:val="right"/>
      <w:pPr>
        <w:ind w:left="2160" w:hanging="180"/>
      </w:pPr>
    </w:lvl>
    <w:lvl w:ilvl="3" w:tplc="81CA86C6">
      <w:start w:val="1"/>
      <w:numFmt w:val="decimal"/>
      <w:lvlText w:val="%4."/>
      <w:lvlJc w:val="left"/>
      <w:pPr>
        <w:ind w:left="2880" w:hanging="360"/>
      </w:pPr>
    </w:lvl>
    <w:lvl w:ilvl="4" w:tplc="E65CEF38">
      <w:start w:val="1"/>
      <w:numFmt w:val="lowerLetter"/>
      <w:lvlText w:val="%5."/>
      <w:lvlJc w:val="left"/>
      <w:pPr>
        <w:ind w:left="3600" w:hanging="360"/>
      </w:pPr>
    </w:lvl>
    <w:lvl w:ilvl="5" w:tplc="DA22F154">
      <w:start w:val="1"/>
      <w:numFmt w:val="lowerRoman"/>
      <w:lvlText w:val="%6."/>
      <w:lvlJc w:val="right"/>
      <w:pPr>
        <w:ind w:left="4320" w:hanging="180"/>
      </w:pPr>
    </w:lvl>
    <w:lvl w:ilvl="6" w:tplc="A8682CE6">
      <w:start w:val="1"/>
      <w:numFmt w:val="decimal"/>
      <w:lvlText w:val="%7."/>
      <w:lvlJc w:val="left"/>
      <w:pPr>
        <w:ind w:left="5040" w:hanging="360"/>
      </w:pPr>
    </w:lvl>
    <w:lvl w:ilvl="7" w:tplc="F25EA848">
      <w:start w:val="1"/>
      <w:numFmt w:val="lowerLetter"/>
      <w:lvlText w:val="%8."/>
      <w:lvlJc w:val="left"/>
      <w:pPr>
        <w:ind w:left="5760" w:hanging="360"/>
      </w:pPr>
    </w:lvl>
    <w:lvl w:ilvl="8" w:tplc="6E9CD458">
      <w:start w:val="1"/>
      <w:numFmt w:val="lowerRoman"/>
      <w:lvlText w:val="%9."/>
      <w:lvlJc w:val="right"/>
      <w:pPr>
        <w:ind w:left="6480" w:hanging="180"/>
      </w:pPr>
    </w:lvl>
  </w:abstractNum>
  <w:abstractNum w:abstractNumId="80" w15:restartNumberingAfterBreak="0">
    <w:nsid w:val="743B1D33"/>
    <w:multiLevelType w:val="hybridMultilevel"/>
    <w:tmpl w:val="FFFFFFFF"/>
    <w:lvl w:ilvl="0" w:tplc="DDD82240">
      <w:start w:val="1"/>
      <w:numFmt w:val="decimal"/>
      <w:lvlText w:val="%1."/>
      <w:lvlJc w:val="left"/>
      <w:pPr>
        <w:ind w:left="720" w:hanging="360"/>
      </w:pPr>
    </w:lvl>
    <w:lvl w:ilvl="1" w:tplc="6F1E4CFA">
      <w:start w:val="1"/>
      <w:numFmt w:val="lowerLetter"/>
      <w:lvlText w:val="%2."/>
      <w:lvlJc w:val="left"/>
      <w:pPr>
        <w:ind w:left="1440" w:hanging="360"/>
      </w:pPr>
    </w:lvl>
    <w:lvl w:ilvl="2" w:tplc="9ADC9960">
      <w:start w:val="1"/>
      <w:numFmt w:val="lowerRoman"/>
      <w:lvlText w:val="%3."/>
      <w:lvlJc w:val="right"/>
      <w:pPr>
        <w:ind w:left="2160" w:hanging="180"/>
      </w:pPr>
    </w:lvl>
    <w:lvl w:ilvl="3" w:tplc="98EC014A">
      <w:start w:val="1"/>
      <w:numFmt w:val="decimal"/>
      <w:lvlText w:val="%4."/>
      <w:lvlJc w:val="left"/>
      <w:pPr>
        <w:ind w:left="2880" w:hanging="360"/>
      </w:pPr>
    </w:lvl>
    <w:lvl w:ilvl="4" w:tplc="E452AD4E">
      <w:start w:val="1"/>
      <w:numFmt w:val="lowerLetter"/>
      <w:lvlText w:val="%5."/>
      <w:lvlJc w:val="left"/>
      <w:pPr>
        <w:ind w:left="3600" w:hanging="360"/>
      </w:pPr>
    </w:lvl>
    <w:lvl w:ilvl="5" w:tplc="00389EFC">
      <w:start w:val="1"/>
      <w:numFmt w:val="lowerRoman"/>
      <w:lvlText w:val="%6."/>
      <w:lvlJc w:val="right"/>
      <w:pPr>
        <w:ind w:left="4320" w:hanging="180"/>
      </w:pPr>
    </w:lvl>
    <w:lvl w:ilvl="6" w:tplc="C3F4E4F0">
      <w:start w:val="1"/>
      <w:numFmt w:val="decimal"/>
      <w:lvlText w:val="%7."/>
      <w:lvlJc w:val="left"/>
      <w:pPr>
        <w:ind w:left="5040" w:hanging="360"/>
      </w:pPr>
    </w:lvl>
    <w:lvl w:ilvl="7" w:tplc="756656E2">
      <w:start w:val="1"/>
      <w:numFmt w:val="lowerLetter"/>
      <w:lvlText w:val="%8."/>
      <w:lvlJc w:val="left"/>
      <w:pPr>
        <w:ind w:left="5760" w:hanging="360"/>
      </w:pPr>
    </w:lvl>
    <w:lvl w:ilvl="8" w:tplc="ABF09E62">
      <w:start w:val="1"/>
      <w:numFmt w:val="lowerRoman"/>
      <w:lvlText w:val="%9."/>
      <w:lvlJc w:val="right"/>
      <w:pPr>
        <w:ind w:left="6480" w:hanging="180"/>
      </w:pPr>
    </w:lvl>
  </w:abstractNum>
  <w:abstractNum w:abstractNumId="81" w15:restartNumberingAfterBreak="0">
    <w:nsid w:val="755BC551"/>
    <w:multiLevelType w:val="hybridMultilevel"/>
    <w:tmpl w:val="7BE481AE"/>
    <w:lvl w:ilvl="0" w:tplc="93FA5946">
      <w:start w:val="1"/>
      <w:numFmt w:val="bullet"/>
      <w:lvlText w:val=""/>
      <w:lvlJc w:val="left"/>
      <w:pPr>
        <w:ind w:left="720" w:hanging="360"/>
      </w:pPr>
      <w:rPr>
        <w:rFonts w:ascii="Symbol" w:hAnsi="Symbol" w:hint="default"/>
      </w:rPr>
    </w:lvl>
    <w:lvl w:ilvl="1" w:tplc="5F549C52">
      <w:start w:val="1"/>
      <w:numFmt w:val="bullet"/>
      <w:lvlText w:val="o"/>
      <w:lvlJc w:val="left"/>
      <w:pPr>
        <w:ind w:left="1440" w:hanging="360"/>
      </w:pPr>
      <w:rPr>
        <w:rFonts w:ascii="Courier New" w:hAnsi="Courier New" w:hint="default"/>
      </w:rPr>
    </w:lvl>
    <w:lvl w:ilvl="2" w:tplc="61EC3682">
      <w:start w:val="1"/>
      <w:numFmt w:val="bullet"/>
      <w:lvlText w:val=""/>
      <w:lvlJc w:val="left"/>
      <w:pPr>
        <w:ind w:left="2160" w:hanging="360"/>
      </w:pPr>
      <w:rPr>
        <w:rFonts w:ascii="Wingdings" w:hAnsi="Wingdings" w:hint="default"/>
      </w:rPr>
    </w:lvl>
    <w:lvl w:ilvl="3" w:tplc="86560298">
      <w:start w:val="1"/>
      <w:numFmt w:val="bullet"/>
      <w:lvlText w:val=""/>
      <w:lvlJc w:val="left"/>
      <w:pPr>
        <w:ind w:left="2880" w:hanging="360"/>
      </w:pPr>
      <w:rPr>
        <w:rFonts w:ascii="Symbol" w:hAnsi="Symbol" w:hint="default"/>
      </w:rPr>
    </w:lvl>
    <w:lvl w:ilvl="4" w:tplc="EADCB6A6">
      <w:start w:val="1"/>
      <w:numFmt w:val="bullet"/>
      <w:lvlText w:val="o"/>
      <w:lvlJc w:val="left"/>
      <w:pPr>
        <w:ind w:left="3600" w:hanging="360"/>
      </w:pPr>
      <w:rPr>
        <w:rFonts w:ascii="Courier New" w:hAnsi="Courier New" w:hint="default"/>
      </w:rPr>
    </w:lvl>
    <w:lvl w:ilvl="5" w:tplc="865AD110">
      <w:start w:val="1"/>
      <w:numFmt w:val="bullet"/>
      <w:lvlText w:val=""/>
      <w:lvlJc w:val="left"/>
      <w:pPr>
        <w:ind w:left="4320" w:hanging="360"/>
      </w:pPr>
      <w:rPr>
        <w:rFonts w:ascii="Wingdings" w:hAnsi="Wingdings" w:hint="default"/>
      </w:rPr>
    </w:lvl>
    <w:lvl w:ilvl="6" w:tplc="F2321676">
      <w:start w:val="1"/>
      <w:numFmt w:val="bullet"/>
      <w:lvlText w:val=""/>
      <w:lvlJc w:val="left"/>
      <w:pPr>
        <w:ind w:left="5040" w:hanging="360"/>
      </w:pPr>
      <w:rPr>
        <w:rFonts w:ascii="Symbol" w:hAnsi="Symbol" w:hint="default"/>
      </w:rPr>
    </w:lvl>
    <w:lvl w:ilvl="7" w:tplc="015C657C">
      <w:start w:val="1"/>
      <w:numFmt w:val="bullet"/>
      <w:lvlText w:val="o"/>
      <w:lvlJc w:val="left"/>
      <w:pPr>
        <w:ind w:left="5760" w:hanging="360"/>
      </w:pPr>
      <w:rPr>
        <w:rFonts w:ascii="Courier New" w:hAnsi="Courier New" w:hint="default"/>
      </w:rPr>
    </w:lvl>
    <w:lvl w:ilvl="8" w:tplc="B8B486C2">
      <w:start w:val="1"/>
      <w:numFmt w:val="bullet"/>
      <w:lvlText w:val=""/>
      <w:lvlJc w:val="left"/>
      <w:pPr>
        <w:ind w:left="6480" w:hanging="360"/>
      </w:pPr>
      <w:rPr>
        <w:rFonts w:ascii="Wingdings" w:hAnsi="Wingdings" w:hint="default"/>
      </w:rPr>
    </w:lvl>
  </w:abstractNum>
  <w:abstractNum w:abstractNumId="82" w15:restartNumberingAfterBreak="0">
    <w:nsid w:val="75D2561D"/>
    <w:multiLevelType w:val="multilevel"/>
    <w:tmpl w:val="D458D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84" w15:restartNumberingAfterBreak="0">
    <w:nsid w:val="76F60A56"/>
    <w:multiLevelType w:val="multilevel"/>
    <w:tmpl w:val="7C9E2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8296ECF"/>
    <w:multiLevelType w:val="hybridMultilevel"/>
    <w:tmpl w:val="FFFFFFFF"/>
    <w:lvl w:ilvl="0" w:tplc="531827AC">
      <w:start w:val="1"/>
      <w:numFmt w:val="decimal"/>
      <w:lvlText w:val="%1."/>
      <w:lvlJc w:val="left"/>
      <w:pPr>
        <w:ind w:left="720" w:hanging="360"/>
      </w:pPr>
    </w:lvl>
    <w:lvl w:ilvl="1" w:tplc="5F3A9336">
      <w:start w:val="1"/>
      <w:numFmt w:val="lowerLetter"/>
      <w:lvlText w:val="%2."/>
      <w:lvlJc w:val="left"/>
      <w:pPr>
        <w:ind w:left="1440" w:hanging="360"/>
      </w:pPr>
    </w:lvl>
    <w:lvl w:ilvl="2" w:tplc="29C85320">
      <w:start w:val="1"/>
      <w:numFmt w:val="lowerRoman"/>
      <w:lvlText w:val="%3."/>
      <w:lvlJc w:val="right"/>
      <w:pPr>
        <w:ind w:left="2160" w:hanging="180"/>
      </w:pPr>
    </w:lvl>
    <w:lvl w:ilvl="3" w:tplc="75547B00">
      <w:start w:val="1"/>
      <w:numFmt w:val="decimal"/>
      <w:lvlText w:val="%4."/>
      <w:lvlJc w:val="left"/>
      <w:pPr>
        <w:ind w:left="2880" w:hanging="360"/>
      </w:pPr>
    </w:lvl>
    <w:lvl w:ilvl="4" w:tplc="382C47A2">
      <w:start w:val="1"/>
      <w:numFmt w:val="lowerLetter"/>
      <w:lvlText w:val="%5."/>
      <w:lvlJc w:val="left"/>
      <w:pPr>
        <w:ind w:left="3600" w:hanging="360"/>
      </w:pPr>
    </w:lvl>
    <w:lvl w:ilvl="5" w:tplc="92BE1984">
      <w:start w:val="1"/>
      <w:numFmt w:val="lowerRoman"/>
      <w:lvlText w:val="%6."/>
      <w:lvlJc w:val="right"/>
      <w:pPr>
        <w:ind w:left="4320" w:hanging="180"/>
      </w:pPr>
    </w:lvl>
    <w:lvl w:ilvl="6" w:tplc="5582F51C">
      <w:start w:val="1"/>
      <w:numFmt w:val="decimal"/>
      <w:lvlText w:val="%7."/>
      <w:lvlJc w:val="left"/>
      <w:pPr>
        <w:ind w:left="5040" w:hanging="360"/>
      </w:pPr>
    </w:lvl>
    <w:lvl w:ilvl="7" w:tplc="C54A4256">
      <w:start w:val="1"/>
      <w:numFmt w:val="lowerLetter"/>
      <w:lvlText w:val="%8."/>
      <w:lvlJc w:val="left"/>
      <w:pPr>
        <w:ind w:left="5760" w:hanging="360"/>
      </w:pPr>
    </w:lvl>
    <w:lvl w:ilvl="8" w:tplc="3672093A">
      <w:start w:val="1"/>
      <w:numFmt w:val="lowerRoman"/>
      <w:lvlText w:val="%9."/>
      <w:lvlJc w:val="right"/>
      <w:pPr>
        <w:ind w:left="6480" w:hanging="180"/>
      </w:pPr>
    </w:lvl>
  </w:abstractNum>
  <w:abstractNum w:abstractNumId="86" w15:restartNumberingAfterBreak="0">
    <w:nsid w:val="7A0C77CC"/>
    <w:multiLevelType w:val="multilevel"/>
    <w:tmpl w:val="5F26C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A6F4F5A"/>
    <w:multiLevelType w:val="multilevel"/>
    <w:tmpl w:val="0BF4E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AB9534D"/>
    <w:multiLevelType w:val="hybridMultilevel"/>
    <w:tmpl w:val="DC60F43C"/>
    <w:lvl w:ilvl="0" w:tplc="13D058B8">
      <w:start w:val="10"/>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7D305D7B"/>
    <w:multiLevelType w:val="multilevel"/>
    <w:tmpl w:val="0E9E0D46"/>
    <w:styleLink w:val="Bullets"/>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DB7C794"/>
    <w:multiLevelType w:val="hybridMultilevel"/>
    <w:tmpl w:val="9D0C687A"/>
    <w:lvl w:ilvl="0" w:tplc="A1D029FA">
      <w:start w:val="1"/>
      <w:numFmt w:val="decimal"/>
      <w:lvlText w:val="%1."/>
      <w:lvlJc w:val="left"/>
      <w:pPr>
        <w:ind w:left="720" w:hanging="360"/>
      </w:pPr>
    </w:lvl>
    <w:lvl w:ilvl="1" w:tplc="B664A2B6">
      <w:start w:val="1"/>
      <w:numFmt w:val="lowerLetter"/>
      <w:lvlText w:val="%2."/>
      <w:lvlJc w:val="left"/>
      <w:pPr>
        <w:ind w:left="1440" w:hanging="360"/>
      </w:pPr>
    </w:lvl>
    <w:lvl w:ilvl="2" w:tplc="94CCBDE0">
      <w:start w:val="1"/>
      <w:numFmt w:val="lowerRoman"/>
      <w:lvlText w:val="%3."/>
      <w:lvlJc w:val="right"/>
      <w:pPr>
        <w:ind w:left="2160" w:hanging="180"/>
      </w:pPr>
    </w:lvl>
    <w:lvl w:ilvl="3" w:tplc="BEF66B8E">
      <w:start w:val="1"/>
      <w:numFmt w:val="decimal"/>
      <w:lvlText w:val="%4."/>
      <w:lvlJc w:val="left"/>
      <w:pPr>
        <w:ind w:left="2880" w:hanging="360"/>
      </w:pPr>
    </w:lvl>
    <w:lvl w:ilvl="4" w:tplc="A30EDC44">
      <w:start w:val="1"/>
      <w:numFmt w:val="lowerLetter"/>
      <w:lvlText w:val="%5."/>
      <w:lvlJc w:val="left"/>
      <w:pPr>
        <w:ind w:left="3600" w:hanging="360"/>
      </w:pPr>
    </w:lvl>
    <w:lvl w:ilvl="5" w:tplc="96D2749C">
      <w:start w:val="1"/>
      <w:numFmt w:val="lowerRoman"/>
      <w:lvlText w:val="%6."/>
      <w:lvlJc w:val="right"/>
      <w:pPr>
        <w:ind w:left="4320" w:hanging="180"/>
      </w:pPr>
    </w:lvl>
    <w:lvl w:ilvl="6" w:tplc="DF149412">
      <w:start w:val="1"/>
      <w:numFmt w:val="decimal"/>
      <w:lvlText w:val="%7."/>
      <w:lvlJc w:val="left"/>
      <w:pPr>
        <w:ind w:left="5040" w:hanging="360"/>
      </w:pPr>
    </w:lvl>
    <w:lvl w:ilvl="7" w:tplc="F768F5FA">
      <w:start w:val="1"/>
      <w:numFmt w:val="lowerLetter"/>
      <w:lvlText w:val="%8."/>
      <w:lvlJc w:val="left"/>
      <w:pPr>
        <w:ind w:left="5760" w:hanging="360"/>
      </w:pPr>
    </w:lvl>
    <w:lvl w:ilvl="8" w:tplc="016E3208">
      <w:start w:val="1"/>
      <w:numFmt w:val="lowerRoman"/>
      <w:lvlText w:val="%9."/>
      <w:lvlJc w:val="right"/>
      <w:pPr>
        <w:ind w:left="6480" w:hanging="180"/>
      </w:pPr>
    </w:lvl>
  </w:abstractNum>
  <w:abstractNum w:abstractNumId="91" w15:restartNumberingAfterBreak="0">
    <w:nsid w:val="7DD3650D"/>
    <w:multiLevelType w:val="multilevel"/>
    <w:tmpl w:val="CCD47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4704007">
    <w:abstractNumId w:val="4"/>
  </w:num>
  <w:num w:numId="2" w16cid:durableId="1446146695">
    <w:abstractNumId w:val="3"/>
  </w:num>
  <w:num w:numId="3" w16cid:durableId="1494562523">
    <w:abstractNumId w:val="2"/>
  </w:num>
  <w:num w:numId="4" w16cid:durableId="1385905355">
    <w:abstractNumId w:val="1"/>
  </w:num>
  <w:num w:numId="5" w16cid:durableId="1512376094">
    <w:abstractNumId w:val="53"/>
  </w:num>
  <w:num w:numId="6" w16cid:durableId="1559433354">
    <w:abstractNumId w:val="28"/>
  </w:num>
  <w:num w:numId="7" w16cid:durableId="403534519">
    <w:abstractNumId w:val="27"/>
  </w:num>
  <w:num w:numId="8" w16cid:durableId="1669482974">
    <w:abstractNumId w:val="63"/>
  </w:num>
  <w:num w:numId="9" w16cid:durableId="1576738794">
    <w:abstractNumId w:val="0"/>
  </w:num>
  <w:num w:numId="10" w16cid:durableId="1923248760">
    <w:abstractNumId w:val="61"/>
  </w:num>
  <w:num w:numId="11" w16cid:durableId="978806328">
    <w:abstractNumId w:val="71"/>
  </w:num>
  <w:num w:numId="12" w16cid:durableId="1415935635">
    <w:abstractNumId w:val="83"/>
  </w:num>
  <w:num w:numId="13" w16cid:durableId="1667971689">
    <w:abstractNumId w:val="51"/>
  </w:num>
  <w:num w:numId="14" w16cid:durableId="1069419734">
    <w:abstractNumId w:val="89"/>
  </w:num>
  <w:num w:numId="15" w16cid:durableId="1607617782">
    <w:abstractNumId w:val="19"/>
  </w:num>
  <w:num w:numId="16" w16cid:durableId="1671832569">
    <w:abstractNumId w:val="23"/>
  </w:num>
  <w:num w:numId="17" w16cid:durableId="1498031406">
    <w:abstractNumId w:val="10"/>
  </w:num>
  <w:num w:numId="18" w16cid:durableId="272247648">
    <w:abstractNumId w:val="58"/>
  </w:num>
  <w:num w:numId="19" w16cid:durableId="1825390724">
    <w:abstractNumId w:val="72"/>
  </w:num>
  <w:num w:numId="20" w16cid:durableId="1988048556">
    <w:abstractNumId w:val="45"/>
  </w:num>
  <w:num w:numId="21" w16cid:durableId="1750468048">
    <w:abstractNumId w:val="38"/>
  </w:num>
  <w:num w:numId="22" w16cid:durableId="1564366982">
    <w:abstractNumId w:val="39"/>
  </w:num>
  <w:num w:numId="23" w16cid:durableId="1052315157">
    <w:abstractNumId w:val="6"/>
  </w:num>
  <w:num w:numId="24" w16cid:durableId="399643742">
    <w:abstractNumId w:val="59"/>
  </w:num>
  <w:num w:numId="25" w16cid:durableId="1258372271">
    <w:abstractNumId w:val="86"/>
  </w:num>
  <w:num w:numId="26" w16cid:durableId="397440592">
    <w:abstractNumId w:val="73"/>
  </w:num>
  <w:num w:numId="27" w16cid:durableId="718865155">
    <w:abstractNumId w:val="32"/>
  </w:num>
  <w:num w:numId="28" w16cid:durableId="230694481">
    <w:abstractNumId w:val="76"/>
  </w:num>
  <w:num w:numId="29" w16cid:durableId="776947218">
    <w:abstractNumId w:val="9"/>
  </w:num>
  <w:num w:numId="30" w16cid:durableId="797651438">
    <w:abstractNumId w:val="65"/>
  </w:num>
  <w:num w:numId="31" w16cid:durableId="1403063598">
    <w:abstractNumId w:val="81"/>
  </w:num>
  <w:num w:numId="32" w16cid:durableId="1278441439">
    <w:abstractNumId w:val="21"/>
  </w:num>
  <w:num w:numId="33" w16cid:durableId="80757538">
    <w:abstractNumId w:val="90"/>
  </w:num>
  <w:num w:numId="34" w16cid:durableId="1462578768">
    <w:abstractNumId w:val="87"/>
  </w:num>
  <w:num w:numId="35" w16cid:durableId="869294637">
    <w:abstractNumId w:val="7"/>
  </w:num>
  <w:num w:numId="36" w16cid:durableId="1365061579">
    <w:abstractNumId w:val="43"/>
  </w:num>
  <w:num w:numId="37" w16cid:durableId="1227302922">
    <w:abstractNumId w:val="44"/>
  </w:num>
  <w:num w:numId="38" w16cid:durableId="1271551580">
    <w:abstractNumId w:val="64"/>
  </w:num>
  <w:num w:numId="39" w16cid:durableId="554897786">
    <w:abstractNumId w:val="62"/>
  </w:num>
  <w:num w:numId="40" w16cid:durableId="568810210">
    <w:abstractNumId w:val="20"/>
  </w:num>
  <w:num w:numId="41" w16cid:durableId="170879025">
    <w:abstractNumId w:val="56"/>
  </w:num>
  <w:num w:numId="42" w16cid:durableId="1268541449">
    <w:abstractNumId w:val="74"/>
  </w:num>
  <w:num w:numId="43" w16cid:durableId="793254669">
    <w:abstractNumId w:val="69"/>
  </w:num>
  <w:num w:numId="44" w16cid:durableId="1357391811">
    <w:abstractNumId w:val="75"/>
  </w:num>
  <w:num w:numId="45" w16cid:durableId="1930845216">
    <w:abstractNumId w:val="33"/>
  </w:num>
  <w:num w:numId="46" w16cid:durableId="132144634">
    <w:abstractNumId w:val="91"/>
  </w:num>
  <w:num w:numId="47" w16cid:durableId="721947195">
    <w:abstractNumId w:val="11"/>
  </w:num>
  <w:num w:numId="48" w16cid:durableId="1053239170">
    <w:abstractNumId w:val="34"/>
  </w:num>
  <w:num w:numId="49" w16cid:durableId="356274846">
    <w:abstractNumId w:val="60"/>
  </w:num>
  <w:num w:numId="50" w16cid:durableId="330567963">
    <w:abstractNumId w:val="50"/>
  </w:num>
  <w:num w:numId="51" w16cid:durableId="34041840">
    <w:abstractNumId w:val="82"/>
  </w:num>
  <w:num w:numId="52" w16cid:durableId="244537912">
    <w:abstractNumId w:val="13"/>
  </w:num>
  <w:num w:numId="53" w16cid:durableId="1805393552">
    <w:abstractNumId w:val="31"/>
  </w:num>
  <w:num w:numId="54" w16cid:durableId="1948586868">
    <w:abstractNumId w:val="18"/>
  </w:num>
  <w:num w:numId="55" w16cid:durableId="1260794606">
    <w:abstractNumId w:val="16"/>
  </w:num>
  <w:num w:numId="56" w16cid:durableId="1586960616">
    <w:abstractNumId w:val="29"/>
  </w:num>
  <w:num w:numId="57" w16cid:durableId="1459690439">
    <w:abstractNumId w:val="57"/>
  </w:num>
  <w:num w:numId="58" w16cid:durableId="816921316">
    <w:abstractNumId w:val="70"/>
  </w:num>
  <w:num w:numId="59" w16cid:durableId="1188443455">
    <w:abstractNumId w:val="54"/>
  </w:num>
  <w:num w:numId="60" w16cid:durableId="1834644961">
    <w:abstractNumId w:val="68"/>
  </w:num>
  <w:num w:numId="61" w16cid:durableId="688020558">
    <w:abstractNumId w:val="26"/>
  </w:num>
  <w:num w:numId="62" w16cid:durableId="826360250">
    <w:abstractNumId w:val="5"/>
  </w:num>
  <w:num w:numId="63" w16cid:durableId="1774662755">
    <w:abstractNumId w:val="47"/>
  </w:num>
  <w:num w:numId="64" w16cid:durableId="1006976264">
    <w:abstractNumId w:val="79"/>
  </w:num>
  <w:num w:numId="65" w16cid:durableId="303195788">
    <w:abstractNumId w:val="67"/>
  </w:num>
  <w:num w:numId="66" w16cid:durableId="264773396">
    <w:abstractNumId w:val="36"/>
  </w:num>
  <w:num w:numId="67" w16cid:durableId="1337149247">
    <w:abstractNumId w:val="85"/>
  </w:num>
  <w:num w:numId="68" w16cid:durableId="1524636798">
    <w:abstractNumId w:val="30"/>
  </w:num>
  <w:num w:numId="69" w16cid:durableId="1262177340">
    <w:abstractNumId w:val="40"/>
  </w:num>
  <w:num w:numId="70" w16cid:durableId="327294836">
    <w:abstractNumId w:val="49"/>
  </w:num>
  <w:num w:numId="71" w16cid:durableId="1400712768">
    <w:abstractNumId w:val="80"/>
  </w:num>
  <w:num w:numId="72" w16cid:durableId="252475965">
    <w:abstractNumId w:val="41"/>
  </w:num>
  <w:num w:numId="73" w16cid:durableId="1117724183">
    <w:abstractNumId w:val="8"/>
  </w:num>
  <w:num w:numId="74" w16cid:durableId="1682658177">
    <w:abstractNumId w:val="52"/>
  </w:num>
  <w:num w:numId="75" w16cid:durableId="1644232782">
    <w:abstractNumId w:val="37"/>
  </w:num>
  <w:num w:numId="76" w16cid:durableId="843400235">
    <w:abstractNumId w:val="46"/>
  </w:num>
  <w:num w:numId="77" w16cid:durableId="944655233">
    <w:abstractNumId w:val="12"/>
  </w:num>
  <w:num w:numId="78" w16cid:durableId="1211190597">
    <w:abstractNumId w:val="17"/>
  </w:num>
  <w:num w:numId="79" w16cid:durableId="225727251">
    <w:abstractNumId w:val="55"/>
  </w:num>
  <w:num w:numId="80" w16cid:durableId="294260509">
    <w:abstractNumId w:val="15"/>
  </w:num>
  <w:num w:numId="81" w16cid:durableId="128673392">
    <w:abstractNumId w:val="22"/>
  </w:num>
  <w:num w:numId="82" w16cid:durableId="1847670758">
    <w:abstractNumId w:val="42"/>
  </w:num>
  <w:num w:numId="83" w16cid:durableId="700520332">
    <w:abstractNumId w:val="88"/>
  </w:num>
  <w:num w:numId="84" w16cid:durableId="1634216145">
    <w:abstractNumId w:val="24"/>
  </w:num>
  <w:num w:numId="85" w16cid:durableId="244801082">
    <w:abstractNumId w:val="84"/>
  </w:num>
  <w:num w:numId="86" w16cid:durableId="1803497370">
    <w:abstractNumId w:val="66"/>
  </w:num>
  <w:num w:numId="87" w16cid:durableId="581573262">
    <w:abstractNumId w:val="78"/>
  </w:num>
  <w:num w:numId="88" w16cid:durableId="228422667">
    <w:abstractNumId w:val="25"/>
  </w:num>
  <w:num w:numId="89" w16cid:durableId="1062144708">
    <w:abstractNumId w:val="35"/>
  </w:num>
  <w:num w:numId="90" w16cid:durableId="46414440">
    <w:abstractNumId w:val="14"/>
  </w:num>
  <w:num w:numId="91" w16cid:durableId="430978247">
    <w:abstractNumId w:val="77"/>
  </w:num>
  <w:num w:numId="92" w16cid:durableId="1359350508">
    <w:abstractNumId w:val="48"/>
  </w:num>
  <w:numIdMacAtCleanup w:val="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ma AZIZ">
    <w15:presenceInfo w15:providerId="AD" w15:userId="S::asma.aziz@ecu.edu.au::36f94617-0b1f-4a41-b826-efe61f9b08e2"/>
  </w15:person>
  <w15:person w15:author="Ahmad MOHSIN">
    <w15:presenceInfo w15:providerId="AD" w15:userId="S::a.mohsin@ecu.edu.au::145396bc-06d4-4cbb-8fe2-12fe536756d9"/>
  </w15:person>
  <w15:person w15:author="Helge JANICKE">
    <w15:presenceInfo w15:providerId="AD" w15:userId="S::h.janicke@ecu.edu.au::4d90f395-94a5-443e-9efa-ae406399df62"/>
  </w15:person>
  <w15:person w15:author="Ahmed IBRAHIM">
    <w15:presenceInfo w15:providerId="AD" w15:userId="S::ahmed.ibrahim@ecu.edu.au::f84cc837-11ec-4863-a74e-c955fbce37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revisionView w:markup="0"/>
  <w:defaultTabStop w:val="720"/>
  <w:evenAndOddHeaders/>
  <w:drawingGridHorizontalSpacing w:val="100"/>
  <w:displayHorizontalDrawingGridEvery w:val="2"/>
  <w:characterSpacingControl w:val="doNotCompress"/>
  <w:savePreviewPicture/>
  <w:hdrShapeDefaults>
    <o:shapedefaults v:ext="edit" spidmax="2050" style="mso-position-vertical-relative:page;v-text-anchor:bottom" fill="f" fillcolor="white" stroke="f">
      <v:fill color="white" on="f"/>
      <v:stroke on="f"/>
      <v:textbox inset="0,0,0,0"/>
      <o:colormru v:ext="edit" colors="#ddd,#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urChosen" w:val="Core"/>
    <w:docVar w:name="CoverChosen" w:val="Standard"/>
  </w:docVars>
  <w:rsids>
    <w:rsidRoot w:val="00635C73"/>
    <w:rsid w:val="00000A97"/>
    <w:rsid w:val="00000EEA"/>
    <w:rsid w:val="0000166C"/>
    <w:rsid w:val="00001864"/>
    <w:rsid w:val="0000266E"/>
    <w:rsid w:val="00002AA7"/>
    <w:rsid w:val="000031E1"/>
    <w:rsid w:val="000033C4"/>
    <w:rsid w:val="00003CFE"/>
    <w:rsid w:val="0000459C"/>
    <w:rsid w:val="00004724"/>
    <w:rsid w:val="000047AD"/>
    <w:rsid w:val="00005E6E"/>
    <w:rsid w:val="00007978"/>
    <w:rsid w:val="00011587"/>
    <w:rsid w:val="00011FC6"/>
    <w:rsid w:val="000126EB"/>
    <w:rsid w:val="00012957"/>
    <w:rsid w:val="00012DB0"/>
    <w:rsid w:val="00013B5A"/>
    <w:rsid w:val="00014676"/>
    <w:rsid w:val="00014E6B"/>
    <w:rsid w:val="00015C95"/>
    <w:rsid w:val="00015DE9"/>
    <w:rsid w:val="00015E82"/>
    <w:rsid w:val="0001605E"/>
    <w:rsid w:val="0001618B"/>
    <w:rsid w:val="00016F0F"/>
    <w:rsid w:val="00017089"/>
    <w:rsid w:val="0001747A"/>
    <w:rsid w:val="0001761E"/>
    <w:rsid w:val="0001775B"/>
    <w:rsid w:val="0001783C"/>
    <w:rsid w:val="00017AAB"/>
    <w:rsid w:val="000206DB"/>
    <w:rsid w:val="0002084F"/>
    <w:rsid w:val="00020880"/>
    <w:rsid w:val="00021CE9"/>
    <w:rsid w:val="0002238F"/>
    <w:rsid w:val="00022A95"/>
    <w:rsid w:val="00022CB6"/>
    <w:rsid w:val="00022CFC"/>
    <w:rsid w:val="00022E9F"/>
    <w:rsid w:val="00022EAA"/>
    <w:rsid w:val="0002323C"/>
    <w:rsid w:val="000237B6"/>
    <w:rsid w:val="00023A3C"/>
    <w:rsid w:val="00024E69"/>
    <w:rsid w:val="00024F6E"/>
    <w:rsid w:val="00025007"/>
    <w:rsid w:val="00025436"/>
    <w:rsid w:val="00025785"/>
    <w:rsid w:val="00025F27"/>
    <w:rsid w:val="00025FD5"/>
    <w:rsid w:val="00026474"/>
    <w:rsid w:val="0002686D"/>
    <w:rsid w:val="000302E8"/>
    <w:rsid w:val="0003114B"/>
    <w:rsid w:val="000312EA"/>
    <w:rsid w:val="000316D4"/>
    <w:rsid w:val="00031B4A"/>
    <w:rsid w:val="00031C5C"/>
    <w:rsid w:val="00031D93"/>
    <w:rsid w:val="0003217B"/>
    <w:rsid w:val="00032541"/>
    <w:rsid w:val="00032AED"/>
    <w:rsid w:val="00032C10"/>
    <w:rsid w:val="000331D4"/>
    <w:rsid w:val="000332A8"/>
    <w:rsid w:val="00035024"/>
    <w:rsid w:val="0003533F"/>
    <w:rsid w:val="00035882"/>
    <w:rsid w:val="00036014"/>
    <w:rsid w:val="000378BF"/>
    <w:rsid w:val="00040AD6"/>
    <w:rsid w:val="00041702"/>
    <w:rsid w:val="00041E94"/>
    <w:rsid w:val="000421BB"/>
    <w:rsid w:val="00042419"/>
    <w:rsid w:val="00042A1A"/>
    <w:rsid w:val="00042B59"/>
    <w:rsid w:val="00043876"/>
    <w:rsid w:val="00043880"/>
    <w:rsid w:val="000443E1"/>
    <w:rsid w:val="000444CD"/>
    <w:rsid w:val="000455D7"/>
    <w:rsid w:val="000456A1"/>
    <w:rsid w:val="00046533"/>
    <w:rsid w:val="000466FE"/>
    <w:rsid w:val="0004710C"/>
    <w:rsid w:val="00047C30"/>
    <w:rsid w:val="0005048B"/>
    <w:rsid w:val="00050A70"/>
    <w:rsid w:val="00051149"/>
    <w:rsid w:val="00051181"/>
    <w:rsid w:val="00051219"/>
    <w:rsid w:val="00051456"/>
    <w:rsid w:val="00051736"/>
    <w:rsid w:val="00051F8E"/>
    <w:rsid w:val="0005226F"/>
    <w:rsid w:val="00052424"/>
    <w:rsid w:val="00052972"/>
    <w:rsid w:val="00052DB2"/>
    <w:rsid w:val="00053379"/>
    <w:rsid w:val="0005371F"/>
    <w:rsid w:val="00053E83"/>
    <w:rsid w:val="00053EB1"/>
    <w:rsid w:val="0005411B"/>
    <w:rsid w:val="00054668"/>
    <w:rsid w:val="00054851"/>
    <w:rsid w:val="00054BB3"/>
    <w:rsid w:val="00054D9A"/>
    <w:rsid w:val="000552A9"/>
    <w:rsid w:val="000554DE"/>
    <w:rsid w:val="00055D6A"/>
    <w:rsid w:val="00056041"/>
    <w:rsid w:val="00056FD0"/>
    <w:rsid w:val="00057CC7"/>
    <w:rsid w:val="000601AE"/>
    <w:rsid w:val="0006027A"/>
    <w:rsid w:val="000618C0"/>
    <w:rsid w:val="00061F99"/>
    <w:rsid w:val="000624CE"/>
    <w:rsid w:val="00062624"/>
    <w:rsid w:val="00062A7C"/>
    <w:rsid w:val="00062B3A"/>
    <w:rsid w:val="00063A4E"/>
    <w:rsid w:val="00064148"/>
    <w:rsid w:val="000643FB"/>
    <w:rsid w:val="00064612"/>
    <w:rsid w:val="000650A4"/>
    <w:rsid w:val="000660E0"/>
    <w:rsid w:val="000667A4"/>
    <w:rsid w:val="00066948"/>
    <w:rsid w:val="00067CB3"/>
    <w:rsid w:val="000706BF"/>
    <w:rsid w:val="000708E3"/>
    <w:rsid w:val="00070DFB"/>
    <w:rsid w:val="00073272"/>
    <w:rsid w:val="00073FBE"/>
    <w:rsid w:val="00074334"/>
    <w:rsid w:val="00074DFE"/>
    <w:rsid w:val="00075774"/>
    <w:rsid w:val="00075B0B"/>
    <w:rsid w:val="00075E48"/>
    <w:rsid w:val="0007637C"/>
    <w:rsid w:val="0007644B"/>
    <w:rsid w:val="000775B3"/>
    <w:rsid w:val="00077C41"/>
    <w:rsid w:val="00077C7F"/>
    <w:rsid w:val="00077DB1"/>
    <w:rsid w:val="000800A5"/>
    <w:rsid w:val="00080A84"/>
    <w:rsid w:val="00080F9A"/>
    <w:rsid w:val="00081249"/>
    <w:rsid w:val="000815C2"/>
    <w:rsid w:val="0008267D"/>
    <w:rsid w:val="00082BA2"/>
    <w:rsid w:val="00083BAE"/>
    <w:rsid w:val="00083CBE"/>
    <w:rsid w:val="00083FBD"/>
    <w:rsid w:val="00085D24"/>
    <w:rsid w:val="00085DC0"/>
    <w:rsid w:val="00085E70"/>
    <w:rsid w:val="00086B7B"/>
    <w:rsid w:val="0008718D"/>
    <w:rsid w:val="0008722E"/>
    <w:rsid w:val="00087ADA"/>
    <w:rsid w:val="0009064D"/>
    <w:rsid w:val="000916BB"/>
    <w:rsid w:val="0009297D"/>
    <w:rsid w:val="000932F7"/>
    <w:rsid w:val="00093D34"/>
    <w:rsid w:val="00095400"/>
    <w:rsid w:val="00096345"/>
    <w:rsid w:val="000979AD"/>
    <w:rsid w:val="00097BEE"/>
    <w:rsid w:val="00097CA4"/>
    <w:rsid w:val="000A0056"/>
    <w:rsid w:val="000A02A9"/>
    <w:rsid w:val="000A08A2"/>
    <w:rsid w:val="000A0E40"/>
    <w:rsid w:val="000A1133"/>
    <w:rsid w:val="000A12A5"/>
    <w:rsid w:val="000A1A68"/>
    <w:rsid w:val="000A2038"/>
    <w:rsid w:val="000A315B"/>
    <w:rsid w:val="000A3950"/>
    <w:rsid w:val="000A3E18"/>
    <w:rsid w:val="000A445F"/>
    <w:rsid w:val="000A4771"/>
    <w:rsid w:val="000A4B9D"/>
    <w:rsid w:val="000A4D95"/>
    <w:rsid w:val="000A5D48"/>
    <w:rsid w:val="000A6F40"/>
    <w:rsid w:val="000A70D4"/>
    <w:rsid w:val="000A735B"/>
    <w:rsid w:val="000A7B95"/>
    <w:rsid w:val="000B08CC"/>
    <w:rsid w:val="000B0A3D"/>
    <w:rsid w:val="000B0BB9"/>
    <w:rsid w:val="000B1095"/>
    <w:rsid w:val="000B1470"/>
    <w:rsid w:val="000B24CB"/>
    <w:rsid w:val="000B2B77"/>
    <w:rsid w:val="000B2F73"/>
    <w:rsid w:val="000B3155"/>
    <w:rsid w:val="000B347B"/>
    <w:rsid w:val="000B3486"/>
    <w:rsid w:val="000B40F1"/>
    <w:rsid w:val="000B5B62"/>
    <w:rsid w:val="000B5BD7"/>
    <w:rsid w:val="000B6FB6"/>
    <w:rsid w:val="000B720A"/>
    <w:rsid w:val="000B78E7"/>
    <w:rsid w:val="000C0182"/>
    <w:rsid w:val="000C02C0"/>
    <w:rsid w:val="000C05F1"/>
    <w:rsid w:val="000C0940"/>
    <w:rsid w:val="000C0B72"/>
    <w:rsid w:val="000C0E41"/>
    <w:rsid w:val="000C0F92"/>
    <w:rsid w:val="000C0FB1"/>
    <w:rsid w:val="000C1379"/>
    <w:rsid w:val="000C270B"/>
    <w:rsid w:val="000C2AD4"/>
    <w:rsid w:val="000C4051"/>
    <w:rsid w:val="000C43A7"/>
    <w:rsid w:val="000C4F04"/>
    <w:rsid w:val="000C51FD"/>
    <w:rsid w:val="000C52B1"/>
    <w:rsid w:val="000C52B4"/>
    <w:rsid w:val="000C5523"/>
    <w:rsid w:val="000C59FB"/>
    <w:rsid w:val="000C5F00"/>
    <w:rsid w:val="000C61C0"/>
    <w:rsid w:val="000C784C"/>
    <w:rsid w:val="000C7D15"/>
    <w:rsid w:val="000D0298"/>
    <w:rsid w:val="000D0363"/>
    <w:rsid w:val="000D0700"/>
    <w:rsid w:val="000D12E2"/>
    <w:rsid w:val="000D12F6"/>
    <w:rsid w:val="000D19DE"/>
    <w:rsid w:val="000D436B"/>
    <w:rsid w:val="000D43A2"/>
    <w:rsid w:val="000D583B"/>
    <w:rsid w:val="000D6A0D"/>
    <w:rsid w:val="000D6C43"/>
    <w:rsid w:val="000D6D2F"/>
    <w:rsid w:val="000E0AE2"/>
    <w:rsid w:val="000E15AF"/>
    <w:rsid w:val="000E1880"/>
    <w:rsid w:val="000E1CF3"/>
    <w:rsid w:val="000E22EE"/>
    <w:rsid w:val="000E2422"/>
    <w:rsid w:val="000E2477"/>
    <w:rsid w:val="000E28B4"/>
    <w:rsid w:val="000E28C0"/>
    <w:rsid w:val="000E2C35"/>
    <w:rsid w:val="000E2D8D"/>
    <w:rsid w:val="000E52A5"/>
    <w:rsid w:val="000E599F"/>
    <w:rsid w:val="000E5A84"/>
    <w:rsid w:val="000E5B67"/>
    <w:rsid w:val="000E6193"/>
    <w:rsid w:val="000E7355"/>
    <w:rsid w:val="000E74B9"/>
    <w:rsid w:val="000E7690"/>
    <w:rsid w:val="000F000E"/>
    <w:rsid w:val="000F04F4"/>
    <w:rsid w:val="000F1B5D"/>
    <w:rsid w:val="000F1EC3"/>
    <w:rsid w:val="000F1FE4"/>
    <w:rsid w:val="000F262A"/>
    <w:rsid w:val="000F2C1C"/>
    <w:rsid w:val="000F2F97"/>
    <w:rsid w:val="000F4918"/>
    <w:rsid w:val="000F615F"/>
    <w:rsid w:val="000F64A4"/>
    <w:rsid w:val="000F6C20"/>
    <w:rsid w:val="000F6C34"/>
    <w:rsid w:val="000F6C61"/>
    <w:rsid w:val="000F720F"/>
    <w:rsid w:val="000F7ABC"/>
    <w:rsid w:val="000F7EFC"/>
    <w:rsid w:val="00100048"/>
    <w:rsid w:val="00100074"/>
    <w:rsid w:val="001004EA"/>
    <w:rsid w:val="00100AA3"/>
    <w:rsid w:val="00101979"/>
    <w:rsid w:val="00101A2A"/>
    <w:rsid w:val="00102536"/>
    <w:rsid w:val="00102DB3"/>
    <w:rsid w:val="00103E13"/>
    <w:rsid w:val="0010421C"/>
    <w:rsid w:val="00104BDB"/>
    <w:rsid w:val="00104FBD"/>
    <w:rsid w:val="001050AC"/>
    <w:rsid w:val="001067F0"/>
    <w:rsid w:val="001068F9"/>
    <w:rsid w:val="001100D4"/>
    <w:rsid w:val="0011017C"/>
    <w:rsid w:val="001104C4"/>
    <w:rsid w:val="00111B93"/>
    <w:rsid w:val="00113042"/>
    <w:rsid w:val="00113348"/>
    <w:rsid w:val="0011346D"/>
    <w:rsid w:val="001134E0"/>
    <w:rsid w:val="00113A9A"/>
    <w:rsid w:val="0011470B"/>
    <w:rsid w:val="00114B30"/>
    <w:rsid w:val="00114E13"/>
    <w:rsid w:val="00114ECA"/>
    <w:rsid w:val="00115B31"/>
    <w:rsid w:val="00116A3D"/>
    <w:rsid w:val="00116A7D"/>
    <w:rsid w:val="00116C3E"/>
    <w:rsid w:val="00117E59"/>
    <w:rsid w:val="00120AAC"/>
    <w:rsid w:val="00120C69"/>
    <w:rsid w:val="0012112D"/>
    <w:rsid w:val="0012201E"/>
    <w:rsid w:val="001221A9"/>
    <w:rsid w:val="00122D66"/>
    <w:rsid w:val="001230D5"/>
    <w:rsid w:val="001236A0"/>
    <w:rsid w:val="00123BCC"/>
    <w:rsid w:val="00123FD7"/>
    <w:rsid w:val="001249CC"/>
    <w:rsid w:val="00125D41"/>
    <w:rsid w:val="00125EFC"/>
    <w:rsid w:val="00126AA0"/>
    <w:rsid w:val="00127D56"/>
    <w:rsid w:val="0013089B"/>
    <w:rsid w:val="00130E2E"/>
    <w:rsid w:val="00132AA8"/>
    <w:rsid w:val="00132EF7"/>
    <w:rsid w:val="00132F76"/>
    <w:rsid w:val="00133457"/>
    <w:rsid w:val="0013368D"/>
    <w:rsid w:val="0013384F"/>
    <w:rsid w:val="00134A6E"/>
    <w:rsid w:val="00134FC3"/>
    <w:rsid w:val="00135694"/>
    <w:rsid w:val="00135901"/>
    <w:rsid w:val="00135907"/>
    <w:rsid w:val="00135946"/>
    <w:rsid w:val="00135AE6"/>
    <w:rsid w:val="001360B4"/>
    <w:rsid w:val="001362D8"/>
    <w:rsid w:val="00136891"/>
    <w:rsid w:val="00136B3E"/>
    <w:rsid w:val="00136B7F"/>
    <w:rsid w:val="001374DA"/>
    <w:rsid w:val="001375BE"/>
    <w:rsid w:val="001413D4"/>
    <w:rsid w:val="00141708"/>
    <w:rsid w:val="00141D5A"/>
    <w:rsid w:val="00143514"/>
    <w:rsid w:val="001439BD"/>
    <w:rsid w:val="00144061"/>
    <w:rsid w:val="00144150"/>
    <w:rsid w:val="00145ACB"/>
    <w:rsid w:val="00146447"/>
    <w:rsid w:val="00146E24"/>
    <w:rsid w:val="00150BCA"/>
    <w:rsid w:val="00150E77"/>
    <w:rsid w:val="0015177D"/>
    <w:rsid w:val="00152231"/>
    <w:rsid w:val="0015247D"/>
    <w:rsid w:val="001529AF"/>
    <w:rsid w:val="001533D3"/>
    <w:rsid w:val="001534D2"/>
    <w:rsid w:val="00154168"/>
    <w:rsid w:val="00154A4B"/>
    <w:rsid w:val="001550A0"/>
    <w:rsid w:val="0015572F"/>
    <w:rsid w:val="0015605C"/>
    <w:rsid w:val="0015606D"/>
    <w:rsid w:val="001561EF"/>
    <w:rsid w:val="001567A1"/>
    <w:rsid w:val="00157837"/>
    <w:rsid w:val="00157AAE"/>
    <w:rsid w:val="001609D2"/>
    <w:rsid w:val="00160D23"/>
    <w:rsid w:val="00161235"/>
    <w:rsid w:val="00161BB6"/>
    <w:rsid w:val="0016571A"/>
    <w:rsid w:val="00165FA4"/>
    <w:rsid w:val="001664F0"/>
    <w:rsid w:val="001667EF"/>
    <w:rsid w:val="00166D88"/>
    <w:rsid w:val="00166D94"/>
    <w:rsid w:val="00166DF1"/>
    <w:rsid w:val="0016733B"/>
    <w:rsid w:val="00167649"/>
    <w:rsid w:val="0016783B"/>
    <w:rsid w:val="001702BA"/>
    <w:rsid w:val="0017032C"/>
    <w:rsid w:val="00170441"/>
    <w:rsid w:val="0017080D"/>
    <w:rsid w:val="001708B3"/>
    <w:rsid w:val="001716DF"/>
    <w:rsid w:val="00172F2D"/>
    <w:rsid w:val="001734D2"/>
    <w:rsid w:val="00173B64"/>
    <w:rsid w:val="00173C4D"/>
    <w:rsid w:val="00173E56"/>
    <w:rsid w:val="00173E96"/>
    <w:rsid w:val="00174027"/>
    <w:rsid w:val="001741B0"/>
    <w:rsid w:val="00174A49"/>
    <w:rsid w:val="0017516A"/>
    <w:rsid w:val="00175388"/>
    <w:rsid w:val="00175DB2"/>
    <w:rsid w:val="00176838"/>
    <w:rsid w:val="00176EDC"/>
    <w:rsid w:val="00177270"/>
    <w:rsid w:val="001772D6"/>
    <w:rsid w:val="0017742D"/>
    <w:rsid w:val="0017758B"/>
    <w:rsid w:val="00180332"/>
    <w:rsid w:val="00180376"/>
    <w:rsid w:val="001806CB"/>
    <w:rsid w:val="00180885"/>
    <w:rsid w:val="00180F78"/>
    <w:rsid w:val="0018114E"/>
    <w:rsid w:val="00181636"/>
    <w:rsid w:val="00182446"/>
    <w:rsid w:val="00183DDD"/>
    <w:rsid w:val="0018491D"/>
    <w:rsid w:val="00185287"/>
    <w:rsid w:val="00187236"/>
    <w:rsid w:val="00187553"/>
    <w:rsid w:val="001877B1"/>
    <w:rsid w:val="00187849"/>
    <w:rsid w:val="001902A5"/>
    <w:rsid w:val="00190E0B"/>
    <w:rsid w:val="00190F51"/>
    <w:rsid w:val="001915CE"/>
    <w:rsid w:val="00192701"/>
    <w:rsid w:val="00192E59"/>
    <w:rsid w:val="00193162"/>
    <w:rsid w:val="00193454"/>
    <w:rsid w:val="00193583"/>
    <w:rsid w:val="00194139"/>
    <w:rsid w:val="001944AB"/>
    <w:rsid w:val="00194542"/>
    <w:rsid w:val="00195301"/>
    <w:rsid w:val="001958DB"/>
    <w:rsid w:val="00195923"/>
    <w:rsid w:val="00196146"/>
    <w:rsid w:val="001965B9"/>
    <w:rsid w:val="00197030"/>
    <w:rsid w:val="00197CE3"/>
    <w:rsid w:val="001A068B"/>
    <w:rsid w:val="001A0DE5"/>
    <w:rsid w:val="001A1020"/>
    <w:rsid w:val="001A1D2A"/>
    <w:rsid w:val="001A3ED0"/>
    <w:rsid w:val="001A3EE0"/>
    <w:rsid w:val="001A4636"/>
    <w:rsid w:val="001A5283"/>
    <w:rsid w:val="001A5B23"/>
    <w:rsid w:val="001A66A6"/>
    <w:rsid w:val="001A6ACF"/>
    <w:rsid w:val="001A6C5B"/>
    <w:rsid w:val="001A740D"/>
    <w:rsid w:val="001A7CFE"/>
    <w:rsid w:val="001B00A0"/>
    <w:rsid w:val="001B081D"/>
    <w:rsid w:val="001B1DB8"/>
    <w:rsid w:val="001B1E8D"/>
    <w:rsid w:val="001B23ED"/>
    <w:rsid w:val="001B2C43"/>
    <w:rsid w:val="001B334B"/>
    <w:rsid w:val="001B34DE"/>
    <w:rsid w:val="001B35D3"/>
    <w:rsid w:val="001B37A5"/>
    <w:rsid w:val="001B3CBB"/>
    <w:rsid w:val="001B4838"/>
    <w:rsid w:val="001B4A39"/>
    <w:rsid w:val="001B6CB5"/>
    <w:rsid w:val="001B7274"/>
    <w:rsid w:val="001B7527"/>
    <w:rsid w:val="001B79DA"/>
    <w:rsid w:val="001B7BF3"/>
    <w:rsid w:val="001C02C4"/>
    <w:rsid w:val="001C07F5"/>
    <w:rsid w:val="001C1A9F"/>
    <w:rsid w:val="001C2BA2"/>
    <w:rsid w:val="001C3137"/>
    <w:rsid w:val="001C540A"/>
    <w:rsid w:val="001C5CA5"/>
    <w:rsid w:val="001C5FF9"/>
    <w:rsid w:val="001C6161"/>
    <w:rsid w:val="001C6336"/>
    <w:rsid w:val="001C6381"/>
    <w:rsid w:val="001C663B"/>
    <w:rsid w:val="001C6A37"/>
    <w:rsid w:val="001C754A"/>
    <w:rsid w:val="001D06DF"/>
    <w:rsid w:val="001D094D"/>
    <w:rsid w:val="001D13A2"/>
    <w:rsid w:val="001D1412"/>
    <w:rsid w:val="001D1992"/>
    <w:rsid w:val="001D1EF8"/>
    <w:rsid w:val="001D2473"/>
    <w:rsid w:val="001D2504"/>
    <w:rsid w:val="001D36DC"/>
    <w:rsid w:val="001D4059"/>
    <w:rsid w:val="001D4587"/>
    <w:rsid w:val="001D4D59"/>
    <w:rsid w:val="001D542E"/>
    <w:rsid w:val="001D5E15"/>
    <w:rsid w:val="001D6CDD"/>
    <w:rsid w:val="001D713C"/>
    <w:rsid w:val="001D76AB"/>
    <w:rsid w:val="001D7E76"/>
    <w:rsid w:val="001E07D3"/>
    <w:rsid w:val="001E0C81"/>
    <w:rsid w:val="001E14CD"/>
    <w:rsid w:val="001E2004"/>
    <w:rsid w:val="001E2204"/>
    <w:rsid w:val="001E2CE8"/>
    <w:rsid w:val="001E2D97"/>
    <w:rsid w:val="001E30E8"/>
    <w:rsid w:val="001E4C59"/>
    <w:rsid w:val="001E4FC0"/>
    <w:rsid w:val="001E517E"/>
    <w:rsid w:val="001E531C"/>
    <w:rsid w:val="001E589B"/>
    <w:rsid w:val="001E5B4F"/>
    <w:rsid w:val="001E5BE3"/>
    <w:rsid w:val="001E5CAA"/>
    <w:rsid w:val="001E66D8"/>
    <w:rsid w:val="001E6C70"/>
    <w:rsid w:val="001F0068"/>
    <w:rsid w:val="001F0C54"/>
    <w:rsid w:val="001F177C"/>
    <w:rsid w:val="001F19EC"/>
    <w:rsid w:val="001F2B74"/>
    <w:rsid w:val="001F2EDB"/>
    <w:rsid w:val="001F359D"/>
    <w:rsid w:val="001F4D34"/>
    <w:rsid w:val="001F55FD"/>
    <w:rsid w:val="001F60B0"/>
    <w:rsid w:val="001F659A"/>
    <w:rsid w:val="001F6B6B"/>
    <w:rsid w:val="001F7B88"/>
    <w:rsid w:val="00200116"/>
    <w:rsid w:val="0020034E"/>
    <w:rsid w:val="002004E6"/>
    <w:rsid w:val="00201C06"/>
    <w:rsid w:val="00202510"/>
    <w:rsid w:val="00203442"/>
    <w:rsid w:val="002045B3"/>
    <w:rsid w:val="00207117"/>
    <w:rsid w:val="002074AB"/>
    <w:rsid w:val="002075C0"/>
    <w:rsid w:val="00207C63"/>
    <w:rsid w:val="00207E02"/>
    <w:rsid w:val="00207E1A"/>
    <w:rsid w:val="00207FAB"/>
    <w:rsid w:val="002101A4"/>
    <w:rsid w:val="0021022F"/>
    <w:rsid w:val="002107D2"/>
    <w:rsid w:val="002109F9"/>
    <w:rsid w:val="00210A35"/>
    <w:rsid w:val="002110B6"/>
    <w:rsid w:val="00212280"/>
    <w:rsid w:val="00212902"/>
    <w:rsid w:val="00213281"/>
    <w:rsid w:val="002137D2"/>
    <w:rsid w:val="002138C0"/>
    <w:rsid w:val="00214263"/>
    <w:rsid w:val="00214440"/>
    <w:rsid w:val="0021472C"/>
    <w:rsid w:val="00214909"/>
    <w:rsid w:val="00214A79"/>
    <w:rsid w:val="00215132"/>
    <w:rsid w:val="002151FC"/>
    <w:rsid w:val="002154A2"/>
    <w:rsid w:val="00215529"/>
    <w:rsid w:val="002156C8"/>
    <w:rsid w:val="002159FF"/>
    <w:rsid w:val="00216FBD"/>
    <w:rsid w:val="002171ED"/>
    <w:rsid w:val="00217870"/>
    <w:rsid w:val="00217A2A"/>
    <w:rsid w:val="002200D6"/>
    <w:rsid w:val="0022137D"/>
    <w:rsid w:val="002213BA"/>
    <w:rsid w:val="00221A8F"/>
    <w:rsid w:val="00221D5A"/>
    <w:rsid w:val="0022431B"/>
    <w:rsid w:val="002254A0"/>
    <w:rsid w:val="002256CA"/>
    <w:rsid w:val="002260F1"/>
    <w:rsid w:val="002261A6"/>
    <w:rsid w:val="00226226"/>
    <w:rsid w:val="0022663D"/>
    <w:rsid w:val="00226997"/>
    <w:rsid w:val="00226C01"/>
    <w:rsid w:val="00227090"/>
    <w:rsid w:val="002274F9"/>
    <w:rsid w:val="002277E4"/>
    <w:rsid w:val="00227949"/>
    <w:rsid w:val="0023091D"/>
    <w:rsid w:val="00231695"/>
    <w:rsid w:val="00232B56"/>
    <w:rsid w:val="00232CB6"/>
    <w:rsid w:val="00233328"/>
    <w:rsid w:val="002335F4"/>
    <w:rsid w:val="00234D40"/>
    <w:rsid w:val="0023501A"/>
    <w:rsid w:val="00235A7A"/>
    <w:rsid w:val="00235C5D"/>
    <w:rsid w:val="00235F72"/>
    <w:rsid w:val="00236FFC"/>
    <w:rsid w:val="002408D0"/>
    <w:rsid w:val="002418DA"/>
    <w:rsid w:val="00241920"/>
    <w:rsid w:val="00241BAC"/>
    <w:rsid w:val="002421F2"/>
    <w:rsid w:val="0024270D"/>
    <w:rsid w:val="002429EC"/>
    <w:rsid w:val="00242E89"/>
    <w:rsid w:val="00243B1C"/>
    <w:rsid w:val="002442D3"/>
    <w:rsid w:val="00244BE4"/>
    <w:rsid w:val="00244EAC"/>
    <w:rsid w:val="002460D4"/>
    <w:rsid w:val="00246CB7"/>
    <w:rsid w:val="0024704F"/>
    <w:rsid w:val="0025044A"/>
    <w:rsid w:val="00250546"/>
    <w:rsid w:val="00251361"/>
    <w:rsid w:val="00251720"/>
    <w:rsid w:val="0025177C"/>
    <w:rsid w:val="00251C12"/>
    <w:rsid w:val="00251DDE"/>
    <w:rsid w:val="002522D1"/>
    <w:rsid w:val="0025255B"/>
    <w:rsid w:val="00252895"/>
    <w:rsid w:val="00252B35"/>
    <w:rsid w:val="00252CBB"/>
    <w:rsid w:val="00252F8E"/>
    <w:rsid w:val="00253797"/>
    <w:rsid w:val="00253E17"/>
    <w:rsid w:val="002543B9"/>
    <w:rsid w:val="00254FEF"/>
    <w:rsid w:val="002558F6"/>
    <w:rsid w:val="002578CE"/>
    <w:rsid w:val="002579B2"/>
    <w:rsid w:val="002601C0"/>
    <w:rsid w:val="00260372"/>
    <w:rsid w:val="00260CC9"/>
    <w:rsid w:val="00260EDE"/>
    <w:rsid w:val="00262226"/>
    <w:rsid w:val="002633D1"/>
    <w:rsid w:val="002637A9"/>
    <w:rsid w:val="00263A58"/>
    <w:rsid w:val="0026448A"/>
    <w:rsid w:val="002644C6"/>
    <w:rsid w:val="0026479B"/>
    <w:rsid w:val="00264837"/>
    <w:rsid w:val="00264897"/>
    <w:rsid w:val="002659A2"/>
    <w:rsid w:val="00266011"/>
    <w:rsid w:val="00267364"/>
    <w:rsid w:val="0026739B"/>
    <w:rsid w:val="002677D0"/>
    <w:rsid w:val="00267BA8"/>
    <w:rsid w:val="00267D8D"/>
    <w:rsid w:val="0027131D"/>
    <w:rsid w:val="00272034"/>
    <w:rsid w:val="00272952"/>
    <w:rsid w:val="00272CE1"/>
    <w:rsid w:val="002734AC"/>
    <w:rsid w:val="00273805"/>
    <w:rsid w:val="00273A31"/>
    <w:rsid w:val="00274483"/>
    <w:rsid w:val="00274D82"/>
    <w:rsid w:val="00274DF1"/>
    <w:rsid w:val="00274FEA"/>
    <w:rsid w:val="00275356"/>
    <w:rsid w:val="00276158"/>
    <w:rsid w:val="00276978"/>
    <w:rsid w:val="00276DFD"/>
    <w:rsid w:val="00276E3E"/>
    <w:rsid w:val="00276FBA"/>
    <w:rsid w:val="00277240"/>
    <w:rsid w:val="00277610"/>
    <w:rsid w:val="00277A23"/>
    <w:rsid w:val="0028001B"/>
    <w:rsid w:val="0028084F"/>
    <w:rsid w:val="00280C68"/>
    <w:rsid w:val="00280E4B"/>
    <w:rsid w:val="002819ED"/>
    <w:rsid w:val="00282268"/>
    <w:rsid w:val="00282688"/>
    <w:rsid w:val="0028377A"/>
    <w:rsid w:val="00284163"/>
    <w:rsid w:val="00284181"/>
    <w:rsid w:val="00284AE5"/>
    <w:rsid w:val="002852DB"/>
    <w:rsid w:val="00285F27"/>
    <w:rsid w:val="002868AA"/>
    <w:rsid w:val="00287AC8"/>
    <w:rsid w:val="00287FBB"/>
    <w:rsid w:val="0029026E"/>
    <w:rsid w:val="002903A0"/>
    <w:rsid w:val="002925B5"/>
    <w:rsid w:val="0029308B"/>
    <w:rsid w:val="0029371B"/>
    <w:rsid w:val="00293EB0"/>
    <w:rsid w:val="00294A0F"/>
    <w:rsid w:val="00295199"/>
    <w:rsid w:val="002953C2"/>
    <w:rsid w:val="00295D01"/>
    <w:rsid w:val="0029603E"/>
    <w:rsid w:val="0029720F"/>
    <w:rsid w:val="002978B8"/>
    <w:rsid w:val="002A060A"/>
    <w:rsid w:val="002A0661"/>
    <w:rsid w:val="002A139E"/>
    <w:rsid w:val="002A225F"/>
    <w:rsid w:val="002A39CC"/>
    <w:rsid w:val="002A47DB"/>
    <w:rsid w:val="002A5374"/>
    <w:rsid w:val="002A54B0"/>
    <w:rsid w:val="002A5A18"/>
    <w:rsid w:val="002A5D8F"/>
    <w:rsid w:val="002A658F"/>
    <w:rsid w:val="002A6A69"/>
    <w:rsid w:val="002A7189"/>
    <w:rsid w:val="002A726E"/>
    <w:rsid w:val="002A77CF"/>
    <w:rsid w:val="002A7FEC"/>
    <w:rsid w:val="002B079D"/>
    <w:rsid w:val="002B0BA7"/>
    <w:rsid w:val="002B0D39"/>
    <w:rsid w:val="002B1AA0"/>
    <w:rsid w:val="002B2A12"/>
    <w:rsid w:val="002B35CB"/>
    <w:rsid w:val="002B3800"/>
    <w:rsid w:val="002B3E36"/>
    <w:rsid w:val="002B3E6E"/>
    <w:rsid w:val="002B4524"/>
    <w:rsid w:val="002B4EFB"/>
    <w:rsid w:val="002B5CA8"/>
    <w:rsid w:val="002B78AE"/>
    <w:rsid w:val="002C05FD"/>
    <w:rsid w:val="002C15D6"/>
    <w:rsid w:val="002C1D69"/>
    <w:rsid w:val="002C2147"/>
    <w:rsid w:val="002C2328"/>
    <w:rsid w:val="002C396B"/>
    <w:rsid w:val="002C43F3"/>
    <w:rsid w:val="002C44DD"/>
    <w:rsid w:val="002C517A"/>
    <w:rsid w:val="002C5384"/>
    <w:rsid w:val="002C54A6"/>
    <w:rsid w:val="002C59A5"/>
    <w:rsid w:val="002C5D27"/>
    <w:rsid w:val="002C71BF"/>
    <w:rsid w:val="002D0225"/>
    <w:rsid w:val="002D06C8"/>
    <w:rsid w:val="002D0C5D"/>
    <w:rsid w:val="002D122F"/>
    <w:rsid w:val="002D1968"/>
    <w:rsid w:val="002D19CD"/>
    <w:rsid w:val="002D2373"/>
    <w:rsid w:val="002D2836"/>
    <w:rsid w:val="002D2BF2"/>
    <w:rsid w:val="002D3120"/>
    <w:rsid w:val="002D345D"/>
    <w:rsid w:val="002D3491"/>
    <w:rsid w:val="002D39DE"/>
    <w:rsid w:val="002D4A5F"/>
    <w:rsid w:val="002D688F"/>
    <w:rsid w:val="002D7009"/>
    <w:rsid w:val="002E00BA"/>
    <w:rsid w:val="002E037F"/>
    <w:rsid w:val="002E0C1E"/>
    <w:rsid w:val="002E102D"/>
    <w:rsid w:val="002E11E5"/>
    <w:rsid w:val="002E150B"/>
    <w:rsid w:val="002E1750"/>
    <w:rsid w:val="002E19E2"/>
    <w:rsid w:val="002E19EB"/>
    <w:rsid w:val="002E1B2B"/>
    <w:rsid w:val="002E1FF9"/>
    <w:rsid w:val="002E22C9"/>
    <w:rsid w:val="002E22F0"/>
    <w:rsid w:val="002E2876"/>
    <w:rsid w:val="002E2C1F"/>
    <w:rsid w:val="002E3B33"/>
    <w:rsid w:val="002E3BB0"/>
    <w:rsid w:val="002E3BDF"/>
    <w:rsid w:val="002E43AC"/>
    <w:rsid w:val="002E6099"/>
    <w:rsid w:val="002E6619"/>
    <w:rsid w:val="002E7AB1"/>
    <w:rsid w:val="002E7DC9"/>
    <w:rsid w:val="002E7E77"/>
    <w:rsid w:val="002F0071"/>
    <w:rsid w:val="002F06CC"/>
    <w:rsid w:val="002F32DB"/>
    <w:rsid w:val="002F35BB"/>
    <w:rsid w:val="002F4098"/>
    <w:rsid w:val="002F40F1"/>
    <w:rsid w:val="002F4285"/>
    <w:rsid w:val="002F44B2"/>
    <w:rsid w:val="002F4D10"/>
    <w:rsid w:val="002F5091"/>
    <w:rsid w:val="002F53D9"/>
    <w:rsid w:val="002F5550"/>
    <w:rsid w:val="002F578E"/>
    <w:rsid w:val="002F5C01"/>
    <w:rsid w:val="002F6563"/>
    <w:rsid w:val="002F6753"/>
    <w:rsid w:val="002F6F02"/>
    <w:rsid w:val="002F786D"/>
    <w:rsid w:val="002F7A19"/>
    <w:rsid w:val="00300048"/>
    <w:rsid w:val="0030035A"/>
    <w:rsid w:val="00300696"/>
    <w:rsid w:val="00300F6F"/>
    <w:rsid w:val="0030144F"/>
    <w:rsid w:val="00301C5C"/>
    <w:rsid w:val="00302C91"/>
    <w:rsid w:val="003036A2"/>
    <w:rsid w:val="003048F6"/>
    <w:rsid w:val="003053C7"/>
    <w:rsid w:val="003059EB"/>
    <w:rsid w:val="003063F5"/>
    <w:rsid w:val="00306A4B"/>
    <w:rsid w:val="00306C17"/>
    <w:rsid w:val="003072F9"/>
    <w:rsid w:val="00307B2F"/>
    <w:rsid w:val="00307B3C"/>
    <w:rsid w:val="00310421"/>
    <w:rsid w:val="003106E3"/>
    <w:rsid w:val="00311AC6"/>
    <w:rsid w:val="00312C74"/>
    <w:rsid w:val="00313039"/>
    <w:rsid w:val="003130A6"/>
    <w:rsid w:val="0031387D"/>
    <w:rsid w:val="003139EB"/>
    <w:rsid w:val="00313AEA"/>
    <w:rsid w:val="00313CAE"/>
    <w:rsid w:val="00313FC4"/>
    <w:rsid w:val="0031442C"/>
    <w:rsid w:val="00314E2A"/>
    <w:rsid w:val="00315C9C"/>
    <w:rsid w:val="0031605A"/>
    <w:rsid w:val="00316F1F"/>
    <w:rsid w:val="00317266"/>
    <w:rsid w:val="00317395"/>
    <w:rsid w:val="00321710"/>
    <w:rsid w:val="00322008"/>
    <w:rsid w:val="003227C1"/>
    <w:rsid w:val="00322BA1"/>
    <w:rsid w:val="00323B07"/>
    <w:rsid w:val="0032415C"/>
    <w:rsid w:val="003250DD"/>
    <w:rsid w:val="0032666E"/>
    <w:rsid w:val="0032796C"/>
    <w:rsid w:val="0032798F"/>
    <w:rsid w:val="003303D2"/>
    <w:rsid w:val="003309C0"/>
    <w:rsid w:val="003316D0"/>
    <w:rsid w:val="00331731"/>
    <w:rsid w:val="00331B57"/>
    <w:rsid w:val="00331C22"/>
    <w:rsid w:val="00332045"/>
    <w:rsid w:val="003323AC"/>
    <w:rsid w:val="00333EED"/>
    <w:rsid w:val="00335120"/>
    <w:rsid w:val="0033551F"/>
    <w:rsid w:val="00335C8B"/>
    <w:rsid w:val="00340806"/>
    <w:rsid w:val="00340F27"/>
    <w:rsid w:val="003414EA"/>
    <w:rsid w:val="00341A83"/>
    <w:rsid w:val="00341E3C"/>
    <w:rsid w:val="00341FFE"/>
    <w:rsid w:val="003425BE"/>
    <w:rsid w:val="00343303"/>
    <w:rsid w:val="003436A6"/>
    <w:rsid w:val="003450A8"/>
    <w:rsid w:val="003461B2"/>
    <w:rsid w:val="00346A18"/>
    <w:rsid w:val="00347E7F"/>
    <w:rsid w:val="003500C0"/>
    <w:rsid w:val="0035043E"/>
    <w:rsid w:val="0035050F"/>
    <w:rsid w:val="0035080F"/>
    <w:rsid w:val="00350E39"/>
    <w:rsid w:val="00351C81"/>
    <w:rsid w:val="0035304A"/>
    <w:rsid w:val="00353938"/>
    <w:rsid w:val="00354D06"/>
    <w:rsid w:val="00355674"/>
    <w:rsid w:val="00355B43"/>
    <w:rsid w:val="003565CC"/>
    <w:rsid w:val="00356B61"/>
    <w:rsid w:val="00357251"/>
    <w:rsid w:val="00357842"/>
    <w:rsid w:val="003579A8"/>
    <w:rsid w:val="00357C06"/>
    <w:rsid w:val="00357F24"/>
    <w:rsid w:val="00361087"/>
    <w:rsid w:val="003610EC"/>
    <w:rsid w:val="00361EE2"/>
    <w:rsid w:val="0036319D"/>
    <w:rsid w:val="0036471A"/>
    <w:rsid w:val="00364DB2"/>
    <w:rsid w:val="0036527D"/>
    <w:rsid w:val="00366193"/>
    <w:rsid w:val="003663FE"/>
    <w:rsid w:val="00367FF5"/>
    <w:rsid w:val="00370E83"/>
    <w:rsid w:val="003714EA"/>
    <w:rsid w:val="00372868"/>
    <w:rsid w:val="00372D73"/>
    <w:rsid w:val="00372E33"/>
    <w:rsid w:val="00373330"/>
    <w:rsid w:val="003742B2"/>
    <w:rsid w:val="003742DF"/>
    <w:rsid w:val="00374B73"/>
    <w:rsid w:val="00374E08"/>
    <w:rsid w:val="003751AD"/>
    <w:rsid w:val="00375FFB"/>
    <w:rsid w:val="00376857"/>
    <w:rsid w:val="00376BD6"/>
    <w:rsid w:val="00377383"/>
    <w:rsid w:val="00377FC1"/>
    <w:rsid w:val="003808D6"/>
    <w:rsid w:val="00381C39"/>
    <w:rsid w:val="00382016"/>
    <w:rsid w:val="00382AE5"/>
    <w:rsid w:val="00383ADF"/>
    <w:rsid w:val="0038407D"/>
    <w:rsid w:val="00387728"/>
    <w:rsid w:val="00387974"/>
    <w:rsid w:val="00390015"/>
    <w:rsid w:val="00390576"/>
    <w:rsid w:val="003908F5"/>
    <w:rsid w:val="00390EE1"/>
    <w:rsid w:val="003916AF"/>
    <w:rsid w:val="0039270B"/>
    <w:rsid w:val="00394031"/>
    <w:rsid w:val="00394DC3"/>
    <w:rsid w:val="00395744"/>
    <w:rsid w:val="00395BB7"/>
    <w:rsid w:val="00395EF5"/>
    <w:rsid w:val="0039650C"/>
    <w:rsid w:val="0039657E"/>
    <w:rsid w:val="00396BDF"/>
    <w:rsid w:val="0039729E"/>
    <w:rsid w:val="003972BC"/>
    <w:rsid w:val="003A032D"/>
    <w:rsid w:val="003A0B43"/>
    <w:rsid w:val="003A2A9E"/>
    <w:rsid w:val="003A2FF2"/>
    <w:rsid w:val="003A3052"/>
    <w:rsid w:val="003A3313"/>
    <w:rsid w:val="003A3919"/>
    <w:rsid w:val="003A3E47"/>
    <w:rsid w:val="003A476E"/>
    <w:rsid w:val="003A4AF4"/>
    <w:rsid w:val="003A5544"/>
    <w:rsid w:val="003A63AC"/>
    <w:rsid w:val="003A647C"/>
    <w:rsid w:val="003A710E"/>
    <w:rsid w:val="003A7A94"/>
    <w:rsid w:val="003A7BF4"/>
    <w:rsid w:val="003A7FB3"/>
    <w:rsid w:val="003B0266"/>
    <w:rsid w:val="003B1238"/>
    <w:rsid w:val="003B1322"/>
    <w:rsid w:val="003B1486"/>
    <w:rsid w:val="003B14F3"/>
    <w:rsid w:val="003B24D2"/>
    <w:rsid w:val="003B256A"/>
    <w:rsid w:val="003B35F2"/>
    <w:rsid w:val="003B401B"/>
    <w:rsid w:val="003B4380"/>
    <w:rsid w:val="003B5132"/>
    <w:rsid w:val="003B58A6"/>
    <w:rsid w:val="003B5A5C"/>
    <w:rsid w:val="003B6190"/>
    <w:rsid w:val="003B6758"/>
    <w:rsid w:val="003B79D6"/>
    <w:rsid w:val="003C09FE"/>
    <w:rsid w:val="003C142B"/>
    <w:rsid w:val="003C16FC"/>
    <w:rsid w:val="003C3F7C"/>
    <w:rsid w:val="003C40B6"/>
    <w:rsid w:val="003C4367"/>
    <w:rsid w:val="003C5191"/>
    <w:rsid w:val="003C6341"/>
    <w:rsid w:val="003C663F"/>
    <w:rsid w:val="003C6797"/>
    <w:rsid w:val="003D0C11"/>
    <w:rsid w:val="003D0D31"/>
    <w:rsid w:val="003D1E49"/>
    <w:rsid w:val="003D218A"/>
    <w:rsid w:val="003D26A3"/>
    <w:rsid w:val="003D38E5"/>
    <w:rsid w:val="003D3B01"/>
    <w:rsid w:val="003D49CA"/>
    <w:rsid w:val="003D530B"/>
    <w:rsid w:val="003D62C9"/>
    <w:rsid w:val="003D641F"/>
    <w:rsid w:val="003D6565"/>
    <w:rsid w:val="003D778D"/>
    <w:rsid w:val="003D7E66"/>
    <w:rsid w:val="003E00CF"/>
    <w:rsid w:val="003E05C4"/>
    <w:rsid w:val="003E13E1"/>
    <w:rsid w:val="003E1530"/>
    <w:rsid w:val="003E1D4F"/>
    <w:rsid w:val="003E20E8"/>
    <w:rsid w:val="003E2134"/>
    <w:rsid w:val="003E21CE"/>
    <w:rsid w:val="003E27E2"/>
    <w:rsid w:val="003E3972"/>
    <w:rsid w:val="003E39F7"/>
    <w:rsid w:val="003E3E93"/>
    <w:rsid w:val="003E4923"/>
    <w:rsid w:val="003E4E1D"/>
    <w:rsid w:val="003E55C5"/>
    <w:rsid w:val="003E5F3D"/>
    <w:rsid w:val="003E674A"/>
    <w:rsid w:val="003E6B0E"/>
    <w:rsid w:val="003E6C5A"/>
    <w:rsid w:val="003E6C80"/>
    <w:rsid w:val="003E714B"/>
    <w:rsid w:val="003F061A"/>
    <w:rsid w:val="003F1806"/>
    <w:rsid w:val="003F1FBD"/>
    <w:rsid w:val="003F24A3"/>
    <w:rsid w:val="003F29A6"/>
    <w:rsid w:val="003F4A39"/>
    <w:rsid w:val="003F5D80"/>
    <w:rsid w:val="003F6D7C"/>
    <w:rsid w:val="003F6EAD"/>
    <w:rsid w:val="003F7476"/>
    <w:rsid w:val="00400C5E"/>
    <w:rsid w:val="0040108B"/>
    <w:rsid w:val="00401C9F"/>
    <w:rsid w:val="004024DA"/>
    <w:rsid w:val="00402DC4"/>
    <w:rsid w:val="004032EF"/>
    <w:rsid w:val="004032F8"/>
    <w:rsid w:val="00403B81"/>
    <w:rsid w:val="00403D59"/>
    <w:rsid w:val="00403E94"/>
    <w:rsid w:val="004042C4"/>
    <w:rsid w:val="004047AC"/>
    <w:rsid w:val="00405CAF"/>
    <w:rsid w:val="00406493"/>
    <w:rsid w:val="00406924"/>
    <w:rsid w:val="00406E0C"/>
    <w:rsid w:val="00406E4C"/>
    <w:rsid w:val="004070AA"/>
    <w:rsid w:val="0040713C"/>
    <w:rsid w:val="00407697"/>
    <w:rsid w:val="00410CB7"/>
    <w:rsid w:val="00410D73"/>
    <w:rsid w:val="004110F4"/>
    <w:rsid w:val="0041123F"/>
    <w:rsid w:val="004112FA"/>
    <w:rsid w:val="00411649"/>
    <w:rsid w:val="00411E88"/>
    <w:rsid w:val="00411FA7"/>
    <w:rsid w:val="0041216A"/>
    <w:rsid w:val="004122E2"/>
    <w:rsid w:val="00412553"/>
    <w:rsid w:val="00412A34"/>
    <w:rsid w:val="004134DD"/>
    <w:rsid w:val="0041363E"/>
    <w:rsid w:val="00413D44"/>
    <w:rsid w:val="00414356"/>
    <w:rsid w:val="004144B8"/>
    <w:rsid w:val="0041517D"/>
    <w:rsid w:val="00416DF7"/>
    <w:rsid w:val="00417AFC"/>
    <w:rsid w:val="00417C16"/>
    <w:rsid w:val="00417F00"/>
    <w:rsid w:val="00420051"/>
    <w:rsid w:val="00420CC0"/>
    <w:rsid w:val="004213B4"/>
    <w:rsid w:val="0042174B"/>
    <w:rsid w:val="00421E40"/>
    <w:rsid w:val="00422868"/>
    <w:rsid w:val="004229A9"/>
    <w:rsid w:val="00423B0A"/>
    <w:rsid w:val="00424719"/>
    <w:rsid w:val="00425333"/>
    <w:rsid w:val="0042552E"/>
    <w:rsid w:val="004259FD"/>
    <w:rsid w:val="00425B20"/>
    <w:rsid w:val="00425EB4"/>
    <w:rsid w:val="004265B6"/>
    <w:rsid w:val="00426773"/>
    <w:rsid w:val="00426E97"/>
    <w:rsid w:val="004274BA"/>
    <w:rsid w:val="004276DF"/>
    <w:rsid w:val="00427703"/>
    <w:rsid w:val="004277B4"/>
    <w:rsid w:val="004316D1"/>
    <w:rsid w:val="00432B1F"/>
    <w:rsid w:val="00432D8C"/>
    <w:rsid w:val="004332ED"/>
    <w:rsid w:val="004334EC"/>
    <w:rsid w:val="0043377C"/>
    <w:rsid w:val="00433C14"/>
    <w:rsid w:val="00433D84"/>
    <w:rsid w:val="0043409A"/>
    <w:rsid w:val="004341C6"/>
    <w:rsid w:val="00434C7B"/>
    <w:rsid w:val="00434CC2"/>
    <w:rsid w:val="004358F3"/>
    <w:rsid w:val="004359DC"/>
    <w:rsid w:val="0043621A"/>
    <w:rsid w:val="004362E3"/>
    <w:rsid w:val="0043705A"/>
    <w:rsid w:val="004377AB"/>
    <w:rsid w:val="00437AFA"/>
    <w:rsid w:val="004409BD"/>
    <w:rsid w:val="00440B83"/>
    <w:rsid w:val="00440CFE"/>
    <w:rsid w:val="0044108A"/>
    <w:rsid w:val="0044188D"/>
    <w:rsid w:val="00441D99"/>
    <w:rsid w:val="00442053"/>
    <w:rsid w:val="00442B26"/>
    <w:rsid w:val="004435C2"/>
    <w:rsid w:val="00443B3A"/>
    <w:rsid w:val="00443C52"/>
    <w:rsid w:val="00443DCD"/>
    <w:rsid w:val="004443D4"/>
    <w:rsid w:val="00444620"/>
    <w:rsid w:val="00444967"/>
    <w:rsid w:val="00444D4A"/>
    <w:rsid w:val="004459B1"/>
    <w:rsid w:val="00446718"/>
    <w:rsid w:val="004479DE"/>
    <w:rsid w:val="00450AD9"/>
    <w:rsid w:val="00450B01"/>
    <w:rsid w:val="00450B43"/>
    <w:rsid w:val="00450B7D"/>
    <w:rsid w:val="00450C41"/>
    <w:rsid w:val="00451451"/>
    <w:rsid w:val="0045162F"/>
    <w:rsid w:val="00451AF8"/>
    <w:rsid w:val="00451EAA"/>
    <w:rsid w:val="0045238D"/>
    <w:rsid w:val="0045459D"/>
    <w:rsid w:val="00454A88"/>
    <w:rsid w:val="00455807"/>
    <w:rsid w:val="0045736E"/>
    <w:rsid w:val="00457420"/>
    <w:rsid w:val="00457440"/>
    <w:rsid w:val="00457716"/>
    <w:rsid w:val="00457885"/>
    <w:rsid w:val="004579DA"/>
    <w:rsid w:val="0046012F"/>
    <w:rsid w:val="0046096F"/>
    <w:rsid w:val="00461AD9"/>
    <w:rsid w:val="0046209B"/>
    <w:rsid w:val="00462112"/>
    <w:rsid w:val="00462182"/>
    <w:rsid w:val="0046241A"/>
    <w:rsid w:val="00463A2E"/>
    <w:rsid w:val="00463ED6"/>
    <w:rsid w:val="00464165"/>
    <w:rsid w:val="004644A9"/>
    <w:rsid w:val="00464813"/>
    <w:rsid w:val="00464815"/>
    <w:rsid w:val="00464E0C"/>
    <w:rsid w:val="004657E3"/>
    <w:rsid w:val="00466556"/>
    <w:rsid w:val="004666B7"/>
    <w:rsid w:val="00466A29"/>
    <w:rsid w:val="00466D0E"/>
    <w:rsid w:val="00467152"/>
    <w:rsid w:val="00467438"/>
    <w:rsid w:val="00467CAA"/>
    <w:rsid w:val="004712A8"/>
    <w:rsid w:val="004713AC"/>
    <w:rsid w:val="004719F4"/>
    <w:rsid w:val="00471A98"/>
    <w:rsid w:val="00471DED"/>
    <w:rsid w:val="00472D9A"/>
    <w:rsid w:val="00473373"/>
    <w:rsid w:val="00474829"/>
    <w:rsid w:val="00475B50"/>
    <w:rsid w:val="00475BB5"/>
    <w:rsid w:val="00475C57"/>
    <w:rsid w:val="00475EB7"/>
    <w:rsid w:val="004766E5"/>
    <w:rsid w:val="00476A15"/>
    <w:rsid w:val="004778D8"/>
    <w:rsid w:val="00477B33"/>
    <w:rsid w:val="00480047"/>
    <w:rsid w:val="004800B9"/>
    <w:rsid w:val="004814D8"/>
    <w:rsid w:val="004814EC"/>
    <w:rsid w:val="00481DF6"/>
    <w:rsid w:val="0048254E"/>
    <w:rsid w:val="004826CF"/>
    <w:rsid w:val="00483BD2"/>
    <w:rsid w:val="00483CE7"/>
    <w:rsid w:val="00483EC4"/>
    <w:rsid w:val="00483F64"/>
    <w:rsid w:val="00484261"/>
    <w:rsid w:val="00484B21"/>
    <w:rsid w:val="00485F2C"/>
    <w:rsid w:val="0048768F"/>
    <w:rsid w:val="00487D3D"/>
    <w:rsid w:val="00490102"/>
    <w:rsid w:val="004912FC"/>
    <w:rsid w:val="00491B05"/>
    <w:rsid w:val="00492547"/>
    <w:rsid w:val="00492637"/>
    <w:rsid w:val="004926E7"/>
    <w:rsid w:val="00493595"/>
    <w:rsid w:val="00494587"/>
    <w:rsid w:val="00494743"/>
    <w:rsid w:val="004A05AC"/>
    <w:rsid w:val="004A067D"/>
    <w:rsid w:val="004A06CD"/>
    <w:rsid w:val="004A12D8"/>
    <w:rsid w:val="004A185D"/>
    <w:rsid w:val="004A3EAB"/>
    <w:rsid w:val="004A4028"/>
    <w:rsid w:val="004A4375"/>
    <w:rsid w:val="004A563B"/>
    <w:rsid w:val="004A5734"/>
    <w:rsid w:val="004A575F"/>
    <w:rsid w:val="004A589A"/>
    <w:rsid w:val="004A6232"/>
    <w:rsid w:val="004A6521"/>
    <w:rsid w:val="004A69BE"/>
    <w:rsid w:val="004A6D54"/>
    <w:rsid w:val="004A7221"/>
    <w:rsid w:val="004A7FA7"/>
    <w:rsid w:val="004B04CB"/>
    <w:rsid w:val="004B0FE0"/>
    <w:rsid w:val="004B1330"/>
    <w:rsid w:val="004B21B6"/>
    <w:rsid w:val="004B21BD"/>
    <w:rsid w:val="004B2B91"/>
    <w:rsid w:val="004B2DAA"/>
    <w:rsid w:val="004B3945"/>
    <w:rsid w:val="004B3DB3"/>
    <w:rsid w:val="004B528A"/>
    <w:rsid w:val="004B5AC9"/>
    <w:rsid w:val="004B6BDE"/>
    <w:rsid w:val="004B7A28"/>
    <w:rsid w:val="004C000C"/>
    <w:rsid w:val="004C07BE"/>
    <w:rsid w:val="004C08B6"/>
    <w:rsid w:val="004C0D00"/>
    <w:rsid w:val="004C14AB"/>
    <w:rsid w:val="004C17E4"/>
    <w:rsid w:val="004C19A7"/>
    <w:rsid w:val="004C1C66"/>
    <w:rsid w:val="004C2ADB"/>
    <w:rsid w:val="004C3462"/>
    <w:rsid w:val="004C414E"/>
    <w:rsid w:val="004C46D5"/>
    <w:rsid w:val="004C4C64"/>
    <w:rsid w:val="004C4DD6"/>
    <w:rsid w:val="004C5772"/>
    <w:rsid w:val="004C6392"/>
    <w:rsid w:val="004C699A"/>
    <w:rsid w:val="004C7896"/>
    <w:rsid w:val="004C7922"/>
    <w:rsid w:val="004D0592"/>
    <w:rsid w:val="004D08BF"/>
    <w:rsid w:val="004D0A90"/>
    <w:rsid w:val="004D139E"/>
    <w:rsid w:val="004D1A88"/>
    <w:rsid w:val="004D1CE2"/>
    <w:rsid w:val="004D1FAA"/>
    <w:rsid w:val="004D2072"/>
    <w:rsid w:val="004D388C"/>
    <w:rsid w:val="004D3DB4"/>
    <w:rsid w:val="004D3FD7"/>
    <w:rsid w:val="004D4418"/>
    <w:rsid w:val="004D44AC"/>
    <w:rsid w:val="004D4F2E"/>
    <w:rsid w:val="004D5ED7"/>
    <w:rsid w:val="004D5FC8"/>
    <w:rsid w:val="004D7860"/>
    <w:rsid w:val="004E114D"/>
    <w:rsid w:val="004E1262"/>
    <w:rsid w:val="004E138D"/>
    <w:rsid w:val="004E1676"/>
    <w:rsid w:val="004E3049"/>
    <w:rsid w:val="004E399D"/>
    <w:rsid w:val="004E411B"/>
    <w:rsid w:val="004E444C"/>
    <w:rsid w:val="004E48D0"/>
    <w:rsid w:val="004E5109"/>
    <w:rsid w:val="004E5C69"/>
    <w:rsid w:val="004E60D0"/>
    <w:rsid w:val="004F0458"/>
    <w:rsid w:val="004F12A6"/>
    <w:rsid w:val="004F13B4"/>
    <w:rsid w:val="004F14E6"/>
    <w:rsid w:val="004F1565"/>
    <w:rsid w:val="004F1878"/>
    <w:rsid w:val="004F1CA5"/>
    <w:rsid w:val="004F2304"/>
    <w:rsid w:val="004F26F8"/>
    <w:rsid w:val="004F287F"/>
    <w:rsid w:val="004F3C06"/>
    <w:rsid w:val="004F4191"/>
    <w:rsid w:val="004F4CC9"/>
    <w:rsid w:val="004F4F5B"/>
    <w:rsid w:val="004F5126"/>
    <w:rsid w:val="004F69F3"/>
    <w:rsid w:val="004F6C4E"/>
    <w:rsid w:val="004F70EA"/>
    <w:rsid w:val="004F720A"/>
    <w:rsid w:val="004F75D8"/>
    <w:rsid w:val="004F7CB5"/>
    <w:rsid w:val="00500E7D"/>
    <w:rsid w:val="005025FE"/>
    <w:rsid w:val="00504585"/>
    <w:rsid w:val="0050458D"/>
    <w:rsid w:val="00504EDA"/>
    <w:rsid w:val="00505118"/>
    <w:rsid w:val="0050531F"/>
    <w:rsid w:val="005069A3"/>
    <w:rsid w:val="00506DDE"/>
    <w:rsid w:val="0050766D"/>
    <w:rsid w:val="0051021F"/>
    <w:rsid w:val="00510976"/>
    <w:rsid w:val="00510CBD"/>
    <w:rsid w:val="0051125D"/>
    <w:rsid w:val="005134BF"/>
    <w:rsid w:val="005136AD"/>
    <w:rsid w:val="005138BA"/>
    <w:rsid w:val="00513923"/>
    <w:rsid w:val="00513AD1"/>
    <w:rsid w:val="005148A5"/>
    <w:rsid w:val="00514D9D"/>
    <w:rsid w:val="00516657"/>
    <w:rsid w:val="00516904"/>
    <w:rsid w:val="00517931"/>
    <w:rsid w:val="00520AAE"/>
    <w:rsid w:val="00520B26"/>
    <w:rsid w:val="00520CB5"/>
    <w:rsid w:val="005210CC"/>
    <w:rsid w:val="005211AF"/>
    <w:rsid w:val="005213E2"/>
    <w:rsid w:val="00521495"/>
    <w:rsid w:val="00521BDE"/>
    <w:rsid w:val="00522951"/>
    <w:rsid w:val="00522B14"/>
    <w:rsid w:val="005238BB"/>
    <w:rsid w:val="00524196"/>
    <w:rsid w:val="005241D5"/>
    <w:rsid w:val="005257F2"/>
    <w:rsid w:val="00526785"/>
    <w:rsid w:val="00526E00"/>
    <w:rsid w:val="00527619"/>
    <w:rsid w:val="005276C2"/>
    <w:rsid w:val="00530E4E"/>
    <w:rsid w:val="00530F8A"/>
    <w:rsid w:val="00530F9D"/>
    <w:rsid w:val="00531325"/>
    <w:rsid w:val="005317F2"/>
    <w:rsid w:val="005328F8"/>
    <w:rsid w:val="00533D4F"/>
    <w:rsid w:val="00534A93"/>
    <w:rsid w:val="00535A1C"/>
    <w:rsid w:val="00535BA3"/>
    <w:rsid w:val="00535BB3"/>
    <w:rsid w:val="005406F8"/>
    <w:rsid w:val="005409CF"/>
    <w:rsid w:val="00540B39"/>
    <w:rsid w:val="005410C6"/>
    <w:rsid w:val="0054169B"/>
    <w:rsid w:val="005417D2"/>
    <w:rsid w:val="00541F7D"/>
    <w:rsid w:val="005422E4"/>
    <w:rsid w:val="00542447"/>
    <w:rsid w:val="005426DD"/>
    <w:rsid w:val="0054298C"/>
    <w:rsid w:val="00543721"/>
    <w:rsid w:val="00544161"/>
    <w:rsid w:val="0054436C"/>
    <w:rsid w:val="005445F6"/>
    <w:rsid w:val="00545CF8"/>
    <w:rsid w:val="005474CE"/>
    <w:rsid w:val="0054789E"/>
    <w:rsid w:val="00550379"/>
    <w:rsid w:val="00550E4D"/>
    <w:rsid w:val="00550F69"/>
    <w:rsid w:val="005511CD"/>
    <w:rsid w:val="005514DD"/>
    <w:rsid w:val="005523C6"/>
    <w:rsid w:val="00552EDA"/>
    <w:rsid w:val="00552EDD"/>
    <w:rsid w:val="005530B2"/>
    <w:rsid w:val="005535C1"/>
    <w:rsid w:val="00553794"/>
    <w:rsid w:val="00555305"/>
    <w:rsid w:val="00555F56"/>
    <w:rsid w:val="0055610B"/>
    <w:rsid w:val="005561A6"/>
    <w:rsid w:val="00556F7C"/>
    <w:rsid w:val="00557897"/>
    <w:rsid w:val="00557BBC"/>
    <w:rsid w:val="005616AE"/>
    <w:rsid w:val="00561C1E"/>
    <w:rsid w:val="0056208B"/>
    <w:rsid w:val="005628F5"/>
    <w:rsid w:val="00563296"/>
    <w:rsid w:val="00563657"/>
    <w:rsid w:val="005641B9"/>
    <w:rsid w:val="0056471A"/>
    <w:rsid w:val="00566BD3"/>
    <w:rsid w:val="00567CC4"/>
    <w:rsid w:val="00570611"/>
    <w:rsid w:val="00571296"/>
    <w:rsid w:val="005713FD"/>
    <w:rsid w:val="005714E2"/>
    <w:rsid w:val="00571AAC"/>
    <w:rsid w:val="00571ADF"/>
    <w:rsid w:val="00571CEA"/>
    <w:rsid w:val="00571F91"/>
    <w:rsid w:val="00572F81"/>
    <w:rsid w:val="005733F0"/>
    <w:rsid w:val="00573913"/>
    <w:rsid w:val="005739EB"/>
    <w:rsid w:val="0057489C"/>
    <w:rsid w:val="0057516A"/>
    <w:rsid w:val="005759CC"/>
    <w:rsid w:val="00575DE8"/>
    <w:rsid w:val="00575E75"/>
    <w:rsid w:val="00576687"/>
    <w:rsid w:val="0057694D"/>
    <w:rsid w:val="00576A5C"/>
    <w:rsid w:val="00577585"/>
    <w:rsid w:val="005776DC"/>
    <w:rsid w:val="005800E3"/>
    <w:rsid w:val="00580183"/>
    <w:rsid w:val="005816B5"/>
    <w:rsid w:val="00581A27"/>
    <w:rsid w:val="00581C8A"/>
    <w:rsid w:val="0058271E"/>
    <w:rsid w:val="00583BD0"/>
    <w:rsid w:val="005848E7"/>
    <w:rsid w:val="005854A8"/>
    <w:rsid w:val="005862D4"/>
    <w:rsid w:val="00586FA8"/>
    <w:rsid w:val="00587154"/>
    <w:rsid w:val="005871BD"/>
    <w:rsid w:val="00587648"/>
    <w:rsid w:val="005900A1"/>
    <w:rsid w:val="00590606"/>
    <w:rsid w:val="00590B01"/>
    <w:rsid w:val="00590EDA"/>
    <w:rsid w:val="00590FC9"/>
    <w:rsid w:val="0059178A"/>
    <w:rsid w:val="005928A8"/>
    <w:rsid w:val="00592B0D"/>
    <w:rsid w:val="005943C9"/>
    <w:rsid w:val="005946A5"/>
    <w:rsid w:val="00594B77"/>
    <w:rsid w:val="0059577B"/>
    <w:rsid w:val="00595936"/>
    <w:rsid w:val="005959CF"/>
    <w:rsid w:val="00595CA5"/>
    <w:rsid w:val="00596AF0"/>
    <w:rsid w:val="00596AF3"/>
    <w:rsid w:val="00596DA3"/>
    <w:rsid w:val="00596F99"/>
    <w:rsid w:val="005A0224"/>
    <w:rsid w:val="005A08D1"/>
    <w:rsid w:val="005A0BA6"/>
    <w:rsid w:val="005A0C59"/>
    <w:rsid w:val="005A1201"/>
    <w:rsid w:val="005A15E8"/>
    <w:rsid w:val="005A2B64"/>
    <w:rsid w:val="005A35B2"/>
    <w:rsid w:val="005A3671"/>
    <w:rsid w:val="005A37A8"/>
    <w:rsid w:val="005A3F38"/>
    <w:rsid w:val="005A5F98"/>
    <w:rsid w:val="005A64A7"/>
    <w:rsid w:val="005A68C6"/>
    <w:rsid w:val="005A6C18"/>
    <w:rsid w:val="005A6C20"/>
    <w:rsid w:val="005A6F02"/>
    <w:rsid w:val="005A7E2F"/>
    <w:rsid w:val="005B026B"/>
    <w:rsid w:val="005B0402"/>
    <w:rsid w:val="005B0BCB"/>
    <w:rsid w:val="005B170A"/>
    <w:rsid w:val="005B1B4B"/>
    <w:rsid w:val="005B22EE"/>
    <w:rsid w:val="005B26FB"/>
    <w:rsid w:val="005B2B2E"/>
    <w:rsid w:val="005B356C"/>
    <w:rsid w:val="005B3AB7"/>
    <w:rsid w:val="005B3AC3"/>
    <w:rsid w:val="005B4216"/>
    <w:rsid w:val="005B46A2"/>
    <w:rsid w:val="005B47EB"/>
    <w:rsid w:val="005B49F1"/>
    <w:rsid w:val="005B667E"/>
    <w:rsid w:val="005B753C"/>
    <w:rsid w:val="005B77B6"/>
    <w:rsid w:val="005C1446"/>
    <w:rsid w:val="005C1694"/>
    <w:rsid w:val="005C171E"/>
    <w:rsid w:val="005C178A"/>
    <w:rsid w:val="005C1B4B"/>
    <w:rsid w:val="005C219A"/>
    <w:rsid w:val="005C2541"/>
    <w:rsid w:val="005C2B70"/>
    <w:rsid w:val="005C445C"/>
    <w:rsid w:val="005C494B"/>
    <w:rsid w:val="005C589E"/>
    <w:rsid w:val="005C5E4C"/>
    <w:rsid w:val="005C6108"/>
    <w:rsid w:val="005C629B"/>
    <w:rsid w:val="005C62CF"/>
    <w:rsid w:val="005C688B"/>
    <w:rsid w:val="005C6E19"/>
    <w:rsid w:val="005C7152"/>
    <w:rsid w:val="005C71E9"/>
    <w:rsid w:val="005D1692"/>
    <w:rsid w:val="005D2683"/>
    <w:rsid w:val="005D28FC"/>
    <w:rsid w:val="005D36EA"/>
    <w:rsid w:val="005D3857"/>
    <w:rsid w:val="005D4423"/>
    <w:rsid w:val="005D467B"/>
    <w:rsid w:val="005D4FF4"/>
    <w:rsid w:val="005D5353"/>
    <w:rsid w:val="005D5D01"/>
    <w:rsid w:val="005D65D2"/>
    <w:rsid w:val="005D700B"/>
    <w:rsid w:val="005D7700"/>
    <w:rsid w:val="005D797B"/>
    <w:rsid w:val="005E02D8"/>
    <w:rsid w:val="005E0924"/>
    <w:rsid w:val="005E0981"/>
    <w:rsid w:val="005E1488"/>
    <w:rsid w:val="005E16C6"/>
    <w:rsid w:val="005E1761"/>
    <w:rsid w:val="005E2E11"/>
    <w:rsid w:val="005E320F"/>
    <w:rsid w:val="005E3394"/>
    <w:rsid w:val="005E4833"/>
    <w:rsid w:val="005E489C"/>
    <w:rsid w:val="005E5EEE"/>
    <w:rsid w:val="005E7012"/>
    <w:rsid w:val="005F01BE"/>
    <w:rsid w:val="005F0DA6"/>
    <w:rsid w:val="005F13D3"/>
    <w:rsid w:val="005F1447"/>
    <w:rsid w:val="005F1DF0"/>
    <w:rsid w:val="005F1DF8"/>
    <w:rsid w:val="005F24A6"/>
    <w:rsid w:val="005F2DAA"/>
    <w:rsid w:val="005F3076"/>
    <w:rsid w:val="005F32AD"/>
    <w:rsid w:val="005F3EA3"/>
    <w:rsid w:val="005F3F4F"/>
    <w:rsid w:val="005F41CD"/>
    <w:rsid w:val="005F55F4"/>
    <w:rsid w:val="005F573F"/>
    <w:rsid w:val="005F6593"/>
    <w:rsid w:val="005F6B99"/>
    <w:rsid w:val="005F6CBA"/>
    <w:rsid w:val="005F7C32"/>
    <w:rsid w:val="0060170C"/>
    <w:rsid w:val="00601A46"/>
    <w:rsid w:val="00601BED"/>
    <w:rsid w:val="006023FF"/>
    <w:rsid w:val="006035B9"/>
    <w:rsid w:val="0060594D"/>
    <w:rsid w:val="0060646A"/>
    <w:rsid w:val="00606566"/>
    <w:rsid w:val="006065A9"/>
    <w:rsid w:val="006066F4"/>
    <w:rsid w:val="006075B1"/>
    <w:rsid w:val="00607651"/>
    <w:rsid w:val="006078E2"/>
    <w:rsid w:val="00610178"/>
    <w:rsid w:val="006101EB"/>
    <w:rsid w:val="006103AF"/>
    <w:rsid w:val="00610AA1"/>
    <w:rsid w:val="00610C1D"/>
    <w:rsid w:val="00610E47"/>
    <w:rsid w:val="00611A43"/>
    <w:rsid w:val="00612029"/>
    <w:rsid w:val="006131D3"/>
    <w:rsid w:val="006137A9"/>
    <w:rsid w:val="0061387E"/>
    <w:rsid w:val="006138BF"/>
    <w:rsid w:val="00615661"/>
    <w:rsid w:val="00620408"/>
    <w:rsid w:val="00620AB1"/>
    <w:rsid w:val="00620C5C"/>
    <w:rsid w:val="00620D5A"/>
    <w:rsid w:val="00620DE7"/>
    <w:rsid w:val="00620F2A"/>
    <w:rsid w:val="00621D2D"/>
    <w:rsid w:val="00622516"/>
    <w:rsid w:val="006227CD"/>
    <w:rsid w:val="006235D5"/>
    <w:rsid w:val="00623EDD"/>
    <w:rsid w:val="00624476"/>
    <w:rsid w:val="00625AA9"/>
    <w:rsid w:val="00625BAE"/>
    <w:rsid w:val="00626EC4"/>
    <w:rsid w:val="00627195"/>
    <w:rsid w:val="00630119"/>
    <w:rsid w:val="00630224"/>
    <w:rsid w:val="00630A48"/>
    <w:rsid w:val="00630AEB"/>
    <w:rsid w:val="00630E7C"/>
    <w:rsid w:val="006319A9"/>
    <w:rsid w:val="006323CD"/>
    <w:rsid w:val="00633061"/>
    <w:rsid w:val="006333DD"/>
    <w:rsid w:val="006341E5"/>
    <w:rsid w:val="0063487B"/>
    <w:rsid w:val="00634BDA"/>
    <w:rsid w:val="0063561B"/>
    <w:rsid w:val="00635C73"/>
    <w:rsid w:val="00636071"/>
    <w:rsid w:val="00636D3C"/>
    <w:rsid w:val="006370B5"/>
    <w:rsid w:val="00637621"/>
    <w:rsid w:val="00637FC3"/>
    <w:rsid w:val="00640012"/>
    <w:rsid w:val="006400E8"/>
    <w:rsid w:val="0064042D"/>
    <w:rsid w:val="006409D6"/>
    <w:rsid w:val="00640B28"/>
    <w:rsid w:val="00641AEC"/>
    <w:rsid w:val="00642769"/>
    <w:rsid w:val="00642F5D"/>
    <w:rsid w:val="00643192"/>
    <w:rsid w:val="006443AA"/>
    <w:rsid w:val="0064524B"/>
    <w:rsid w:val="006469A4"/>
    <w:rsid w:val="00646D8F"/>
    <w:rsid w:val="00647E6F"/>
    <w:rsid w:val="00647F05"/>
    <w:rsid w:val="00650A8F"/>
    <w:rsid w:val="00650FC3"/>
    <w:rsid w:val="00651877"/>
    <w:rsid w:val="00651A31"/>
    <w:rsid w:val="006526CA"/>
    <w:rsid w:val="00652B83"/>
    <w:rsid w:val="006532E1"/>
    <w:rsid w:val="0065390B"/>
    <w:rsid w:val="00655388"/>
    <w:rsid w:val="00655BBF"/>
    <w:rsid w:val="00655D42"/>
    <w:rsid w:val="00655E64"/>
    <w:rsid w:val="00656199"/>
    <w:rsid w:val="006571A8"/>
    <w:rsid w:val="00660ABF"/>
    <w:rsid w:val="00660DFA"/>
    <w:rsid w:val="00664D3A"/>
    <w:rsid w:val="00665A60"/>
    <w:rsid w:val="00666AEC"/>
    <w:rsid w:val="00666B96"/>
    <w:rsid w:val="00667A93"/>
    <w:rsid w:val="00670D34"/>
    <w:rsid w:val="006717AF"/>
    <w:rsid w:val="006717B7"/>
    <w:rsid w:val="00673096"/>
    <w:rsid w:val="00675060"/>
    <w:rsid w:val="006759C2"/>
    <w:rsid w:val="00675C38"/>
    <w:rsid w:val="00675D59"/>
    <w:rsid w:val="0067631B"/>
    <w:rsid w:val="00676831"/>
    <w:rsid w:val="00676F2F"/>
    <w:rsid w:val="00677A9F"/>
    <w:rsid w:val="00681CA4"/>
    <w:rsid w:val="00682027"/>
    <w:rsid w:val="00682E63"/>
    <w:rsid w:val="006839AA"/>
    <w:rsid w:val="00683B65"/>
    <w:rsid w:val="0068452D"/>
    <w:rsid w:val="006845B1"/>
    <w:rsid w:val="0068580A"/>
    <w:rsid w:val="00685B63"/>
    <w:rsid w:val="00686E6A"/>
    <w:rsid w:val="0068761F"/>
    <w:rsid w:val="0068774D"/>
    <w:rsid w:val="00687C75"/>
    <w:rsid w:val="00690252"/>
    <w:rsid w:val="00690462"/>
    <w:rsid w:val="00692C87"/>
    <w:rsid w:val="00693344"/>
    <w:rsid w:val="00693B95"/>
    <w:rsid w:val="006942CA"/>
    <w:rsid w:val="006945AD"/>
    <w:rsid w:val="0069495D"/>
    <w:rsid w:val="00694E1A"/>
    <w:rsid w:val="00695473"/>
    <w:rsid w:val="00695A1E"/>
    <w:rsid w:val="00695E65"/>
    <w:rsid w:val="00696A1E"/>
    <w:rsid w:val="00696D29"/>
    <w:rsid w:val="00697ED5"/>
    <w:rsid w:val="00697F29"/>
    <w:rsid w:val="006A1231"/>
    <w:rsid w:val="006A25BB"/>
    <w:rsid w:val="006A334E"/>
    <w:rsid w:val="006A3F18"/>
    <w:rsid w:val="006A4E81"/>
    <w:rsid w:val="006A5A27"/>
    <w:rsid w:val="006A5BBC"/>
    <w:rsid w:val="006A5D0B"/>
    <w:rsid w:val="006A696F"/>
    <w:rsid w:val="006B0641"/>
    <w:rsid w:val="006B0DB4"/>
    <w:rsid w:val="006B10B6"/>
    <w:rsid w:val="006B1377"/>
    <w:rsid w:val="006B1DDF"/>
    <w:rsid w:val="006B1E81"/>
    <w:rsid w:val="006B2726"/>
    <w:rsid w:val="006B3C9A"/>
    <w:rsid w:val="006B419B"/>
    <w:rsid w:val="006B46CC"/>
    <w:rsid w:val="006B4BD4"/>
    <w:rsid w:val="006B50B5"/>
    <w:rsid w:val="006B5738"/>
    <w:rsid w:val="006B57B2"/>
    <w:rsid w:val="006B7935"/>
    <w:rsid w:val="006C05F7"/>
    <w:rsid w:val="006C0EDC"/>
    <w:rsid w:val="006C109B"/>
    <w:rsid w:val="006C148A"/>
    <w:rsid w:val="006C1551"/>
    <w:rsid w:val="006C180F"/>
    <w:rsid w:val="006C22C0"/>
    <w:rsid w:val="006C2372"/>
    <w:rsid w:val="006C25BF"/>
    <w:rsid w:val="006C2F7A"/>
    <w:rsid w:val="006C33D9"/>
    <w:rsid w:val="006C4098"/>
    <w:rsid w:val="006C4214"/>
    <w:rsid w:val="006C476A"/>
    <w:rsid w:val="006C4E36"/>
    <w:rsid w:val="006C5D6F"/>
    <w:rsid w:val="006C63D3"/>
    <w:rsid w:val="006C6A0F"/>
    <w:rsid w:val="006C731D"/>
    <w:rsid w:val="006C7630"/>
    <w:rsid w:val="006C775B"/>
    <w:rsid w:val="006C7FEC"/>
    <w:rsid w:val="006D01CC"/>
    <w:rsid w:val="006D0A92"/>
    <w:rsid w:val="006D1B2D"/>
    <w:rsid w:val="006D1E80"/>
    <w:rsid w:val="006D2554"/>
    <w:rsid w:val="006D27EB"/>
    <w:rsid w:val="006D2F4F"/>
    <w:rsid w:val="006D364F"/>
    <w:rsid w:val="006D4C17"/>
    <w:rsid w:val="006D5048"/>
    <w:rsid w:val="006D5061"/>
    <w:rsid w:val="006D555F"/>
    <w:rsid w:val="006D56F4"/>
    <w:rsid w:val="006D58BF"/>
    <w:rsid w:val="006D5F51"/>
    <w:rsid w:val="006D74F0"/>
    <w:rsid w:val="006D7E28"/>
    <w:rsid w:val="006E17CD"/>
    <w:rsid w:val="006E1C98"/>
    <w:rsid w:val="006E2006"/>
    <w:rsid w:val="006E23B6"/>
    <w:rsid w:val="006E25AB"/>
    <w:rsid w:val="006E2ACE"/>
    <w:rsid w:val="006E3137"/>
    <w:rsid w:val="006E3262"/>
    <w:rsid w:val="006E32C4"/>
    <w:rsid w:val="006E3A6D"/>
    <w:rsid w:val="006E4114"/>
    <w:rsid w:val="006E4164"/>
    <w:rsid w:val="006E4748"/>
    <w:rsid w:val="006E49F8"/>
    <w:rsid w:val="006E4B40"/>
    <w:rsid w:val="006E6582"/>
    <w:rsid w:val="006E7746"/>
    <w:rsid w:val="006E7BD3"/>
    <w:rsid w:val="006E7F70"/>
    <w:rsid w:val="006F1C50"/>
    <w:rsid w:val="006F2AF8"/>
    <w:rsid w:val="006F2C38"/>
    <w:rsid w:val="006F2CB8"/>
    <w:rsid w:val="006F3B4A"/>
    <w:rsid w:val="006F4826"/>
    <w:rsid w:val="006F4D0E"/>
    <w:rsid w:val="006F6226"/>
    <w:rsid w:val="006F65B7"/>
    <w:rsid w:val="006F6937"/>
    <w:rsid w:val="006F738D"/>
    <w:rsid w:val="007002DB"/>
    <w:rsid w:val="00700738"/>
    <w:rsid w:val="00701158"/>
    <w:rsid w:val="00701814"/>
    <w:rsid w:val="00701DA2"/>
    <w:rsid w:val="007037C3"/>
    <w:rsid w:val="00703AD0"/>
    <w:rsid w:val="00703B2D"/>
    <w:rsid w:val="00703EC6"/>
    <w:rsid w:val="00704120"/>
    <w:rsid w:val="00704D45"/>
    <w:rsid w:val="00705324"/>
    <w:rsid w:val="007065A7"/>
    <w:rsid w:val="007077E9"/>
    <w:rsid w:val="007078D4"/>
    <w:rsid w:val="00707997"/>
    <w:rsid w:val="00707D47"/>
    <w:rsid w:val="0071029B"/>
    <w:rsid w:val="0071052E"/>
    <w:rsid w:val="00710567"/>
    <w:rsid w:val="007106B4"/>
    <w:rsid w:val="00711762"/>
    <w:rsid w:val="00712488"/>
    <w:rsid w:val="00712BC5"/>
    <w:rsid w:val="00712C9B"/>
    <w:rsid w:val="00713D70"/>
    <w:rsid w:val="0071403C"/>
    <w:rsid w:val="0071419C"/>
    <w:rsid w:val="007142F3"/>
    <w:rsid w:val="00714AB0"/>
    <w:rsid w:val="00714DB7"/>
    <w:rsid w:val="007157A7"/>
    <w:rsid w:val="00715C58"/>
    <w:rsid w:val="00715EBD"/>
    <w:rsid w:val="0071613D"/>
    <w:rsid w:val="00716588"/>
    <w:rsid w:val="00716B37"/>
    <w:rsid w:val="00721552"/>
    <w:rsid w:val="00721B77"/>
    <w:rsid w:val="007231C9"/>
    <w:rsid w:val="00724C6F"/>
    <w:rsid w:val="007253EE"/>
    <w:rsid w:val="007268EB"/>
    <w:rsid w:val="00726E5E"/>
    <w:rsid w:val="007273BE"/>
    <w:rsid w:val="0073061B"/>
    <w:rsid w:val="00731919"/>
    <w:rsid w:val="00731A1F"/>
    <w:rsid w:val="00731D9C"/>
    <w:rsid w:val="007322BD"/>
    <w:rsid w:val="007322F9"/>
    <w:rsid w:val="007327F4"/>
    <w:rsid w:val="007338E3"/>
    <w:rsid w:val="00733DDF"/>
    <w:rsid w:val="007342E4"/>
    <w:rsid w:val="0073455D"/>
    <w:rsid w:val="0073472C"/>
    <w:rsid w:val="00734C32"/>
    <w:rsid w:val="007365AF"/>
    <w:rsid w:val="007367A7"/>
    <w:rsid w:val="00736C13"/>
    <w:rsid w:val="00736E1E"/>
    <w:rsid w:val="00736F0E"/>
    <w:rsid w:val="007376CD"/>
    <w:rsid w:val="00737AED"/>
    <w:rsid w:val="00740917"/>
    <w:rsid w:val="00740F91"/>
    <w:rsid w:val="00743C20"/>
    <w:rsid w:val="00743F28"/>
    <w:rsid w:val="007441F8"/>
    <w:rsid w:val="007445DB"/>
    <w:rsid w:val="00744D3A"/>
    <w:rsid w:val="007450DE"/>
    <w:rsid w:val="0074569B"/>
    <w:rsid w:val="007457B9"/>
    <w:rsid w:val="00745B4D"/>
    <w:rsid w:val="0074620E"/>
    <w:rsid w:val="0074640B"/>
    <w:rsid w:val="00746B5C"/>
    <w:rsid w:val="00746BA0"/>
    <w:rsid w:val="00746FE8"/>
    <w:rsid w:val="0074750B"/>
    <w:rsid w:val="007510E2"/>
    <w:rsid w:val="0075129D"/>
    <w:rsid w:val="007513AA"/>
    <w:rsid w:val="00751A6D"/>
    <w:rsid w:val="00751E35"/>
    <w:rsid w:val="00752314"/>
    <w:rsid w:val="00752473"/>
    <w:rsid w:val="00752903"/>
    <w:rsid w:val="007529C7"/>
    <w:rsid w:val="00753C47"/>
    <w:rsid w:val="0075413B"/>
    <w:rsid w:val="00754365"/>
    <w:rsid w:val="00754935"/>
    <w:rsid w:val="00755911"/>
    <w:rsid w:val="00755CBD"/>
    <w:rsid w:val="0075623D"/>
    <w:rsid w:val="0075671A"/>
    <w:rsid w:val="00757D44"/>
    <w:rsid w:val="007602A8"/>
    <w:rsid w:val="00760376"/>
    <w:rsid w:val="00760556"/>
    <w:rsid w:val="00760B91"/>
    <w:rsid w:val="0076143E"/>
    <w:rsid w:val="007614A9"/>
    <w:rsid w:val="007615A3"/>
    <w:rsid w:val="00761EAF"/>
    <w:rsid w:val="00763BBD"/>
    <w:rsid w:val="00763FA3"/>
    <w:rsid w:val="007640D5"/>
    <w:rsid w:val="0076449F"/>
    <w:rsid w:val="00764F5B"/>
    <w:rsid w:val="00766BBE"/>
    <w:rsid w:val="00766E2F"/>
    <w:rsid w:val="00767112"/>
    <w:rsid w:val="00767521"/>
    <w:rsid w:val="0076776E"/>
    <w:rsid w:val="0077020C"/>
    <w:rsid w:val="007705AE"/>
    <w:rsid w:val="00771C4F"/>
    <w:rsid w:val="00771EFD"/>
    <w:rsid w:val="00772172"/>
    <w:rsid w:val="007721C7"/>
    <w:rsid w:val="007732C9"/>
    <w:rsid w:val="007733BF"/>
    <w:rsid w:val="007738F3"/>
    <w:rsid w:val="00774CB6"/>
    <w:rsid w:val="00776A3D"/>
    <w:rsid w:val="00776DFD"/>
    <w:rsid w:val="00777065"/>
    <w:rsid w:val="007773F3"/>
    <w:rsid w:val="00780072"/>
    <w:rsid w:val="0078020C"/>
    <w:rsid w:val="00780A6C"/>
    <w:rsid w:val="00781B9B"/>
    <w:rsid w:val="00781CFE"/>
    <w:rsid w:val="00781DEC"/>
    <w:rsid w:val="007823A1"/>
    <w:rsid w:val="00782488"/>
    <w:rsid w:val="00782DC8"/>
    <w:rsid w:val="00782FEB"/>
    <w:rsid w:val="00783831"/>
    <w:rsid w:val="007858D6"/>
    <w:rsid w:val="00785E49"/>
    <w:rsid w:val="007868C5"/>
    <w:rsid w:val="00786972"/>
    <w:rsid w:val="00786A8D"/>
    <w:rsid w:val="00786B17"/>
    <w:rsid w:val="00787338"/>
    <w:rsid w:val="00787C90"/>
    <w:rsid w:val="0078E3F2"/>
    <w:rsid w:val="00790A1F"/>
    <w:rsid w:val="0079160C"/>
    <w:rsid w:val="0079176F"/>
    <w:rsid w:val="007918B9"/>
    <w:rsid w:val="007921D8"/>
    <w:rsid w:val="00793B7A"/>
    <w:rsid w:val="00793C15"/>
    <w:rsid w:val="00793DA2"/>
    <w:rsid w:val="007946D1"/>
    <w:rsid w:val="007951D4"/>
    <w:rsid w:val="007972BE"/>
    <w:rsid w:val="007973A1"/>
    <w:rsid w:val="00797511"/>
    <w:rsid w:val="007A01EB"/>
    <w:rsid w:val="007A0882"/>
    <w:rsid w:val="007A105E"/>
    <w:rsid w:val="007A1C80"/>
    <w:rsid w:val="007A2E9C"/>
    <w:rsid w:val="007A3936"/>
    <w:rsid w:val="007A45CC"/>
    <w:rsid w:val="007A5EB9"/>
    <w:rsid w:val="007B0424"/>
    <w:rsid w:val="007B09F7"/>
    <w:rsid w:val="007B0D8A"/>
    <w:rsid w:val="007B13AE"/>
    <w:rsid w:val="007B1FC7"/>
    <w:rsid w:val="007B200F"/>
    <w:rsid w:val="007B2475"/>
    <w:rsid w:val="007B249F"/>
    <w:rsid w:val="007B2ECC"/>
    <w:rsid w:val="007B442F"/>
    <w:rsid w:val="007B4E56"/>
    <w:rsid w:val="007B586B"/>
    <w:rsid w:val="007B5CA1"/>
    <w:rsid w:val="007B5E37"/>
    <w:rsid w:val="007B601D"/>
    <w:rsid w:val="007B6602"/>
    <w:rsid w:val="007B6C81"/>
    <w:rsid w:val="007B6E73"/>
    <w:rsid w:val="007B6ECE"/>
    <w:rsid w:val="007B762A"/>
    <w:rsid w:val="007C0218"/>
    <w:rsid w:val="007C0CC8"/>
    <w:rsid w:val="007C1704"/>
    <w:rsid w:val="007C1DF4"/>
    <w:rsid w:val="007C368D"/>
    <w:rsid w:val="007C4E59"/>
    <w:rsid w:val="007C533D"/>
    <w:rsid w:val="007C5394"/>
    <w:rsid w:val="007C6BB9"/>
    <w:rsid w:val="007C6ECB"/>
    <w:rsid w:val="007C775B"/>
    <w:rsid w:val="007C7941"/>
    <w:rsid w:val="007C7B14"/>
    <w:rsid w:val="007D0280"/>
    <w:rsid w:val="007D0FAA"/>
    <w:rsid w:val="007D14B0"/>
    <w:rsid w:val="007D1633"/>
    <w:rsid w:val="007D1B60"/>
    <w:rsid w:val="007D2E6D"/>
    <w:rsid w:val="007D345D"/>
    <w:rsid w:val="007D3C49"/>
    <w:rsid w:val="007D4C51"/>
    <w:rsid w:val="007D5240"/>
    <w:rsid w:val="007D5501"/>
    <w:rsid w:val="007D59F1"/>
    <w:rsid w:val="007D634D"/>
    <w:rsid w:val="007D6B8A"/>
    <w:rsid w:val="007D6F57"/>
    <w:rsid w:val="007D7F23"/>
    <w:rsid w:val="007E00C9"/>
    <w:rsid w:val="007E073D"/>
    <w:rsid w:val="007E0F29"/>
    <w:rsid w:val="007E16C5"/>
    <w:rsid w:val="007E18A8"/>
    <w:rsid w:val="007E2018"/>
    <w:rsid w:val="007E260F"/>
    <w:rsid w:val="007E29AB"/>
    <w:rsid w:val="007E35CB"/>
    <w:rsid w:val="007E39AA"/>
    <w:rsid w:val="007E4081"/>
    <w:rsid w:val="007E44B4"/>
    <w:rsid w:val="007E4B05"/>
    <w:rsid w:val="007E5EDB"/>
    <w:rsid w:val="007E6884"/>
    <w:rsid w:val="007E77D7"/>
    <w:rsid w:val="007E7D6A"/>
    <w:rsid w:val="007E7EFC"/>
    <w:rsid w:val="007F0241"/>
    <w:rsid w:val="007F093D"/>
    <w:rsid w:val="007F0F18"/>
    <w:rsid w:val="007F137E"/>
    <w:rsid w:val="007F1478"/>
    <w:rsid w:val="007F16A8"/>
    <w:rsid w:val="007F35E1"/>
    <w:rsid w:val="007F38F0"/>
    <w:rsid w:val="007F3FFD"/>
    <w:rsid w:val="007F58F8"/>
    <w:rsid w:val="007F6144"/>
    <w:rsid w:val="007F6149"/>
    <w:rsid w:val="007F618C"/>
    <w:rsid w:val="007F688D"/>
    <w:rsid w:val="007F78F5"/>
    <w:rsid w:val="0080015A"/>
    <w:rsid w:val="00800B86"/>
    <w:rsid w:val="008015A2"/>
    <w:rsid w:val="00801936"/>
    <w:rsid w:val="00801B48"/>
    <w:rsid w:val="00802325"/>
    <w:rsid w:val="00802510"/>
    <w:rsid w:val="00802731"/>
    <w:rsid w:val="00803361"/>
    <w:rsid w:val="008036BF"/>
    <w:rsid w:val="008039AC"/>
    <w:rsid w:val="00804951"/>
    <w:rsid w:val="00804C8B"/>
    <w:rsid w:val="00804CD0"/>
    <w:rsid w:val="0080503F"/>
    <w:rsid w:val="0080510B"/>
    <w:rsid w:val="0080569D"/>
    <w:rsid w:val="0080610B"/>
    <w:rsid w:val="008061BF"/>
    <w:rsid w:val="008064CB"/>
    <w:rsid w:val="00806F44"/>
    <w:rsid w:val="008078A5"/>
    <w:rsid w:val="00807954"/>
    <w:rsid w:val="008108DB"/>
    <w:rsid w:val="00811DC8"/>
    <w:rsid w:val="00812446"/>
    <w:rsid w:val="00812E7D"/>
    <w:rsid w:val="00812FF7"/>
    <w:rsid w:val="008141D4"/>
    <w:rsid w:val="0081442C"/>
    <w:rsid w:val="00814633"/>
    <w:rsid w:val="00815754"/>
    <w:rsid w:val="00815C5A"/>
    <w:rsid w:val="00815DBC"/>
    <w:rsid w:val="0081652F"/>
    <w:rsid w:val="008167A1"/>
    <w:rsid w:val="00816F1C"/>
    <w:rsid w:val="008175AA"/>
    <w:rsid w:val="00817F4B"/>
    <w:rsid w:val="0081BC24"/>
    <w:rsid w:val="00820004"/>
    <w:rsid w:val="008223E7"/>
    <w:rsid w:val="008247B6"/>
    <w:rsid w:val="00824E71"/>
    <w:rsid w:val="00825AD1"/>
    <w:rsid w:val="008262CA"/>
    <w:rsid w:val="008268E0"/>
    <w:rsid w:val="00826BD0"/>
    <w:rsid w:val="00826D20"/>
    <w:rsid w:val="00827401"/>
    <w:rsid w:val="00827B13"/>
    <w:rsid w:val="00830798"/>
    <w:rsid w:val="00831FC5"/>
    <w:rsid w:val="00832F2D"/>
    <w:rsid w:val="008332E4"/>
    <w:rsid w:val="00833678"/>
    <w:rsid w:val="00833AB6"/>
    <w:rsid w:val="00834BFD"/>
    <w:rsid w:val="00837009"/>
    <w:rsid w:val="00840460"/>
    <w:rsid w:val="008408C1"/>
    <w:rsid w:val="00840B15"/>
    <w:rsid w:val="008413D6"/>
    <w:rsid w:val="00841ED2"/>
    <w:rsid w:val="0084268D"/>
    <w:rsid w:val="00842C74"/>
    <w:rsid w:val="008430DF"/>
    <w:rsid w:val="0084317E"/>
    <w:rsid w:val="00843A62"/>
    <w:rsid w:val="008442B7"/>
    <w:rsid w:val="00845890"/>
    <w:rsid w:val="008467C7"/>
    <w:rsid w:val="00846D08"/>
    <w:rsid w:val="00847415"/>
    <w:rsid w:val="0084763A"/>
    <w:rsid w:val="00847B92"/>
    <w:rsid w:val="00847E44"/>
    <w:rsid w:val="008503AA"/>
    <w:rsid w:val="00850F63"/>
    <w:rsid w:val="00851608"/>
    <w:rsid w:val="008518B3"/>
    <w:rsid w:val="00851A62"/>
    <w:rsid w:val="0085234E"/>
    <w:rsid w:val="00853EF3"/>
    <w:rsid w:val="00854271"/>
    <w:rsid w:val="008544BF"/>
    <w:rsid w:val="0085499E"/>
    <w:rsid w:val="00854E3D"/>
    <w:rsid w:val="008567C9"/>
    <w:rsid w:val="0085691A"/>
    <w:rsid w:val="00856E94"/>
    <w:rsid w:val="00856F8D"/>
    <w:rsid w:val="0085731E"/>
    <w:rsid w:val="00857E65"/>
    <w:rsid w:val="008601C5"/>
    <w:rsid w:val="00860A99"/>
    <w:rsid w:val="00860B8E"/>
    <w:rsid w:val="00860F52"/>
    <w:rsid w:val="00861080"/>
    <w:rsid w:val="00861A6A"/>
    <w:rsid w:val="00861C22"/>
    <w:rsid w:val="00861CB9"/>
    <w:rsid w:val="0086200A"/>
    <w:rsid w:val="00862417"/>
    <w:rsid w:val="008631BE"/>
    <w:rsid w:val="00863F9A"/>
    <w:rsid w:val="00863FAB"/>
    <w:rsid w:val="0086408B"/>
    <w:rsid w:val="00864126"/>
    <w:rsid w:val="00865F66"/>
    <w:rsid w:val="00867518"/>
    <w:rsid w:val="00870226"/>
    <w:rsid w:val="008704E4"/>
    <w:rsid w:val="0087081F"/>
    <w:rsid w:val="008712B9"/>
    <w:rsid w:val="00872DEE"/>
    <w:rsid w:val="008741B1"/>
    <w:rsid w:val="00875456"/>
    <w:rsid w:val="00875C45"/>
    <w:rsid w:val="00876062"/>
    <w:rsid w:val="00876D24"/>
    <w:rsid w:val="0087709E"/>
    <w:rsid w:val="00880650"/>
    <w:rsid w:val="008809EB"/>
    <w:rsid w:val="00880DE8"/>
    <w:rsid w:val="0088153C"/>
    <w:rsid w:val="00881C3F"/>
    <w:rsid w:val="0088229B"/>
    <w:rsid w:val="0088262E"/>
    <w:rsid w:val="008827CE"/>
    <w:rsid w:val="00882FEA"/>
    <w:rsid w:val="00883255"/>
    <w:rsid w:val="0088391A"/>
    <w:rsid w:val="008846FA"/>
    <w:rsid w:val="0088666A"/>
    <w:rsid w:val="00887AD9"/>
    <w:rsid w:val="00887C59"/>
    <w:rsid w:val="00890BD7"/>
    <w:rsid w:val="00890F24"/>
    <w:rsid w:val="00891A6E"/>
    <w:rsid w:val="00891F61"/>
    <w:rsid w:val="00892348"/>
    <w:rsid w:val="0089334F"/>
    <w:rsid w:val="008937AA"/>
    <w:rsid w:val="00893A15"/>
    <w:rsid w:val="00893A43"/>
    <w:rsid w:val="00893CC2"/>
    <w:rsid w:val="008941B7"/>
    <w:rsid w:val="008951FB"/>
    <w:rsid w:val="008953AF"/>
    <w:rsid w:val="00895512"/>
    <w:rsid w:val="00895EF4"/>
    <w:rsid w:val="008968EB"/>
    <w:rsid w:val="00897689"/>
    <w:rsid w:val="0089799C"/>
    <w:rsid w:val="00897A35"/>
    <w:rsid w:val="00897D67"/>
    <w:rsid w:val="00897FEE"/>
    <w:rsid w:val="008A0A37"/>
    <w:rsid w:val="008A1447"/>
    <w:rsid w:val="008A247E"/>
    <w:rsid w:val="008A25D6"/>
    <w:rsid w:val="008A274C"/>
    <w:rsid w:val="008A28B8"/>
    <w:rsid w:val="008A3330"/>
    <w:rsid w:val="008A3A56"/>
    <w:rsid w:val="008A405E"/>
    <w:rsid w:val="008A4DD1"/>
    <w:rsid w:val="008A51A2"/>
    <w:rsid w:val="008A51C6"/>
    <w:rsid w:val="008A51D2"/>
    <w:rsid w:val="008A5794"/>
    <w:rsid w:val="008A6539"/>
    <w:rsid w:val="008A7A22"/>
    <w:rsid w:val="008B031F"/>
    <w:rsid w:val="008B0639"/>
    <w:rsid w:val="008B2675"/>
    <w:rsid w:val="008B2EB2"/>
    <w:rsid w:val="008B35CE"/>
    <w:rsid w:val="008B45D7"/>
    <w:rsid w:val="008B5512"/>
    <w:rsid w:val="008B58BB"/>
    <w:rsid w:val="008B5EB0"/>
    <w:rsid w:val="008B6024"/>
    <w:rsid w:val="008B6392"/>
    <w:rsid w:val="008B6A85"/>
    <w:rsid w:val="008B6E5F"/>
    <w:rsid w:val="008B75C6"/>
    <w:rsid w:val="008B7AF1"/>
    <w:rsid w:val="008B7BC6"/>
    <w:rsid w:val="008C021C"/>
    <w:rsid w:val="008C0D19"/>
    <w:rsid w:val="008C0FFD"/>
    <w:rsid w:val="008C11F1"/>
    <w:rsid w:val="008C190A"/>
    <w:rsid w:val="008C3227"/>
    <w:rsid w:val="008C3709"/>
    <w:rsid w:val="008C3EB9"/>
    <w:rsid w:val="008C559D"/>
    <w:rsid w:val="008C5DC0"/>
    <w:rsid w:val="008C686C"/>
    <w:rsid w:val="008C6FB3"/>
    <w:rsid w:val="008C7A1A"/>
    <w:rsid w:val="008D0832"/>
    <w:rsid w:val="008D0D4C"/>
    <w:rsid w:val="008D124D"/>
    <w:rsid w:val="008D181A"/>
    <w:rsid w:val="008D2523"/>
    <w:rsid w:val="008D5B22"/>
    <w:rsid w:val="008D5E55"/>
    <w:rsid w:val="008D5E56"/>
    <w:rsid w:val="008D6BCE"/>
    <w:rsid w:val="008E051B"/>
    <w:rsid w:val="008E09C9"/>
    <w:rsid w:val="008E1B8A"/>
    <w:rsid w:val="008E2CBA"/>
    <w:rsid w:val="008E2EE7"/>
    <w:rsid w:val="008E3244"/>
    <w:rsid w:val="008E361C"/>
    <w:rsid w:val="008E36EC"/>
    <w:rsid w:val="008E3A6A"/>
    <w:rsid w:val="008E3A94"/>
    <w:rsid w:val="008E42F6"/>
    <w:rsid w:val="008E525F"/>
    <w:rsid w:val="008E5340"/>
    <w:rsid w:val="008E5486"/>
    <w:rsid w:val="008E55E0"/>
    <w:rsid w:val="008E5CE3"/>
    <w:rsid w:val="008E5E71"/>
    <w:rsid w:val="008E7D0C"/>
    <w:rsid w:val="008F01EF"/>
    <w:rsid w:val="008F10C0"/>
    <w:rsid w:val="008F1194"/>
    <w:rsid w:val="008F1CB6"/>
    <w:rsid w:val="008F1FF4"/>
    <w:rsid w:val="008F2508"/>
    <w:rsid w:val="008F273A"/>
    <w:rsid w:val="008F3896"/>
    <w:rsid w:val="008F49F0"/>
    <w:rsid w:val="008F5139"/>
    <w:rsid w:val="008F5237"/>
    <w:rsid w:val="008F54CA"/>
    <w:rsid w:val="008F5FA6"/>
    <w:rsid w:val="008F64BD"/>
    <w:rsid w:val="008F7A9C"/>
    <w:rsid w:val="009002C8"/>
    <w:rsid w:val="00900503"/>
    <w:rsid w:val="00900DA6"/>
    <w:rsid w:val="0090164C"/>
    <w:rsid w:val="00902933"/>
    <w:rsid w:val="00903228"/>
    <w:rsid w:val="00903601"/>
    <w:rsid w:val="009057DA"/>
    <w:rsid w:val="00906E8C"/>
    <w:rsid w:val="009076FA"/>
    <w:rsid w:val="00907E1B"/>
    <w:rsid w:val="00907F1B"/>
    <w:rsid w:val="0091030E"/>
    <w:rsid w:val="009113B3"/>
    <w:rsid w:val="00911B72"/>
    <w:rsid w:val="00912573"/>
    <w:rsid w:val="00912695"/>
    <w:rsid w:val="0091293C"/>
    <w:rsid w:val="0091299A"/>
    <w:rsid w:val="00912B3B"/>
    <w:rsid w:val="00913100"/>
    <w:rsid w:val="0091389C"/>
    <w:rsid w:val="00914764"/>
    <w:rsid w:val="0091492C"/>
    <w:rsid w:val="00914E3D"/>
    <w:rsid w:val="0091539C"/>
    <w:rsid w:val="00916A10"/>
    <w:rsid w:val="009170A3"/>
    <w:rsid w:val="00917822"/>
    <w:rsid w:val="00917BC9"/>
    <w:rsid w:val="00917CC1"/>
    <w:rsid w:val="009201CC"/>
    <w:rsid w:val="009203AE"/>
    <w:rsid w:val="00921613"/>
    <w:rsid w:val="00921835"/>
    <w:rsid w:val="00921AB0"/>
    <w:rsid w:val="00922881"/>
    <w:rsid w:val="00923557"/>
    <w:rsid w:val="009238C0"/>
    <w:rsid w:val="00923930"/>
    <w:rsid w:val="009242BE"/>
    <w:rsid w:val="00924D99"/>
    <w:rsid w:val="00925BAA"/>
    <w:rsid w:val="00925EE3"/>
    <w:rsid w:val="00927841"/>
    <w:rsid w:val="0092796F"/>
    <w:rsid w:val="00927A64"/>
    <w:rsid w:val="00927AC4"/>
    <w:rsid w:val="00927FAD"/>
    <w:rsid w:val="0093031B"/>
    <w:rsid w:val="009317F7"/>
    <w:rsid w:val="009328FC"/>
    <w:rsid w:val="00933D7D"/>
    <w:rsid w:val="009344B6"/>
    <w:rsid w:val="00935254"/>
    <w:rsid w:val="00935487"/>
    <w:rsid w:val="009360C5"/>
    <w:rsid w:val="0093699B"/>
    <w:rsid w:val="00936C9F"/>
    <w:rsid w:val="00937B31"/>
    <w:rsid w:val="00937BB2"/>
    <w:rsid w:val="00937D0D"/>
    <w:rsid w:val="0094069A"/>
    <w:rsid w:val="0094210A"/>
    <w:rsid w:val="0094210D"/>
    <w:rsid w:val="009421B9"/>
    <w:rsid w:val="009422E6"/>
    <w:rsid w:val="0094269A"/>
    <w:rsid w:val="00944443"/>
    <w:rsid w:val="0094490D"/>
    <w:rsid w:val="009457CF"/>
    <w:rsid w:val="00945A4B"/>
    <w:rsid w:val="00945AD7"/>
    <w:rsid w:val="0094602E"/>
    <w:rsid w:val="00946330"/>
    <w:rsid w:val="00946632"/>
    <w:rsid w:val="0094732B"/>
    <w:rsid w:val="009476F0"/>
    <w:rsid w:val="00950842"/>
    <w:rsid w:val="00950CCC"/>
    <w:rsid w:val="009521F5"/>
    <w:rsid w:val="0095220C"/>
    <w:rsid w:val="00952CFB"/>
    <w:rsid w:val="00952FBD"/>
    <w:rsid w:val="0095339F"/>
    <w:rsid w:val="00954020"/>
    <w:rsid w:val="00954AD1"/>
    <w:rsid w:val="00954B47"/>
    <w:rsid w:val="00954B8F"/>
    <w:rsid w:val="00955250"/>
    <w:rsid w:val="0095549B"/>
    <w:rsid w:val="0095660B"/>
    <w:rsid w:val="009566BB"/>
    <w:rsid w:val="009566CA"/>
    <w:rsid w:val="00956BFE"/>
    <w:rsid w:val="00956F8A"/>
    <w:rsid w:val="00957152"/>
    <w:rsid w:val="009573DD"/>
    <w:rsid w:val="009573EB"/>
    <w:rsid w:val="009584F3"/>
    <w:rsid w:val="0096064B"/>
    <w:rsid w:val="00960C35"/>
    <w:rsid w:val="00960EEA"/>
    <w:rsid w:val="0096145D"/>
    <w:rsid w:val="0096151C"/>
    <w:rsid w:val="009616FB"/>
    <w:rsid w:val="00962C63"/>
    <w:rsid w:val="00963568"/>
    <w:rsid w:val="009639DC"/>
    <w:rsid w:val="00963F1D"/>
    <w:rsid w:val="009659F5"/>
    <w:rsid w:val="00965A60"/>
    <w:rsid w:val="00966D0C"/>
    <w:rsid w:val="0096773B"/>
    <w:rsid w:val="009704B0"/>
    <w:rsid w:val="00972036"/>
    <w:rsid w:val="009732FE"/>
    <w:rsid w:val="00973A38"/>
    <w:rsid w:val="00973B3B"/>
    <w:rsid w:val="00973FE1"/>
    <w:rsid w:val="009742A6"/>
    <w:rsid w:val="00975790"/>
    <w:rsid w:val="00975DA5"/>
    <w:rsid w:val="00975E5B"/>
    <w:rsid w:val="009770E5"/>
    <w:rsid w:val="00977B3C"/>
    <w:rsid w:val="00977B7B"/>
    <w:rsid w:val="009807CF"/>
    <w:rsid w:val="00980918"/>
    <w:rsid w:val="00980CF3"/>
    <w:rsid w:val="00981E3B"/>
    <w:rsid w:val="009824C2"/>
    <w:rsid w:val="00983DE2"/>
    <w:rsid w:val="00983EF6"/>
    <w:rsid w:val="00983F19"/>
    <w:rsid w:val="009844F3"/>
    <w:rsid w:val="00984CF8"/>
    <w:rsid w:val="00985E5B"/>
    <w:rsid w:val="00985F59"/>
    <w:rsid w:val="0098711D"/>
    <w:rsid w:val="00987853"/>
    <w:rsid w:val="00987BD3"/>
    <w:rsid w:val="00987C22"/>
    <w:rsid w:val="009908A7"/>
    <w:rsid w:val="00990DBB"/>
    <w:rsid w:val="00991AE7"/>
    <w:rsid w:val="00992031"/>
    <w:rsid w:val="009920D4"/>
    <w:rsid w:val="0099432F"/>
    <w:rsid w:val="0099437A"/>
    <w:rsid w:val="009952EB"/>
    <w:rsid w:val="009959BB"/>
    <w:rsid w:val="00995D43"/>
    <w:rsid w:val="009964E7"/>
    <w:rsid w:val="009A0402"/>
    <w:rsid w:val="009A0BC0"/>
    <w:rsid w:val="009A1215"/>
    <w:rsid w:val="009A180F"/>
    <w:rsid w:val="009A1E24"/>
    <w:rsid w:val="009A20E5"/>
    <w:rsid w:val="009A2118"/>
    <w:rsid w:val="009A222C"/>
    <w:rsid w:val="009A240B"/>
    <w:rsid w:val="009A2CE0"/>
    <w:rsid w:val="009A33DC"/>
    <w:rsid w:val="009A4418"/>
    <w:rsid w:val="009A462F"/>
    <w:rsid w:val="009A5009"/>
    <w:rsid w:val="009A623A"/>
    <w:rsid w:val="009A6A49"/>
    <w:rsid w:val="009A6D88"/>
    <w:rsid w:val="009B040F"/>
    <w:rsid w:val="009B09EE"/>
    <w:rsid w:val="009B0A8E"/>
    <w:rsid w:val="009B1CC7"/>
    <w:rsid w:val="009B2191"/>
    <w:rsid w:val="009B3160"/>
    <w:rsid w:val="009B3319"/>
    <w:rsid w:val="009B4B17"/>
    <w:rsid w:val="009B4EEE"/>
    <w:rsid w:val="009B532B"/>
    <w:rsid w:val="009B58BD"/>
    <w:rsid w:val="009B5F0E"/>
    <w:rsid w:val="009B6543"/>
    <w:rsid w:val="009B67D1"/>
    <w:rsid w:val="009B6B20"/>
    <w:rsid w:val="009B710C"/>
    <w:rsid w:val="009B7560"/>
    <w:rsid w:val="009B77E9"/>
    <w:rsid w:val="009C0A22"/>
    <w:rsid w:val="009C128A"/>
    <w:rsid w:val="009C32BF"/>
    <w:rsid w:val="009C3E19"/>
    <w:rsid w:val="009C44C1"/>
    <w:rsid w:val="009C4684"/>
    <w:rsid w:val="009C468E"/>
    <w:rsid w:val="009C4944"/>
    <w:rsid w:val="009C532F"/>
    <w:rsid w:val="009C5674"/>
    <w:rsid w:val="009C5B19"/>
    <w:rsid w:val="009C5CA3"/>
    <w:rsid w:val="009C5DC9"/>
    <w:rsid w:val="009C5E33"/>
    <w:rsid w:val="009C651A"/>
    <w:rsid w:val="009C6AA3"/>
    <w:rsid w:val="009D0C30"/>
    <w:rsid w:val="009D126A"/>
    <w:rsid w:val="009D2562"/>
    <w:rsid w:val="009D3CD8"/>
    <w:rsid w:val="009D3EE1"/>
    <w:rsid w:val="009D42C6"/>
    <w:rsid w:val="009D45F9"/>
    <w:rsid w:val="009D5230"/>
    <w:rsid w:val="009D5894"/>
    <w:rsid w:val="009D7291"/>
    <w:rsid w:val="009D7E49"/>
    <w:rsid w:val="009D7FFD"/>
    <w:rsid w:val="009E06FA"/>
    <w:rsid w:val="009E1124"/>
    <w:rsid w:val="009E14AF"/>
    <w:rsid w:val="009E2074"/>
    <w:rsid w:val="009E354F"/>
    <w:rsid w:val="009E3E67"/>
    <w:rsid w:val="009E44C7"/>
    <w:rsid w:val="009E4949"/>
    <w:rsid w:val="009E51CE"/>
    <w:rsid w:val="009E5D82"/>
    <w:rsid w:val="009E6279"/>
    <w:rsid w:val="009E62D0"/>
    <w:rsid w:val="009E734D"/>
    <w:rsid w:val="009E7468"/>
    <w:rsid w:val="009F0667"/>
    <w:rsid w:val="009F08F3"/>
    <w:rsid w:val="009F0DE2"/>
    <w:rsid w:val="009F0EAA"/>
    <w:rsid w:val="009F1B05"/>
    <w:rsid w:val="009F1D0F"/>
    <w:rsid w:val="009F2896"/>
    <w:rsid w:val="009F38A2"/>
    <w:rsid w:val="009F4034"/>
    <w:rsid w:val="009F42AB"/>
    <w:rsid w:val="009F5A9B"/>
    <w:rsid w:val="009F642A"/>
    <w:rsid w:val="009F78CB"/>
    <w:rsid w:val="009F79DC"/>
    <w:rsid w:val="009F7ABD"/>
    <w:rsid w:val="00A00307"/>
    <w:rsid w:val="00A00A01"/>
    <w:rsid w:val="00A00A06"/>
    <w:rsid w:val="00A02267"/>
    <w:rsid w:val="00A02C22"/>
    <w:rsid w:val="00A0309C"/>
    <w:rsid w:val="00A03633"/>
    <w:rsid w:val="00A03754"/>
    <w:rsid w:val="00A04130"/>
    <w:rsid w:val="00A0599B"/>
    <w:rsid w:val="00A05CDF"/>
    <w:rsid w:val="00A06BCF"/>
    <w:rsid w:val="00A07036"/>
    <w:rsid w:val="00A07484"/>
    <w:rsid w:val="00A076BD"/>
    <w:rsid w:val="00A07B34"/>
    <w:rsid w:val="00A1024D"/>
    <w:rsid w:val="00A1236A"/>
    <w:rsid w:val="00A136E3"/>
    <w:rsid w:val="00A14107"/>
    <w:rsid w:val="00A14286"/>
    <w:rsid w:val="00A14ECF"/>
    <w:rsid w:val="00A15043"/>
    <w:rsid w:val="00A1554D"/>
    <w:rsid w:val="00A15919"/>
    <w:rsid w:val="00A16E72"/>
    <w:rsid w:val="00A17094"/>
    <w:rsid w:val="00A174D4"/>
    <w:rsid w:val="00A17C73"/>
    <w:rsid w:val="00A17EC5"/>
    <w:rsid w:val="00A201C7"/>
    <w:rsid w:val="00A20956"/>
    <w:rsid w:val="00A20CED"/>
    <w:rsid w:val="00A20DBC"/>
    <w:rsid w:val="00A22B06"/>
    <w:rsid w:val="00A23513"/>
    <w:rsid w:val="00A23FE4"/>
    <w:rsid w:val="00A24431"/>
    <w:rsid w:val="00A2600F"/>
    <w:rsid w:val="00A303EE"/>
    <w:rsid w:val="00A32EDC"/>
    <w:rsid w:val="00A339B8"/>
    <w:rsid w:val="00A33EBD"/>
    <w:rsid w:val="00A34852"/>
    <w:rsid w:val="00A35680"/>
    <w:rsid w:val="00A35789"/>
    <w:rsid w:val="00A35817"/>
    <w:rsid w:val="00A36213"/>
    <w:rsid w:val="00A36423"/>
    <w:rsid w:val="00A36C54"/>
    <w:rsid w:val="00A37466"/>
    <w:rsid w:val="00A40550"/>
    <w:rsid w:val="00A40CC4"/>
    <w:rsid w:val="00A40CEB"/>
    <w:rsid w:val="00A410CD"/>
    <w:rsid w:val="00A41265"/>
    <w:rsid w:val="00A41431"/>
    <w:rsid w:val="00A418C0"/>
    <w:rsid w:val="00A41DD4"/>
    <w:rsid w:val="00A42A9A"/>
    <w:rsid w:val="00A4301D"/>
    <w:rsid w:val="00A437E4"/>
    <w:rsid w:val="00A44980"/>
    <w:rsid w:val="00A4510E"/>
    <w:rsid w:val="00A45374"/>
    <w:rsid w:val="00A45D16"/>
    <w:rsid w:val="00A4618E"/>
    <w:rsid w:val="00A47879"/>
    <w:rsid w:val="00A47ADF"/>
    <w:rsid w:val="00A47EC8"/>
    <w:rsid w:val="00A502B4"/>
    <w:rsid w:val="00A50F9C"/>
    <w:rsid w:val="00A51378"/>
    <w:rsid w:val="00A51997"/>
    <w:rsid w:val="00A52C01"/>
    <w:rsid w:val="00A54AB7"/>
    <w:rsid w:val="00A55391"/>
    <w:rsid w:val="00A55786"/>
    <w:rsid w:val="00A57516"/>
    <w:rsid w:val="00A57D9B"/>
    <w:rsid w:val="00A63318"/>
    <w:rsid w:val="00A633E2"/>
    <w:rsid w:val="00A64748"/>
    <w:rsid w:val="00A649CA"/>
    <w:rsid w:val="00A65678"/>
    <w:rsid w:val="00A65B81"/>
    <w:rsid w:val="00A65BDE"/>
    <w:rsid w:val="00A66AD5"/>
    <w:rsid w:val="00A66F40"/>
    <w:rsid w:val="00A7062F"/>
    <w:rsid w:val="00A70BC3"/>
    <w:rsid w:val="00A70DD1"/>
    <w:rsid w:val="00A716CA"/>
    <w:rsid w:val="00A721BC"/>
    <w:rsid w:val="00A72D35"/>
    <w:rsid w:val="00A7397B"/>
    <w:rsid w:val="00A74529"/>
    <w:rsid w:val="00A74D63"/>
    <w:rsid w:val="00A76552"/>
    <w:rsid w:val="00A76ECE"/>
    <w:rsid w:val="00A77063"/>
    <w:rsid w:val="00A771AB"/>
    <w:rsid w:val="00A777AB"/>
    <w:rsid w:val="00A77C69"/>
    <w:rsid w:val="00A8014F"/>
    <w:rsid w:val="00A80945"/>
    <w:rsid w:val="00A80D01"/>
    <w:rsid w:val="00A81005"/>
    <w:rsid w:val="00A81299"/>
    <w:rsid w:val="00A82227"/>
    <w:rsid w:val="00A83362"/>
    <w:rsid w:val="00A8375E"/>
    <w:rsid w:val="00A83A5B"/>
    <w:rsid w:val="00A840CD"/>
    <w:rsid w:val="00A8445A"/>
    <w:rsid w:val="00A847E1"/>
    <w:rsid w:val="00A84DF7"/>
    <w:rsid w:val="00A85C20"/>
    <w:rsid w:val="00A86058"/>
    <w:rsid w:val="00A86985"/>
    <w:rsid w:val="00A90BD5"/>
    <w:rsid w:val="00A90F41"/>
    <w:rsid w:val="00A91D77"/>
    <w:rsid w:val="00A9367A"/>
    <w:rsid w:val="00A93C1F"/>
    <w:rsid w:val="00A942C9"/>
    <w:rsid w:val="00A943B2"/>
    <w:rsid w:val="00A9602E"/>
    <w:rsid w:val="00A96567"/>
    <w:rsid w:val="00A965CC"/>
    <w:rsid w:val="00A969FD"/>
    <w:rsid w:val="00A97B5B"/>
    <w:rsid w:val="00AA0222"/>
    <w:rsid w:val="00AA2B64"/>
    <w:rsid w:val="00AA311D"/>
    <w:rsid w:val="00AA3FC3"/>
    <w:rsid w:val="00AA466D"/>
    <w:rsid w:val="00AA483D"/>
    <w:rsid w:val="00AA4970"/>
    <w:rsid w:val="00AA4BB9"/>
    <w:rsid w:val="00AA5336"/>
    <w:rsid w:val="00AA5CFE"/>
    <w:rsid w:val="00AA5E9B"/>
    <w:rsid w:val="00AA6295"/>
    <w:rsid w:val="00AA6550"/>
    <w:rsid w:val="00AA694D"/>
    <w:rsid w:val="00AA73A0"/>
    <w:rsid w:val="00AA76C7"/>
    <w:rsid w:val="00AA7C3A"/>
    <w:rsid w:val="00AB07A4"/>
    <w:rsid w:val="00AB0870"/>
    <w:rsid w:val="00AB181B"/>
    <w:rsid w:val="00AB2965"/>
    <w:rsid w:val="00AB2E64"/>
    <w:rsid w:val="00AB2F2F"/>
    <w:rsid w:val="00AB36B3"/>
    <w:rsid w:val="00AB43AB"/>
    <w:rsid w:val="00AB4D75"/>
    <w:rsid w:val="00AB571C"/>
    <w:rsid w:val="00AB5823"/>
    <w:rsid w:val="00AB6087"/>
    <w:rsid w:val="00AB6515"/>
    <w:rsid w:val="00AB65DB"/>
    <w:rsid w:val="00AB6CBE"/>
    <w:rsid w:val="00AB7CDA"/>
    <w:rsid w:val="00AC0213"/>
    <w:rsid w:val="00AC02F7"/>
    <w:rsid w:val="00AC05DC"/>
    <w:rsid w:val="00AC0C45"/>
    <w:rsid w:val="00AC10A6"/>
    <w:rsid w:val="00AC1EDB"/>
    <w:rsid w:val="00AC22EF"/>
    <w:rsid w:val="00AC2561"/>
    <w:rsid w:val="00AC2865"/>
    <w:rsid w:val="00AC3A1E"/>
    <w:rsid w:val="00AC3B69"/>
    <w:rsid w:val="00AC3E58"/>
    <w:rsid w:val="00AC3EB6"/>
    <w:rsid w:val="00AC422B"/>
    <w:rsid w:val="00AC4E00"/>
    <w:rsid w:val="00AC4F2D"/>
    <w:rsid w:val="00AC5086"/>
    <w:rsid w:val="00AC59C1"/>
    <w:rsid w:val="00AC5EA8"/>
    <w:rsid w:val="00AC5F60"/>
    <w:rsid w:val="00AC6720"/>
    <w:rsid w:val="00AC6BB4"/>
    <w:rsid w:val="00AC6C9C"/>
    <w:rsid w:val="00AC6CEB"/>
    <w:rsid w:val="00AC7100"/>
    <w:rsid w:val="00AC74CC"/>
    <w:rsid w:val="00AC7B5B"/>
    <w:rsid w:val="00AC7ECD"/>
    <w:rsid w:val="00ACDAB5"/>
    <w:rsid w:val="00AD031C"/>
    <w:rsid w:val="00AD03E4"/>
    <w:rsid w:val="00AD0766"/>
    <w:rsid w:val="00AD083F"/>
    <w:rsid w:val="00AD0D65"/>
    <w:rsid w:val="00AD1184"/>
    <w:rsid w:val="00AD160A"/>
    <w:rsid w:val="00AD2170"/>
    <w:rsid w:val="00AD275A"/>
    <w:rsid w:val="00AD290A"/>
    <w:rsid w:val="00AD32F0"/>
    <w:rsid w:val="00AD333A"/>
    <w:rsid w:val="00AD3D6D"/>
    <w:rsid w:val="00AD400C"/>
    <w:rsid w:val="00AD5DB8"/>
    <w:rsid w:val="00AD6B5A"/>
    <w:rsid w:val="00AD6BCF"/>
    <w:rsid w:val="00AD7F00"/>
    <w:rsid w:val="00AE0559"/>
    <w:rsid w:val="00AE0CC9"/>
    <w:rsid w:val="00AE0D97"/>
    <w:rsid w:val="00AE0DD0"/>
    <w:rsid w:val="00AE126A"/>
    <w:rsid w:val="00AE160E"/>
    <w:rsid w:val="00AE16AC"/>
    <w:rsid w:val="00AE22BA"/>
    <w:rsid w:val="00AE250A"/>
    <w:rsid w:val="00AE2AF6"/>
    <w:rsid w:val="00AE2CE8"/>
    <w:rsid w:val="00AE3369"/>
    <w:rsid w:val="00AE385C"/>
    <w:rsid w:val="00AE3B5F"/>
    <w:rsid w:val="00AE3CFD"/>
    <w:rsid w:val="00AE55D2"/>
    <w:rsid w:val="00AE59EE"/>
    <w:rsid w:val="00AE5DB1"/>
    <w:rsid w:val="00AE6A31"/>
    <w:rsid w:val="00AE7106"/>
    <w:rsid w:val="00AE7F95"/>
    <w:rsid w:val="00AE7FF7"/>
    <w:rsid w:val="00AF001D"/>
    <w:rsid w:val="00AF06CB"/>
    <w:rsid w:val="00AF11E6"/>
    <w:rsid w:val="00AF1628"/>
    <w:rsid w:val="00AF1B84"/>
    <w:rsid w:val="00AF1FA3"/>
    <w:rsid w:val="00AF2676"/>
    <w:rsid w:val="00AF285A"/>
    <w:rsid w:val="00AF2C5C"/>
    <w:rsid w:val="00AF302A"/>
    <w:rsid w:val="00AF343A"/>
    <w:rsid w:val="00AF377C"/>
    <w:rsid w:val="00AF37BE"/>
    <w:rsid w:val="00AF427F"/>
    <w:rsid w:val="00AF4456"/>
    <w:rsid w:val="00AF48DC"/>
    <w:rsid w:val="00AF48EA"/>
    <w:rsid w:val="00AF4C82"/>
    <w:rsid w:val="00AF4D16"/>
    <w:rsid w:val="00AF5B4A"/>
    <w:rsid w:val="00AF6215"/>
    <w:rsid w:val="00AF7291"/>
    <w:rsid w:val="00AF785F"/>
    <w:rsid w:val="00B00507"/>
    <w:rsid w:val="00B00E97"/>
    <w:rsid w:val="00B01126"/>
    <w:rsid w:val="00B01836"/>
    <w:rsid w:val="00B01A3E"/>
    <w:rsid w:val="00B01CBB"/>
    <w:rsid w:val="00B022E3"/>
    <w:rsid w:val="00B02A92"/>
    <w:rsid w:val="00B03428"/>
    <w:rsid w:val="00B035CC"/>
    <w:rsid w:val="00B04214"/>
    <w:rsid w:val="00B04DAA"/>
    <w:rsid w:val="00B0503D"/>
    <w:rsid w:val="00B05091"/>
    <w:rsid w:val="00B051DF"/>
    <w:rsid w:val="00B0565E"/>
    <w:rsid w:val="00B0582B"/>
    <w:rsid w:val="00B05995"/>
    <w:rsid w:val="00B05B1B"/>
    <w:rsid w:val="00B06171"/>
    <w:rsid w:val="00B06606"/>
    <w:rsid w:val="00B068D9"/>
    <w:rsid w:val="00B06E83"/>
    <w:rsid w:val="00B07215"/>
    <w:rsid w:val="00B07C2A"/>
    <w:rsid w:val="00B103CA"/>
    <w:rsid w:val="00B10789"/>
    <w:rsid w:val="00B12357"/>
    <w:rsid w:val="00B12D71"/>
    <w:rsid w:val="00B13634"/>
    <w:rsid w:val="00B13748"/>
    <w:rsid w:val="00B13F43"/>
    <w:rsid w:val="00B14087"/>
    <w:rsid w:val="00B14BDD"/>
    <w:rsid w:val="00B15013"/>
    <w:rsid w:val="00B15148"/>
    <w:rsid w:val="00B158D5"/>
    <w:rsid w:val="00B15BCE"/>
    <w:rsid w:val="00B15BF2"/>
    <w:rsid w:val="00B15E6F"/>
    <w:rsid w:val="00B16C7D"/>
    <w:rsid w:val="00B17D2F"/>
    <w:rsid w:val="00B208F9"/>
    <w:rsid w:val="00B208FC"/>
    <w:rsid w:val="00B215AE"/>
    <w:rsid w:val="00B21EEA"/>
    <w:rsid w:val="00B222AD"/>
    <w:rsid w:val="00B23B41"/>
    <w:rsid w:val="00B23CE0"/>
    <w:rsid w:val="00B24DA3"/>
    <w:rsid w:val="00B2578C"/>
    <w:rsid w:val="00B26878"/>
    <w:rsid w:val="00B268F6"/>
    <w:rsid w:val="00B27850"/>
    <w:rsid w:val="00B27D2D"/>
    <w:rsid w:val="00B3185C"/>
    <w:rsid w:val="00B329D0"/>
    <w:rsid w:val="00B331E6"/>
    <w:rsid w:val="00B33326"/>
    <w:rsid w:val="00B34240"/>
    <w:rsid w:val="00B34418"/>
    <w:rsid w:val="00B3452A"/>
    <w:rsid w:val="00B347C0"/>
    <w:rsid w:val="00B34C17"/>
    <w:rsid w:val="00B34F64"/>
    <w:rsid w:val="00B352C3"/>
    <w:rsid w:val="00B368CA"/>
    <w:rsid w:val="00B41599"/>
    <w:rsid w:val="00B416FB"/>
    <w:rsid w:val="00B41772"/>
    <w:rsid w:val="00B42964"/>
    <w:rsid w:val="00B447AE"/>
    <w:rsid w:val="00B44E31"/>
    <w:rsid w:val="00B455DD"/>
    <w:rsid w:val="00B45E08"/>
    <w:rsid w:val="00B46256"/>
    <w:rsid w:val="00B462DF"/>
    <w:rsid w:val="00B471F4"/>
    <w:rsid w:val="00B47507"/>
    <w:rsid w:val="00B47633"/>
    <w:rsid w:val="00B5028B"/>
    <w:rsid w:val="00B5177D"/>
    <w:rsid w:val="00B51E8B"/>
    <w:rsid w:val="00B52013"/>
    <w:rsid w:val="00B522B8"/>
    <w:rsid w:val="00B5263F"/>
    <w:rsid w:val="00B53061"/>
    <w:rsid w:val="00B5338E"/>
    <w:rsid w:val="00B535C6"/>
    <w:rsid w:val="00B5533A"/>
    <w:rsid w:val="00B5561F"/>
    <w:rsid w:val="00B558C9"/>
    <w:rsid w:val="00B55F0E"/>
    <w:rsid w:val="00B5639F"/>
    <w:rsid w:val="00B566ED"/>
    <w:rsid w:val="00B569E6"/>
    <w:rsid w:val="00B603B2"/>
    <w:rsid w:val="00B60A2D"/>
    <w:rsid w:val="00B60C86"/>
    <w:rsid w:val="00B60EE3"/>
    <w:rsid w:val="00B611DD"/>
    <w:rsid w:val="00B6150F"/>
    <w:rsid w:val="00B6311D"/>
    <w:rsid w:val="00B643B5"/>
    <w:rsid w:val="00B64F63"/>
    <w:rsid w:val="00B65C58"/>
    <w:rsid w:val="00B66DFF"/>
    <w:rsid w:val="00B6717B"/>
    <w:rsid w:val="00B67180"/>
    <w:rsid w:val="00B67768"/>
    <w:rsid w:val="00B7071E"/>
    <w:rsid w:val="00B70C00"/>
    <w:rsid w:val="00B713A4"/>
    <w:rsid w:val="00B7182C"/>
    <w:rsid w:val="00B71AE9"/>
    <w:rsid w:val="00B72673"/>
    <w:rsid w:val="00B727A8"/>
    <w:rsid w:val="00B7289B"/>
    <w:rsid w:val="00B72CE4"/>
    <w:rsid w:val="00B73A3A"/>
    <w:rsid w:val="00B74043"/>
    <w:rsid w:val="00B747E2"/>
    <w:rsid w:val="00B758C4"/>
    <w:rsid w:val="00B75B43"/>
    <w:rsid w:val="00B77808"/>
    <w:rsid w:val="00B80087"/>
    <w:rsid w:val="00B80213"/>
    <w:rsid w:val="00B802BB"/>
    <w:rsid w:val="00B804C6"/>
    <w:rsid w:val="00B8053A"/>
    <w:rsid w:val="00B814E4"/>
    <w:rsid w:val="00B816CE"/>
    <w:rsid w:val="00B81D92"/>
    <w:rsid w:val="00B824A5"/>
    <w:rsid w:val="00B827FF"/>
    <w:rsid w:val="00B83007"/>
    <w:rsid w:val="00B83FCB"/>
    <w:rsid w:val="00B8445D"/>
    <w:rsid w:val="00B846E1"/>
    <w:rsid w:val="00B84835"/>
    <w:rsid w:val="00B855AB"/>
    <w:rsid w:val="00B85D68"/>
    <w:rsid w:val="00B867FD"/>
    <w:rsid w:val="00B86A1D"/>
    <w:rsid w:val="00B871AC"/>
    <w:rsid w:val="00B876A8"/>
    <w:rsid w:val="00B9000E"/>
    <w:rsid w:val="00B9010E"/>
    <w:rsid w:val="00B9061C"/>
    <w:rsid w:val="00B90652"/>
    <w:rsid w:val="00B90A67"/>
    <w:rsid w:val="00B9199A"/>
    <w:rsid w:val="00B919FE"/>
    <w:rsid w:val="00B91C0B"/>
    <w:rsid w:val="00B92502"/>
    <w:rsid w:val="00B92A05"/>
    <w:rsid w:val="00B93351"/>
    <w:rsid w:val="00B93FAF"/>
    <w:rsid w:val="00B95411"/>
    <w:rsid w:val="00B95B1F"/>
    <w:rsid w:val="00B95BE2"/>
    <w:rsid w:val="00B96AC7"/>
    <w:rsid w:val="00B96DBD"/>
    <w:rsid w:val="00B96E88"/>
    <w:rsid w:val="00B9744A"/>
    <w:rsid w:val="00B97501"/>
    <w:rsid w:val="00B97B90"/>
    <w:rsid w:val="00B97CFC"/>
    <w:rsid w:val="00B97D89"/>
    <w:rsid w:val="00BA06C7"/>
    <w:rsid w:val="00BA0D89"/>
    <w:rsid w:val="00BA2A7C"/>
    <w:rsid w:val="00BA2E44"/>
    <w:rsid w:val="00BA377F"/>
    <w:rsid w:val="00BA4217"/>
    <w:rsid w:val="00BA4872"/>
    <w:rsid w:val="00BA4C32"/>
    <w:rsid w:val="00BA4EF3"/>
    <w:rsid w:val="00BA6C89"/>
    <w:rsid w:val="00BB1504"/>
    <w:rsid w:val="00BB17B8"/>
    <w:rsid w:val="00BB215C"/>
    <w:rsid w:val="00BB2DDB"/>
    <w:rsid w:val="00BB33D1"/>
    <w:rsid w:val="00BB38B2"/>
    <w:rsid w:val="00BB549F"/>
    <w:rsid w:val="00BB640D"/>
    <w:rsid w:val="00BB6C0C"/>
    <w:rsid w:val="00BB70FB"/>
    <w:rsid w:val="00BB7D43"/>
    <w:rsid w:val="00BC1159"/>
    <w:rsid w:val="00BC2074"/>
    <w:rsid w:val="00BC2223"/>
    <w:rsid w:val="00BC3BE5"/>
    <w:rsid w:val="00BC3F2D"/>
    <w:rsid w:val="00BC46FA"/>
    <w:rsid w:val="00BC49C6"/>
    <w:rsid w:val="00BC57BE"/>
    <w:rsid w:val="00BC584E"/>
    <w:rsid w:val="00BC6220"/>
    <w:rsid w:val="00BC622C"/>
    <w:rsid w:val="00BC6970"/>
    <w:rsid w:val="00BD0813"/>
    <w:rsid w:val="00BD0C75"/>
    <w:rsid w:val="00BD0F98"/>
    <w:rsid w:val="00BD199F"/>
    <w:rsid w:val="00BD1FF9"/>
    <w:rsid w:val="00BD2085"/>
    <w:rsid w:val="00BD241F"/>
    <w:rsid w:val="00BD2B6C"/>
    <w:rsid w:val="00BD2C16"/>
    <w:rsid w:val="00BD3992"/>
    <w:rsid w:val="00BD3D4A"/>
    <w:rsid w:val="00BD403D"/>
    <w:rsid w:val="00BD40AF"/>
    <w:rsid w:val="00BD42D8"/>
    <w:rsid w:val="00BD557D"/>
    <w:rsid w:val="00BD5B18"/>
    <w:rsid w:val="00BD5C05"/>
    <w:rsid w:val="00BD6118"/>
    <w:rsid w:val="00BD68EB"/>
    <w:rsid w:val="00BD69E8"/>
    <w:rsid w:val="00BD7002"/>
    <w:rsid w:val="00BD7460"/>
    <w:rsid w:val="00BD796E"/>
    <w:rsid w:val="00BE073F"/>
    <w:rsid w:val="00BE32F9"/>
    <w:rsid w:val="00BE3C7B"/>
    <w:rsid w:val="00BE52BC"/>
    <w:rsid w:val="00BE62BD"/>
    <w:rsid w:val="00BE6450"/>
    <w:rsid w:val="00BE6665"/>
    <w:rsid w:val="00BE749C"/>
    <w:rsid w:val="00BE7FAD"/>
    <w:rsid w:val="00BF0212"/>
    <w:rsid w:val="00BF0831"/>
    <w:rsid w:val="00BF1434"/>
    <w:rsid w:val="00BF225B"/>
    <w:rsid w:val="00BF2C84"/>
    <w:rsid w:val="00BF2E42"/>
    <w:rsid w:val="00BF322E"/>
    <w:rsid w:val="00BF35EA"/>
    <w:rsid w:val="00BF4053"/>
    <w:rsid w:val="00BF4930"/>
    <w:rsid w:val="00BF582F"/>
    <w:rsid w:val="00BF5ACB"/>
    <w:rsid w:val="00BF6512"/>
    <w:rsid w:val="00BF67B1"/>
    <w:rsid w:val="00BF6FF6"/>
    <w:rsid w:val="00C00442"/>
    <w:rsid w:val="00C004AC"/>
    <w:rsid w:val="00C009AE"/>
    <w:rsid w:val="00C01285"/>
    <w:rsid w:val="00C01ED9"/>
    <w:rsid w:val="00C01F84"/>
    <w:rsid w:val="00C021E6"/>
    <w:rsid w:val="00C02969"/>
    <w:rsid w:val="00C0427F"/>
    <w:rsid w:val="00C04437"/>
    <w:rsid w:val="00C049E6"/>
    <w:rsid w:val="00C0606C"/>
    <w:rsid w:val="00C0668E"/>
    <w:rsid w:val="00C102B5"/>
    <w:rsid w:val="00C102CA"/>
    <w:rsid w:val="00C10D7A"/>
    <w:rsid w:val="00C10E9A"/>
    <w:rsid w:val="00C10FF2"/>
    <w:rsid w:val="00C11F8C"/>
    <w:rsid w:val="00C14296"/>
    <w:rsid w:val="00C1448C"/>
    <w:rsid w:val="00C148C1"/>
    <w:rsid w:val="00C14909"/>
    <w:rsid w:val="00C1505C"/>
    <w:rsid w:val="00C15C51"/>
    <w:rsid w:val="00C1625F"/>
    <w:rsid w:val="00C16CA1"/>
    <w:rsid w:val="00C17E43"/>
    <w:rsid w:val="00C20CA7"/>
    <w:rsid w:val="00C215C7"/>
    <w:rsid w:val="00C217B0"/>
    <w:rsid w:val="00C21A8E"/>
    <w:rsid w:val="00C23138"/>
    <w:rsid w:val="00C235CA"/>
    <w:rsid w:val="00C23779"/>
    <w:rsid w:val="00C23E5E"/>
    <w:rsid w:val="00C23FEE"/>
    <w:rsid w:val="00C244B3"/>
    <w:rsid w:val="00C255B9"/>
    <w:rsid w:val="00C25694"/>
    <w:rsid w:val="00C25CB9"/>
    <w:rsid w:val="00C25CD9"/>
    <w:rsid w:val="00C25FC3"/>
    <w:rsid w:val="00C2650C"/>
    <w:rsid w:val="00C26D10"/>
    <w:rsid w:val="00C27641"/>
    <w:rsid w:val="00C27DDB"/>
    <w:rsid w:val="00C305B5"/>
    <w:rsid w:val="00C30F58"/>
    <w:rsid w:val="00C31A6A"/>
    <w:rsid w:val="00C31FC3"/>
    <w:rsid w:val="00C32998"/>
    <w:rsid w:val="00C32E7A"/>
    <w:rsid w:val="00C335B5"/>
    <w:rsid w:val="00C3385A"/>
    <w:rsid w:val="00C33919"/>
    <w:rsid w:val="00C33C4C"/>
    <w:rsid w:val="00C36139"/>
    <w:rsid w:val="00C3666E"/>
    <w:rsid w:val="00C3697D"/>
    <w:rsid w:val="00C36B6A"/>
    <w:rsid w:val="00C3708A"/>
    <w:rsid w:val="00C370C9"/>
    <w:rsid w:val="00C3719B"/>
    <w:rsid w:val="00C3751F"/>
    <w:rsid w:val="00C3769B"/>
    <w:rsid w:val="00C40C22"/>
    <w:rsid w:val="00C41638"/>
    <w:rsid w:val="00C422BC"/>
    <w:rsid w:val="00C42347"/>
    <w:rsid w:val="00C42B47"/>
    <w:rsid w:val="00C42C63"/>
    <w:rsid w:val="00C43511"/>
    <w:rsid w:val="00C4409B"/>
    <w:rsid w:val="00C44BBE"/>
    <w:rsid w:val="00C44CD5"/>
    <w:rsid w:val="00C46858"/>
    <w:rsid w:val="00C469A4"/>
    <w:rsid w:val="00C47A15"/>
    <w:rsid w:val="00C50144"/>
    <w:rsid w:val="00C5018F"/>
    <w:rsid w:val="00C50697"/>
    <w:rsid w:val="00C507C3"/>
    <w:rsid w:val="00C50B70"/>
    <w:rsid w:val="00C50F33"/>
    <w:rsid w:val="00C52188"/>
    <w:rsid w:val="00C5220D"/>
    <w:rsid w:val="00C52B0C"/>
    <w:rsid w:val="00C52FAD"/>
    <w:rsid w:val="00C52FD9"/>
    <w:rsid w:val="00C5358D"/>
    <w:rsid w:val="00C5389A"/>
    <w:rsid w:val="00C53FCC"/>
    <w:rsid w:val="00C5421D"/>
    <w:rsid w:val="00C552A4"/>
    <w:rsid w:val="00C563A6"/>
    <w:rsid w:val="00C5656B"/>
    <w:rsid w:val="00C56716"/>
    <w:rsid w:val="00C56AB8"/>
    <w:rsid w:val="00C56D03"/>
    <w:rsid w:val="00C57595"/>
    <w:rsid w:val="00C57B98"/>
    <w:rsid w:val="00C57E2A"/>
    <w:rsid w:val="00C607F8"/>
    <w:rsid w:val="00C60F44"/>
    <w:rsid w:val="00C61603"/>
    <w:rsid w:val="00C61B40"/>
    <w:rsid w:val="00C62756"/>
    <w:rsid w:val="00C62BBB"/>
    <w:rsid w:val="00C62E45"/>
    <w:rsid w:val="00C6302E"/>
    <w:rsid w:val="00C6309B"/>
    <w:rsid w:val="00C6332F"/>
    <w:rsid w:val="00C63B3B"/>
    <w:rsid w:val="00C64362"/>
    <w:rsid w:val="00C64AD3"/>
    <w:rsid w:val="00C64C87"/>
    <w:rsid w:val="00C66A8B"/>
    <w:rsid w:val="00C67662"/>
    <w:rsid w:val="00C678B2"/>
    <w:rsid w:val="00C700DE"/>
    <w:rsid w:val="00C70594"/>
    <w:rsid w:val="00C70941"/>
    <w:rsid w:val="00C71DE1"/>
    <w:rsid w:val="00C72028"/>
    <w:rsid w:val="00C730A9"/>
    <w:rsid w:val="00C731E8"/>
    <w:rsid w:val="00C74FCD"/>
    <w:rsid w:val="00C75B55"/>
    <w:rsid w:val="00C75F38"/>
    <w:rsid w:val="00C76226"/>
    <w:rsid w:val="00C764C3"/>
    <w:rsid w:val="00C76AE2"/>
    <w:rsid w:val="00C76CBB"/>
    <w:rsid w:val="00C770B0"/>
    <w:rsid w:val="00C771DB"/>
    <w:rsid w:val="00C773F8"/>
    <w:rsid w:val="00C777F1"/>
    <w:rsid w:val="00C77E58"/>
    <w:rsid w:val="00C80108"/>
    <w:rsid w:val="00C8017F"/>
    <w:rsid w:val="00C8021D"/>
    <w:rsid w:val="00C802C0"/>
    <w:rsid w:val="00C802C3"/>
    <w:rsid w:val="00C8079F"/>
    <w:rsid w:val="00C8085F"/>
    <w:rsid w:val="00C81CF4"/>
    <w:rsid w:val="00C823FB"/>
    <w:rsid w:val="00C82B10"/>
    <w:rsid w:val="00C832E2"/>
    <w:rsid w:val="00C83B2F"/>
    <w:rsid w:val="00C83DF8"/>
    <w:rsid w:val="00C8408E"/>
    <w:rsid w:val="00C84727"/>
    <w:rsid w:val="00C84A85"/>
    <w:rsid w:val="00C84D40"/>
    <w:rsid w:val="00C84FA2"/>
    <w:rsid w:val="00C8560F"/>
    <w:rsid w:val="00C858FA"/>
    <w:rsid w:val="00C85AAD"/>
    <w:rsid w:val="00C85E5B"/>
    <w:rsid w:val="00C8699C"/>
    <w:rsid w:val="00C86A37"/>
    <w:rsid w:val="00C875C5"/>
    <w:rsid w:val="00C91DDE"/>
    <w:rsid w:val="00C92150"/>
    <w:rsid w:val="00C92E51"/>
    <w:rsid w:val="00C93162"/>
    <w:rsid w:val="00C941F4"/>
    <w:rsid w:val="00C9434D"/>
    <w:rsid w:val="00C945DD"/>
    <w:rsid w:val="00C95A3C"/>
    <w:rsid w:val="00C963FB"/>
    <w:rsid w:val="00C9685B"/>
    <w:rsid w:val="00C969A6"/>
    <w:rsid w:val="00C96A7F"/>
    <w:rsid w:val="00C97138"/>
    <w:rsid w:val="00C9731C"/>
    <w:rsid w:val="00C979D8"/>
    <w:rsid w:val="00CA0CA5"/>
    <w:rsid w:val="00CA0DC9"/>
    <w:rsid w:val="00CA14A5"/>
    <w:rsid w:val="00CA1845"/>
    <w:rsid w:val="00CA1B0F"/>
    <w:rsid w:val="00CA231B"/>
    <w:rsid w:val="00CA2806"/>
    <w:rsid w:val="00CA2A8D"/>
    <w:rsid w:val="00CA391F"/>
    <w:rsid w:val="00CA427B"/>
    <w:rsid w:val="00CA43A1"/>
    <w:rsid w:val="00CA4ACA"/>
    <w:rsid w:val="00CA4E97"/>
    <w:rsid w:val="00CA5249"/>
    <w:rsid w:val="00CA59A3"/>
    <w:rsid w:val="00CA621C"/>
    <w:rsid w:val="00CA6E0E"/>
    <w:rsid w:val="00CA6F13"/>
    <w:rsid w:val="00CA7AE6"/>
    <w:rsid w:val="00CB02CB"/>
    <w:rsid w:val="00CB0692"/>
    <w:rsid w:val="00CB115E"/>
    <w:rsid w:val="00CB1391"/>
    <w:rsid w:val="00CB2DEC"/>
    <w:rsid w:val="00CB3C72"/>
    <w:rsid w:val="00CB4104"/>
    <w:rsid w:val="00CB4923"/>
    <w:rsid w:val="00CB4A06"/>
    <w:rsid w:val="00CB52E9"/>
    <w:rsid w:val="00CB5838"/>
    <w:rsid w:val="00CB59D1"/>
    <w:rsid w:val="00CB69E8"/>
    <w:rsid w:val="00CB7286"/>
    <w:rsid w:val="00CB736F"/>
    <w:rsid w:val="00CC0848"/>
    <w:rsid w:val="00CC0F54"/>
    <w:rsid w:val="00CC194F"/>
    <w:rsid w:val="00CC2456"/>
    <w:rsid w:val="00CC2775"/>
    <w:rsid w:val="00CC2DB1"/>
    <w:rsid w:val="00CC36A6"/>
    <w:rsid w:val="00CC3D0D"/>
    <w:rsid w:val="00CC4A1E"/>
    <w:rsid w:val="00CC4C38"/>
    <w:rsid w:val="00CC5E19"/>
    <w:rsid w:val="00CC6FA2"/>
    <w:rsid w:val="00CC70C6"/>
    <w:rsid w:val="00CC719B"/>
    <w:rsid w:val="00CC7746"/>
    <w:rsid w:val="00CC7FE6"/>
    <w:rsid w:val="00CD13F3"/>
    <w:rsid w:val="00CD2260"/>
    <w:rsid w:val="00CD23DC"/>
    <w:rsid w:val="00CD27C9"/>
    <w:rsid w:val="00CD2C25"/>
    <w:rsid w:val="00CD30DB"/>
    <w:rsid w:val="00CD33C4"/>
    <w:rsid w:val="00CD34AD"/>
    <w:rsid w:val="00CD3718"/>
    <w:rsid w:val="00CD4424"/>
    <w:rsid w:val="00CD4E20"/>
    <w:rsid w:val="00CD54B1"/>
    <w:rsid w:val="00CD5730"/>
    <w:rsid w:val="00CD5B9E"/>
    <w:rsid w:val="00CD6526"/>
    <w:rsid w:val="00CD7143"/>
    <w:rsid w:val="00CE1722"/>
    <w:rsid w:val="00CE17A5"/>
    <w:rsid w:val="00CE1F1F"/>
    <w:rsid w:val="00CE26B3"/>
    <w:rsid w:val="00CE289E"/>
    <w:rsid w:val="00CE294A"/>
    <w:rsid w:val="00CE2E70"/>
    <w:rsid w:val="00CE33A3"/>
    <w:rsid w:val="00CE44C5"/>
    <w:rsid w:val="00CE4DA7"/>
    <w:rsid w:val="00CE4FD4"/>
    <w:rsid w:val="00CE5C65"/>
    <w:rsid w:val="00CE5F67"/>
    <w:rsid w:val="00CE5F7E"/>
    <w:rsid w:val="00CE6575"/>
    <w:rsid w:val="00CE6D34"/>
    <w:rsid w:val="00CE6D6D"/>
    <w:rsid w:val="00CE6E2C"/>
    <w:rsid w:val="00CE6F6B"/>
    <w:rsid w:val="00CE7814"/>
    <w:rsid w:val="00CF0265"/>
    <w:rsid w:val="00CF1225"/>
    <w:rsid w:val="00CF19E7"/>
    <w:rsid w:val="00CF1C3C"/>
    <w:rsid w:val="00CF1F0A"/>
    <w:rsid w:val="00CF267A"/>
    <w:rsid w:val="00CF3469"/>
    <w:rsid w:val="00CF39AA"/>
    <w:rsid w:val="00CF4ED5"/>
    <w:rsid w:val="00CF561E"/>
    <w:rsid w:val="00CF56A4"/>
    <w:rsid w:val="00CF5E9A"/>
    <w:rsid w:val="00CF6190"/>
    <w:rsid w:val="00CF6520"/>
    <w:rsid w:val="00CF65CD"/>
    <w:rsid w:val="00CF73E7"/>
    <w:rsid w:val="00CF7499"/>
    <w:rsid w:val="00CF7B71"/>
    <w:rsid w:val="00D002E4"/>
    <w:rsid w:val="00D00EAD"/>
    <w:rsid w:val="00D01569"/>
    <w:rsid w:val="00D015EA"/>
    <w:rsid w:val="00D01EA6"/>
    <w:rsid w:val="00D02392"/>
    <w:rsid w:val="00D0366F"/>
    <w:rsid w:val="00D044DD"/>
    <w:rsid w:val="00D0454D"/>
    <w:rsid w:val="00D048B3"/>
    <w:rsid w:val="00D04F6F"/>
    <w:rsid w:val="00D051DE"/>
    <w:rsid w:val="00D05D70"/>
    <w:rsid w:val="00D06427"/>
    <w:rsid w:val="00D073A0"/>
    <w:rsid w:val="00D07956"/>
    <w:rsid w:val="00D101B9"/>
    <w:rsid w:val="00D1044D"/>
    <w:rsid w:val="00D105D7"/>
    <w:rsid w:val="00D10848"/>
    <w:rsid w:val="00D10C9E"/>
    <w:rsid w:val="00D11503"/>
    <w:rsid w:val="00D137ED"/>
    <w:rsid w:val="00D14796"/>
    <w:rsid w:val="00D15817"/>
    <w:rsid w:val="00D1613E"/>
    <w:rsid w:val="00D16B86"/>
    <w:rsid w:val="00D16D7D"/>
    <w:rsid w:val="00D16F67"/>
    <w:rsid w:val="00D17ACB"/>
    <w:rsid w:val="00D17B41"/>
    <w:rsid w:val="00D20077"/>
    <w:rsid w:val="00D21A2D"/>
    <w:rsid w:val="00D22000"/>
    <w:rsid w:val="00D2209C"/>
    <w:rsid w:val="00D22C8C"/>
    <w:rsid w:val="00D23445"/>
    <w:rsid w:val="00D23805"/>
    <w:rsid w:val="00D24CF8"/>
    <w:rsid w:val="00D25E8B"/>
    <w:rsid w:val="00D26EB7"/>
    <w:rsid w:val="00D278B1"/>
    <w:rsid w:val="00D2796A"/>
    <w:rsid w:val="00D308D9"/>
    <w:rsid w:val="00D30DD9"/>
    <w:rsid w:val="00D30F7E"/>
    <w:rsid w:val="00D314A8"/>
    <w:rsid w:val="00D3154B"/>
    <w:rsid w:val="00D316D4"/>
    <w:rsid w:val="00D31848"/>
    <w:rsid w:val="00D32844"/>
    <w:rsid w:val="00D32C64"/>
    <w:rsid w:val="00D32FBA"/>
    <w:rsid w:val="00D34054"/>
    <w:rsid w:val="00D349D1"/>
    <w:rsid w:val="00D34B8E"/>
    <w:rsid w:val="00D35066"/>
    <w:rsid w:val="00D36431"/>
    <w:rsid w:val="00D4017B"/>
    <w:rsid w:val="00D404C9"/>
    <w:rsid w:val="00D40FBD"/>
    <w:rsid w:val="00D4229E"/>
    <w:rsid w:val="00D4328D"/>
    <w:rsid w:val="00D43C11"/>
    <w:rsid w:val="00D44245"/>
    <w:rsid w:val="00D44286"/>
    <w:rsid w:val="00D44A7F"/>
    <w:rsid w:val="00D455E5"/>
    <w:rsid w:val="00D46568"/>
    <w:rsid w:val="00D47BAF"/>
    <w:rsid w:val="00D50950"/>
    <w:rsid w:val="00D50E09"/>
    <w:rsid w:val="00D511B8"/>
    <w:rsid w:val="00D520CF"/>
    <w:rsid w:val="00D52434"/>
    <w:rsid w:val="00D53A69"/>
    <w:rsid w:val="00D543C5"/>
    <w:rsid w:val="00D550FE"/>
    <w:rsid w:val="00D5513A"/>
    <w:rsid w:val="00D55734"/>
    <w:rsid w:val="00D55764"/>
    <w:rsid w:val="00D55B7F"/>
    <w:rsid w:val="00D55CF9"/>
    <w:rsid w:val="00D572EB"/>
    <w:rsid w:val="00D57441"/>
    <w:rsid w:val="00D578AD"/>
    <w:rsid w:val="00D57CE0"/>
    <w:rsid w:val="00D57CF6"/>
    <w:rsid w:val="00D60FE5"/>
    <w:rsid w:val="00D61C62"/>
    <w:rsid w:val="00D61F41"/>
    <w:rsid w:val="00D62C77"/>
    <w:rsid w:val="00D62CBA"/>
    <w:rsid w:val="00D62DA7"/>
    <w:rsid w:val="00D63246"/>
    <w:rsid w:val="00D639DC"/>
    <w:rsid w:val="00D642F0"/>
    <w:rsid w:val="00D64B5A"/>
    <w:rsid w:val="00D6514A"/>
    <w:rsid w:val="00D65795"/>
    <w:rsid w:val="00D65AC2"/>
    <w:rsid w:val="00D65B5C"/>
    <w:rsid w:val="00D65EB7"/>
    <w:rsid w:val="00D6744D"/>
    <w:rsid w:val="00D679DE"/>
    <w:rsid w:val="00D67E3D"/>
    <w:rsid w:val="00D7008F"/>
    <w:rsid w:val="00D70282"/>
    <w:rsid w:val="00D7038C"/>
    <w:rsid w:val="00D7081E"/>
    <w:rsid w:val="00D7156E"/>
    <w:rsid w:val="00D7233F"/>
    <w:rsid w:val="00D726E8"/>
    <w:rsid w:val="00D741F5"/>
    <w:rsid w:val="00D743B6"/>
    <w:rsid w:val="00D74957"/>
    <w:rsid w:val="00D75BE4"/>
    <w:rsid w:val="00D76387"/>
    <w:rsid w:val="00D76915"/>
    <w:rsid w:val="00D76B19"/>
    <w:rsid w:val="00D76CA0"/>
    <w:rsid w:val="00D76EE3"/>
    <w:rsid w:val="00D77F94"/>
    <w:rsid w:val="00D80059"/>
    <w:rsid w:val="00D81B3B"/>
    <w:rsid w:val="00D82064"/>
    <w:rsid w:val="00D825B7"/>
    <w:rsid w:val="00D82C58"/>
    <w:rsid w:val="00D83A18"/>
    <w:rsid w:val="00D84113"/>
    <w:rsid w:val="00D86132"/>
    <w:rsid w:val="00D876EE"/>
    <w:rsid w:val="00D87BD9"/>
    <w:rsid w:val="00D90199"/>
    <w:rsid w:val="00D90908"/>
    <w:rsid w:val="00D91013"/>
    <w:rsid w:val="00D92DC5"/>
    <w:rsid w:val="00D92E2E"/>
    <w:rsid w:val="00D932D9"/>
    <w:rsid w:val="00D93302"/>
    <w:rsid w:val="00D93509"/>
    <w:rsid w:val="00D940A9"/>
    <w:rsid w:val="00D9474C"/>
    <w:rsid w:val="00D94F12"/>
    <w:rsid w:val="00D95AF2"/>
    <w:rsid w:val="00D9610C"/>
    <w:rsid w:val="00D9611F"/>
    <w:rsid w:val="00D96480"/>
    <w:rsid w:val="00D971AD"/>
    <w:rsid w:val="00D977DE"/>
    <w:rsid w:val="00DA0648"/>
    <w:rsid w:val="00DA1658"/>
    <w:rsid w:val="00DA1A87"/>
    <w:rsid w:val="00DA251B"/>
    <w:rsid w:val="00DA2FDD"/>
    <w:rsid w:val="00DA3138"/>
    <w:rsid w:val="00DA3160"/>
    <w:rsid w:val="00DA49B1"/>
    <w:rsid w:val="00DA4A0E"/>
    <w:rsid w:val="00DA4ADE"/>
    <w:rsid w:val="00DA4E10"/>
    <w:rsid w:val="00DA62B8"/>
    <w:rsid w:val="00DA7EC5"/>
    <w:rsid w:val="00DB0279"/>
    <w:rsid w:val="00DB0B57"/>
    <w:rsid w:val="00DB1691"/>
    <w:rsid w:val="00DB1BFD"/>
    <w:rsid w:val="00DB2075"/>
    <w:rsid w:val="00DB2349"/>
    <w:rsid w:val="00DB4584"/>
    <w:rsid w:val="00DB525D"/>
    <w:rsid w:val="00DB55B9"/>
    <w:rsid w:val="00DB56B8"/>
    <w:rsid w:val="00DB62B2"/>
    <w:rsid w:val="00DB6B0A"/>
    <w:rsid w:val="00DB6EE5"/>
    <w:rsid w:val="00DB7807"/>
    <w:rsid w:val="00DB781C"/>
    <w:rsid w:val="00DC07B5"/>
    <w:rsid w:val="00DC0C09"/>
    <w:rsid w:val="00DC1111"/>
    <w:rsid w:val="00DC158E"/>
    <w:rsid w:val="00DC1831"/>
    <w:rsid w:val="00DC2413"/>
    <w:rsid w:val="00DC2D8F"/>
    <w:rsid w:val="00DC3CE7"/>
    <w:rsid w:val="00DC4CF6"/>
    <w:rsid w:val="00DC5658"/>
    <w:rsid w:val="00DC5857"/>
    <w:rsid w:val="00DC60CB"/>
    <w:rsid w:val="00DC739A"/>
    <w:rsid w:val="00DC7463"/>
    <w:rsid w:val="00DC7796"/>
    <w:rsid w:val="00DC7CAD"/>
    <w:rsid w:val="00DC7DBC"/>
    <w:rsid w:val="00DD0D45"/>
    <w:rsid w:val="00DD107E"/>
    <w:rsid w:val="00DD14DA"/>
    <w:rsid w:val="00DD1B3C"/>
    <w:rsid w:val="00DD1B63"/>
    <w:rsid w:val="00DD1DF1"/>
    <w:rsid w:val="00DD29DC"/>
    <w:rsid w:val="00DD3D9E"/>
    <w:rsid w:val="00DD4815"/>
    <w:rsid w:val="00DD4E93"/>
    <w:rsid w:val="00DD4F5E"/>
    <w:rsid w:val="00DD504A"/>
    <w:rsid w:val="00DD5BBB"/>
    <w:rsid w:val="00DD5F8C"/>
    <w:rsid w:val="00DD61C6"/>
    <w:rsid w:val="00DD6296"/>
    <w:rsid w:val="00DD6432"/>
    <w:rsid w:val="00DD6E98"/>
    <w:rsid w:val="00DD7741"/>
    <w:rsid w:val="00DD7F2D"/>
    <w:rsid w:val="00DE0229"/>
    <w:rsid w:val="00DE068F"/>
    <w:rsid w:val="00DE09D9"/>
    <w:rsid w:val="00DE16CC"/>
    <w:rsid w:val="00DE1C54"/>
    <w:rsid w:val="00DE1FE6"/>
    <w:rsid w:val="00DE21D4"/>
    <w:rsid w:val="00DE30A8"/>
    <w:rsid w:val="00DE30FE"/>
    <w:rsid w:val="00DE39FE"/>
    <w:rsid w:val="00DE3A63"/>
    <w:rsid w:val="00DE44CA"/>
    <w:rsid w:val="00DE61BF"/>
    <w:rsid w:val="00DE63F9"/>
    <w:rsid w:val="00DE6A7F"/>
    <w:rsid w:val="00DE7E64"/>
    <w:rsid w:val="00DF1A83"/>
    <w:rsid w:val="00DF1FE6"/>
    <w:rsid w:val="00DF238C"/>
    <w:rsid w:val="00DF2A7F"/>
    <w:rsid w:val="00DF30A5"/>
    <w:rsid w:val="00DF3681"/>
    <w:rsid w:val="00DF380E"/>
    <w:rsid w:val="00DF3AA8"/>
    <w:rsid w:val="00DF40A8"/>
    <w:rsid w:val="00DF4393"/>
    <w:rsid w:val="00DF43C3"/>
    <w:rsid w:val="00DF4CB4"/>
    <w:rsid w:val="00DF4D74"/>
    <w:rsid w:val="00DF57D2"/>
    <w:rsid w:val="00DF5E04"/>
    <w:rsid w:val="00DF60E5"/>
    <w:rsid w:val="00DF7824"/>
    <w:rsid w:val="00DF7C9A"/>
    <w:rsid w:val="00E0004C"/>
    <w:rsid w:val="00E00BE4"/>
    <w:rsid w:val="00E00D14"/>
    <w:rsid w:val="00E00DF1"/>
    <w:rsid w:val="00E00E82"/>
    <w:rsid w:val="00E01905"/>
    <w:rsid w:val="00E01C6A"/>
    <w:rsid w:val="00E021E3"/>
    <w:rsid w:val="00E02BDB"/>
    <w:rsid w:val="00E03C4E"/>
    <w:rsid w:val="00E03CFC"/>
    <w:rsid w:val="00E04447"/>
    <w:rsid w:val="00E0470C"/>
    <w:rsid w:val="00E0535A"/>
    <w:rsid w:val="00E054EC"/>
    <w:rsid w:val="00E058F4"/>
    <w:rsid w:val="00E05BE1"/>
    <w:rsid w:val="00E06686"/>
    <w:rsid w:val="00E06970"/>
    <w:rsid w:val="00E07460"/>
    <w:rsid w:val="00E075C9"/>
    <w:rsid w:val="00E079CA"/>
    <w:rsid w:val="00E10E17"/>
    <w:rsid w:val="00E1167F"/>
    <w:rsid w:val="00E11DDB"/>
    <w:rsid w:val="00E124E3"/>
    <w:rsid w:val="00E12C42"/>
    <w:rsid w:val="00E13EFC"/>
    <w:rsid w:val="00E14092"/>
    <w:rsid w:val="00E14BB7"/>
    <w:rsid w:val="00E15CA5"/>
    <w:rsid w:val="00E16B96"/>
    <w:rsid w:val="00E178B4"/>
    <w:rsid w:val="00E2026C"/>
    <w:rsid w:val="00E20A2C"/>
    <w:rsid w:val="00E21CB1"/>
    <w:rsid w:val="00E22258"/>
    <w:rsid w:val="00E230A3"/>
    <w:rsid w:val="00E231E1"/>
    <w:rsid w:val="00E23242"/>
    <w:rsid w:val="00E233C4"/>
    <w:rsid w:val="00E2395C"/>
    <w:rsid w:val="00E23FEA"/>
    <w:rsid w:val="00E240B9"/>
    <w:rsid w:val="00E243CC"/>
    <w:rsid w:val="00E24EFE"/>
    <w:rsid w:val="00E251B6"/>
    <w:rsid w:val="00E25597"/>
    <w:rsid w:val="00E2675E"/>
    <w:rsid w:val="00E307B5"/>
    <w:rsid w:val="00E30AE8"/>
    <w:rsid w:val="00E313DA"/>
    <w:rsid w:val="00E31AF9"/>
    <w:rsid w:val="00E31D28"/>
    <w:rsid w:val="00E32165"/>
    <w:rsid w:val="00E32A95"/>
    <w:rsid w:val="00E32D25"/>
    <w:rsid w:val="00E34192"/>
    <w:rsid w:val="00E34702"/>
    <w:rsid w:val="00E34923"/>
    <w:rsid w:val="00E34CA5"/>
    <w:rsid w:val="00E34E95"/>
    <w:rsid w:val="00E34F8E"/>
    <w:rsid w:val="00E35E89"/>
    <w:rsid w:val="00E36268"/>
    <w:rsid w:val="00E36862"/>
    <w:rsid w:val="00E373BA"/>
    <w:rsid w:val="00E404F9"/>
    <w:rsid w:val="00E409AE"/>
    <w:rsid w:val="00E41368"/>
    <w:rsid w:val="00E414CC"/>
    <w:rsid w:val="00E41C70"/>
    <w:rsid w:val="00E42077"/>
    <w:rsid w:val="00E428C4"/>
    <w:rsid w:val="00E42F56"/>
    <w:rsid w:val="00E438F8"/>
    <w:rsid w:val="00E4471A"/>
    <w:rsid w:val="00E448B0"/>
    <w:rsid w:val="00E4491D"/>
    <w:rsid w:val="00E44DB9"/>
    <w:rsid w:val="00E45935"/>
    <w:rsid w:val="00E459A3"/>
    <w:rsid w:val="00E461E9"/>
    <w:rsid w:val="00E46222"/>
    <w:rsid w:val="00E46273"/>
    <w:rsid w:val="00E46365"/>
    <w:rsid w:val="00E467E7"/>
    <w:rsid w:val="00E47231"/>
    <w:rsid w:val="00E479F3"/>
    <w:rsid w:val="00E50571"/>
    <w:rsid w:val="00E50BE2"/>
    <w:rsid w:val="00E50F60"/>
    <w:rsid w:val="00E539E7"/>
    <w:rsid w:val="00E54368"/>
    <w:rsid w:val="00E5544D"/>
    <w:rsid w:val="00E56E48"/>
    <w:rsid w:val="00E572FB"/>
    <w:rsid w:val="00E57362"/>
    <w:rsid w:val="00E57FC9"/>
    <w:rsid w:val="00E60055"/>
    <w:rsid w:val="00E603E7"/>
    <w:rsid w:val="00E6097A"/>
    <w:rsid w:val="00E60A7C"/>
    <w:rsid w:val="00E61155"/>
    <w:rsid w:val="00E6130A"/>
    <w:rsid w:val="00E61627"/>
    <w:rsid w:val="00E62A6A"/>
    <w:rsid w:val="00E64577"/>
    <w:rsid w:val="00E6488D"/>
    <w:rsid w:val="00E64C6D"/>
    <w:rsid w:val="00E64DDC"/>
    <w:rsid w:val="00E65182"/>
    <w:rsid w:val="00E65466"/>
    <w:rsid w:val="00E65F90"/>
    <w:rsid w:val="00E66328"/>
    <w:rsid w:val="00E66BA4"/>
    <w:rsid w:val="00E66F0F"/>
    <w:rsid w:val="00E67164"/>
    <w:rsid w:val="00E67337"/>
    <w:rsid w:val="00E67848"/>
    <w:rsid w:val="00E67B41"/>
    <w:rsid w:val="00E702F6"/>
    <w:rsid w:val="00E7095D"/>
    <w:rsid w:val="00E70C5B"/>
    <w:rsid w:val="00E70CBB"/>
    <w:rsid w:val="00E71F2C"/>
    <w:rsid w:val="00E72474"/>
    <w:rsid w:val="00E72FFF"/>
    <w:rsid w:val="00E738DC"/>
    <w:rsid w:val="00E73BFC"/>
    <w:rsid w:val="00E7412E"/>
    <w:rsid w:val="00E7498F"/>
    <w:rsid w:val="00E74A53"/>
    <w:rsid w:val="00E767A0"/>
    <w:rsid w:val="00E76DED"/>
    <w:rsid w:val="00E7784A"/>
    <w:rsid w:val="00E778BC"/>
    <w:rsid w:val="00E80020"/>
    <w:rsid w:val="00E80A45"/>
    <w:rsid w:val="00E80CC5"/>
    <w:rsid w:val="00E81CC9"/>
    <w:rsid w:val="00E825CA"/>
    <w:rsid w:val="00E838EE"/>
    <w:rsid w:val="00E84118"/>
    <w:rsid w:val="00E84AD4"/>
    <w:rsid w:val="00E84B8C"/>
    <w:rsid w:val="00E8548E"/>
    <w:rsid w:val="00E857E0"/>
    <w:rsid w:val="00E86979"/>
    <w:rsid w:val="00E906C7"/>
    <w:rsid w:val="00E909DE"/>
    <w:rsid w:val="00E92EF9"/>
    <w:rsid w:val="00E9395B"/>
    <w:rsid w:val="00E93BD5"/>
    <w:rsid w:val="00E94A3E"/>
    <w:rsid w:val="00E94E74"/>
    <w:rsid w:val="00E956C8"/>
    <w:rsid w:val="00E95956"/>
    <w:rsid w:val="00E96212"/>
    <w:rsid w:val="00E96626"/>
    <w:rsid w:val="00E9679E"/>
    <w:rsid w:val="00E96D2A"/>
    <w:rsid w:val="00EA1519"/>
    <w:rsid w:val="00EA1D11"/>
    <w:rsid w:val="00EA1F79"/>
    <w:rsid w:val="00EA25EC"/>
    <w:rsid w:val="00EA2E8A"/>
    <w:rsid w:val="00EA3214"/>
    <w:rsid w:val="00EA36DF"/>
    <w:rsid w:val="00EA3E1B"/>
    <w:rsid w:val="00EA5DA3"/>
    <w:rsid w:val="00EA6917"/>
    <w:rsid w:val="00EA6BEB"/>
    <w:rsid w:val="00EB0407"/>
    <w:rsid w:val="00EB0536"/>
    <w:rsid w:val="00EB1BE5"/>
    <w:rsid w:val="00EB1C9E"/>
    <w:rsid w:val="00EB1FFD"/>
    <w:rsid w:val="00EB2587"/>
    <w:rsid w:val="00EB42A8"/>
    <w:rsid w:val="00EB47D9"/>
    <w:rsid w:val="00EB4E3A"/>
    <w:rsid w:val="00EB5601"/>
    <w:rsid w:val="00EB5CD7"/>
    <w:rsid w:val="00EB5F58"/>
    <w:rsid w:val="00EB5F84"/>
    <w:rsid w:val="00EB644A"/>
    <w:rsid w:val="00EB694B"/>
    <w:rsid w:val="00EB746D"/>
    <w:rsid w:val="00EC0CA3"/>
    <w:rsid w:val="00EC2761"/>
    <w:rsid w:val="00EC342C"/>
    <w:rsid w:val="00EC4550"/>
    <w:rsid w:val="00EC4AEB"/>
    <w:rsid w:val="00EC501A"/>
    <w:rsid w:val="00EC526F"/>
    <w:rsid w:val="00EC5C01"/>
    <w:rsid w:val="00EC5EC0"/>
    <w:rsid w:val="00EC5F67"/>
    <w:rsid w:val="00EC7687"/>
    <w:rsid w:val="00EC7959"/>
    <w:rsid w:val="00ED0A75"/>
    <w:rsid w:val="00ED203C"/>
    <w:rsid w:val="00ED22C2"/>
    <w:rsid w:val="00ED2363"/>
    <w:rsid w:val="00ED3FAB"/>
    <w:rsid w:val="00ED67D8"/>
    <w:rsid w:val="00ED6E27"/>
    <w:rsid w:val="00ED71F6"/>
    <w:rsid w:val="00EE00C3"/>
    <w:rsid w:val="00EE01D3"/>
    <w:rsid w:val="00EE032A"/>
    <w:rsid w:val="00EE14F4"/>
    <w:rsid w:val="00EE1558"/>
    <w:rsid w:val="00EE250B"/>
    <w:rsid w:val="00EE47EF"/>
    <w:rsid w:val="00EE5037"/>
    <w:rsid w:val="00EE70F2"/>
    <w:rsid w:val="00EE724D"/>
    <w:rsid w:val="00EE7433"/>
    <w:rsid w:val="00EE78FB"/>
    <w:rsid w:val="00EF03A8"/>
    <w:rsid w:val="00EF0603"/>
    <w:rsid w:val="00EF08E3"/>
    <w:rsid w:val="00EF11C3"/>
    <w:rsid w:val="00EF244C"/>
    <w:rsid w:val="00EF2502"/>
    <w:rsid w:val="00EF2E4D"/>
    <w:rsid w:val="00EF2E9A"/>
    <w:rsid w:val="00EF3427"/>
    <w:rsid w:val="00EF5074"/>
    <w:rsid w:val="00EF60D2"/>
    <w:rsid w:val="00F00246"/>
    <w:rsid w:val="00F00A80"/>
    <w:rsid w:val="00F00CBB"/>
    <w:rsid w:val="00F01050"/>
    <w:rsid w:val="00F0176D"/>
    <w:rsid w:val="00F018DE"/>
    <w:rsid w:val="00F01FF7"/>
    <w:rsid w:val="00F020F8"/>
    <w:rsid w:val="00F02155"/>
    <w:rsid w:val="00F02786"/>
    <w:rsid w:val="00F0278D"/>
    <w:rsid w:val="00F0283D"/>
    <w:rsid w:val="00F03688"/>
    <w:rsid w:val="00F039DD"/>
    <w:rsid w:val="00F0422F"/>
    <w:rsid w:val="00F04C27"/>
    <w:rsid w:val="00F051A0"/>
    <w:rsid w:val="00F053CC"/>
    <w:rsid w:val="00F056D9"/>
    <w:rsid w:val="00F05D8F"/>
    <w:rsid w:val="00F07BAA"/>
    <w:rsid w:val="00F07C57"/>
    <w:rsid w:val="00F10410"/>
    <w:rsid w:val="00F10924"/>
    <w:rsid w:val="00F11006"/>
    <w:rsid w:val="00F11936"/>
    <w:rsid w:val="00F1203E"/>
    <w:rsid w:val="00F12652"/>
    <w:rsid w:val="00F1327F"/>
    <w:rsid w:val="00F14762"/>
    <w:rsid w:val="00F1548E"/>
    <w:rsid w:val="00F15CEC"/>
    <w:rsid w:val="00F16179"/>
    <w:rsid w:val="00F16569"/>
    <w:rsid w:val="00F165EB"/>
    <w:rsid w:val="00F16677"/>
    <w:rsid w:val="00F166D0"/>
    <w:rsid w:val="00F178DE"/>
    <w:rsid w:val="00F17EF3"/>
    <w:rsid w:val="00F2134C"/>
    <w:rsid w:val="00F21966"/>
    <w:rsid w:val="00F21EB7"/>
    <w:rsid w:val="00F21F99"/>
    <w:rsid w:val="00F229DD"/>
    <w:rsid w:val="00F23310"/>
    <w:rsid w:val="00F23A10"/>
    <w:rsid w:val="00F24949"/>
    <w:rsid w:val="00F25722"/>
    <w:rsid w:val="00F26576"/>
    <w:rsid w:val="00F26618"/>
    <w:rsid w:val="00F26860"/>
    <w:rsid w:val="00F26A70"/>
    <w:rsid w:val="00F31E00"/>
    <w:rsid w:val="00F31E59"/>
    <w:rsid w:val="00F31ECF"/>
    <w:rsid w:val="00F34445"/>
    <w:rsid w:val="00F34BA8"/>
    <w:rsid w:val="00F34C26"/>
    <w:rsid w:val="00F36E79"/>
    <w:rsid w:val="00F377EB"/>
    <w:rsid w:val="00F40052"/>
    <w:rsid w:val="00F40B38"/>
    <w:rsid w:val="00F4267C"/>
    <w:rsid w:val="00F42979"/>
    <w:rsid w:val="00F43209"/>
    <w:rsid w:val="00F432E4"/>
    <w:rsid w:val="00F444B7"/>
    <w:rsid w:val="00F45304"/>
    <w:rsid w:val="00F46677"/>
    <w:rsid w:val="00F46735"/>
    <w:rsid w:val="00F46AA0"/>
    <w:rsid w:val="00F46AB9"/>
    <w:rsid w:val="00F46B5A"/>
    <w:rsid w:val="00F46CC7"/>
    <w:rsid w:val="00F478E0"/>
    <w:rsid w:val="00F5042C"/>
    <w:rsid w:val="00F50E71"/>
    <w:rsid w:val="00F511F0"/>
    <w:rsid w:val="00F519E6"/>
    <w:rsid w:val="00F51D22"/>
    <w:rsid w:val="00F51DA3"/>
    <w:rsid w:val="00F520D9"/>
    <w:rsid w:val="00F52300"/>
    <w:rsid w:val="00F52633"/>
    <w:rsid w:val="00F52F9A"/>
    <w:rsid w:val="00F52F9F"/>
    <w:rsid w:val="00F5308B"/>
    <w:rsid w:val="00F53C93"/>
    <w:rsid w:val="00F53DC4"/>
    <w:rsid w:val="00F551B5"/>
    <w:rsid w:val="00F55F70"/>
    <w:rsid w:val="00F56439"/>
    <w:rsid w:val="00F56CC2"/>
    <w:rsid w:val="00F57032"/>
    <w:rsid w:val="00F57315"/>
    <w:rsid w:val="00F579AF"/>
    <w:rsid w:val="00F57ECC"/>
    <w:rsid w:val="00F602C8"/>
    <w:rsid w:val="00F60754"/>
    <w:rsid w:val="00F6104A"/>
    <w:rsid w:val="00F63B67"/>
    <w:rsid w:val="00F6441C"/>
    <w:rsid w:val="00F646F3"/>
    <w:rsid w:val="00F65292"/>
    <w:rsid w:val="00F65896"/>
    <w:rsid w:val="00F66234"/>
    <w:rsid w:val="00F666B3"/>
    <w:rsid w:val="00F67098"/>
    <w:rsid w:val="00F6741A"/>
    <w:rsid w:val="00F67D19"/>
    <w:rsid w:val="00F67DAD"/>
    <w:rsid w:val="00F70510"/>
    <w:rsid w:val="00F71D21"/>
    <w:rsid w:val="00F729DE"/>
    <w:rsid w:val="00F73BF4"/>
    <w:rsid w:val="00F742DE"/>
    <w:rsid w:val="00F75532"/>
    <w:rsid w:val="00F75CA3"/>
    <w:rsid w:val="00F75F9C"/>
    <w:rsid w:val="00F76B77"/>
    <w:rsid w:val="00F77457"/>
    <w:rsid w:val="00F80238"/>
    <w:rsid w:val="00F8092D"/>
    <w:rsid w:val="00F8118F"/>
    <w:rsid w:val="00F8182C"/>
    <w:rsid w:val="00F8194F"/>
    <w:rsid w:val="00F81CE8"/>
    <w:rsid w:val="00F81F4F"/>
    <w:rsid w:val="00F81FFF"/>
    <w:rsid w:val="00F82017"/>
    <w:rsid w:val="00F821FF"/>
    <w:rsid w:val="00F82406"/>
    <w:rsid w:val="00F824CB"/>
    <w:rsid w:val="00F82D3A"/>
    <w:rsid w:val="00F83572"/>
    <w:rsid w:val="00F8357C"/>
    <w:rsid w:val="00F84BE2"/>
    <w:rsid w:val="00F8550B"/>
    <w:rsid w:val="00F85E28"/>
    <w:rsid w:val="00F85E4C"/>
    <w:rsid w:val="00F86215"/>
    <w:rsid w:val="00F86688"/>
    <w:rsid w:val="00F86D62"/>
    <w:rsid w:val="00F8713D"/>
    <w:rsid w:val="00F87182"/>
    <w:rsid w:val="00F87723"/>
    <w:rsid w:val="00F87B90"/>
    <w:rsid w:val="00F87ECD"/>
    <w:rsid w:val="00F90B68"/>
    <w:rsid w:val="00F90BFC"/>
    <w:rsid w:val="00F917F4"/>
    <w:rsid w:val="00F91888"/>
    <w:rsid w:val="00F91F93"/>
    <w:rsid w:val="00F92136"/>
    <w:rsid w:val="00F93D24"/>
    <w:rsid w:val="00F940AC"/>
    <w:rsid w:val="00F941BC"/>
    <w:rsid w:val="00F947AE"/>
    <w:rsid w:val="00F94EF4"/>
    <w:rsid w:val="00F966E2"/>
    <w:rsid w:val="00F97FB7"/>
    <w:rsid w:val="00FA0A5E"/>
    <w:rsid w:val="00FA1C4A"/>
    <w:rsid w:val="00FA214A"/>
    <w:rsid w:val="00FA29D8"/>
    <w:rsid w:val="00FA2C3D"/>
    <w:rsid w:val="00FA2D2E"/>
    <w:rsid w:val="00FA351B"/>
    <w:rsid w:val="00FA3625"/>
    <w:rsid w:val="00FA3BBF"/>
    <w:rsid w:val="00FA45DD"/>
    <w:rsid w:val="00FA49FE"/>
    <w:rsid w:val="00FA4C3C"/>
    <w:rsid w:val="00FA53B7"/>
    <w:rsid w:val="00FA59D3"/>
    <w:rsid w:val="00FA64DA"/>
    <w:rsid w:val="00FA652A"/>
    <w:rsid w:val="00FA6991"/>
    <w:rsid w:val="00FA6B14"/>
    <w:rsid w:val="00FA766A"/>
    <w:rsid w:val="00FA7D7E"/>
    <w:rsid w:val="00FB04A4"/>
    <w:rsid w:val="00FB14A9"/>
    <w:rsid w:val="00FB1D32"/>
    <w:rsid w:val="00FB208A"/>
    <w:rsid w:val="00FB2775"/>
    <w:rsid w:val="00FB2902"/>
    <w:rsid w:val="00FB41A6"/>
    <w:rsid w:val="00FB4208"/>
    <w:rsid w:val="00FB47A1"/>
    <w:rsid w:val="00FB4BD6"/>
    <w:rsid w:val="00FB4C0B"/>
    <w:rsid w:val="00FB5878"/>
    <w:rsid w:val="00FB5A38"/>
    <w:rsid w:val="00FB5BF5"/>
    <w:rsid w:val="00FB6C47"/>
    <w:rsid w:val="00FB6F2E"/>
    <w:rsid w:val="00FB702E"/>
    <w:rsid w:val="00FB71A1"/>
    <w:rsid w:val="00FB748B"/>
    <w:rsid w:val="00FB7E2B"/>
    <w:rsid w:val="00FB7F94"/>
    <w:rsid w:val="00FC0E84"/>
    <w:rsid w:val="00FC16AA"/>
    <w:rsid w:val="00FC1729"/>
    <w:rsid w:val="00FC1CCF"/>
    <w:rsid w:val="00FC21E2"/>
    <w:rsid w:val="00FC25A7"/>
    <w:rsid w:val="00FC2995"/>
    <w:rsid w:val="00FC33A5"/>
    <w:rsid w:val="00FC345F"/>
    <w:rsid w:val="00FC352F"/>
    <w:rsid w:val="00FC3ADD"/>
    <w:rsid w:val="00FC4B72"/>
    <w:rsid w:val="00FC4D89"/>
    <w:rsid w:val="00FC5045"/>
    <w:rsid w:val="00FC5206"/>
    <w:rsid w:val="00FC5272"/>
    <w:rsid w:val="00FC66FF"/>
    <w:rsid w:val="00FC6A7D"/>
    <w:rsid w:val="00FC6C08"/>
    <w:rsid w:val="00FC75AC"/>
    <w:rsid w:val="00FC7B9C"/>
    <w:rsid w:val="00FD01B9"/>
    <w:rsid w:val="00FD0261"/>
    <w:rsid w:val="00FD027D"/>
    <w:rsid w:val="00FD028C"/>
    <w:rsid w:val="00FD04E7"/>
    <w:rsid w:val="00FD0E14"/>
    <w:rsid w:val="00FD14AA"/>
    <w:rsid w:val="00FD14E9"/>
    <w:rsid w:val="00FD1D25"/>
    <w:rsid w:val="00FD1FCD"/>
    <w:rsid w:val="00FD2217"/>
    <w:rsid w:val="00FD3688"/>
    <w:rsid w:val="00FD4142"/>
    <w:rsid w:val="00FD4AF4"/>
    <w:rsid w:val="00FD5AA1"/>
    <w:rsid w:val="00FD5B27"/>
    <w:rsid w:val="00FD614C"/>
    <w:rsid w:val="00FD6D8F"/>
    <w:rsid w:val="00FD6E7D"/>
    <w:rsid w:val="00FD6F57"/>
    <w:rsid w:val="00FD76CC"/>
    <w:rsid w:val="00FD7840"/>
    <w:rsid w:val="00FE083D"/>
    <w:rsid w:val="00FE097C"/>
    <w:rsid w:val="00FE0CF9"/>
    <w:rsid w:val="00FE1C58"/>
    <w:rsid w:val="00FE20E3"/>
    <w:rsid w:val="00FE21F5"/>
    <w:rsid w:val="00FE23AA"/>
    <w:rsid w:val="00FE2C4B"/>
    <w:rsid w:val="00FE32F0"/>
    <w:rsid w:val="00FE3595"/>
    <w:rsid w:val="00FE3BF8"/>
    <w:rsid w:val="00FE3C9C"/>
    <w:rsid w:val="00FE3E43"/>
    <w:rsid w:val="00FE3F4D"/>
    <w:rsid w:val="00FE40D2"/>
    <w:rsid w:val="00FE45A9"/>
    <w:rsid w:val="00FE5074"/>
    <w:rsid w:val="00FE5DBC"/>
    <w:rsid w:val="00FE6C97"/>
    <w:rsid w:val="00FE6FDC"/>
    <w:rsid w:val="00FE71D7"/>
    <w:rsid w:val="00FE759E"/>
    <w:rsid w:val="00FF014F"/>
    <w:rsid w:val="00FF03D7"/>
    <w:rsid w:val="00FF32A0"/>
    <w:rsid w:val="00FF3C59"/>
    <w:rsid w:val="00FF4FE4"/>
    <w:rsid w:val="00FF52D3"/>
    <w:rsid w:val="00FF6451"/>
    <w:rsid w:val="00FF7729"/>
    <w:rsid w:val="00FF793B"/>
    <w:rsid w:val="00FF7AD1"/>
    <w:rsid w:val="0115D609"/>
    <w:rsid w:val="019B0A8E"/>
    <w:rsid w:val="01C9A3BC"/>
    <w:rsid w:val="020B968D"/>
    <w:rsid w:val="020BAAF3"/>
    <w:rsid w:val="020FD271"/>
    <w:rsid w:val="021866EB"/>
    <w:rsid w:val="022A24BC"/>
    <w:rsid w:val="02454C11"/>
    <w:rsid w:val="02496A5F"/>
    <w:rsid w:val="027A8E3F"/>
    <w:rsid w:val="02ED71B5"/>
    <w:rsid w:val="03018E49"/>
    <w:rsid w:val="0322687B"/>
    <w:rsid w:val="0322ABDC"/>
    <w:rsid w:val="035A6598"/>
    <w:rsid w:val="04406C8D"/>
    <w:rsid w:val="04774C01"/>
    <w:rsid w:val="049FFF71"/>
    <w:rsid w:val="0522E753"/>
    <w:rsid w:val="05320A8C"/>
    <w:rsid w:val="0578DB77"/>
    <w:rsid w:val="05F0295A"/>
    <w:rsid w:val="05F7E01C"/>
    <w:rsid w:val="05FA0165"/>
    <w:rsid w:val="0608FF8C"/>
    <w:rsid w:val="06137CCD"/>
    <w:rsid w:val="06294561"/>
    <w:rsid w:val="063E2B4D"/>
    <w:rsid w:val="06C70261"/>
    <w:rsid w:val="06DEE822"/>
    <w:rsid w:val="073FE632"/>
    <w:rsid w:val="074BF765"/>
    <w:rsid w:val="07564F9A"/>
    <w:rsid w:val="07683BFA"/>
    <w:rsid w:val="077103BE"/>
    <w:rsid w:val="07B2E6BF"/>
    <w:rsid w:val="07C643FC"/>
    <w:rsid w:val="07CD39E3"/>
    <w:rsid w:val="07DA9C12"/>
    <w:rsid w:val="084C7357"/>
    <w:rsid w:val="085B0FE7"/>
    <w:rsid w:val="087A76BB"/>
    <w:rsid w:val="0896357E"/>
    <w:rsid w:val="08B871DD"/>
    <w:rsid w:val="09526E5B"/>
    <w:rsid w:val="0981F828"/>
    <w:rsid w:val="09838927"/>
    <w:rsid w:val="09911D2B"/>
    <w:rsid w:val="09BAAFDB"/>
    <w:rsid w:val="09DCEA1C"/>
    <w:rsid w:val="09E359FC"/>
    <w:rsid w:val="0A213EA1"/>
    <w:rsid w:val="0A4E1BB1"/>
    <w:rsid w:val="0A5BF1A2"/>
    <w:rsid w:val="0A86786F"/>
    <w:rsid w:val="0A929E17"/>
    <w:rsid w:val="0ABEE279"/>
    <w:rsid w:val="0B04CE62"/>
    <w:rsid w:val="0B612A56"/>
    <w:rsid w:val="0B62310F"/>
    <w:rsid w:val="0B848CF4"/>
    <w:rsid w:val="0BB44EB0"/>
    <w:rsid w:val="0BC5F012"/>
    <w:rsid w:val="0BDBAB15"/>
    <w:rsid w:val="0BF5398A"/>
    <w:rsid w:val="0C080AB4"/>
    <w:rsid w:val="0C5122C5"/>
    <w:rsid w:val="0C890296"/>
    <w:rsid w:val="0C9AB8B9"/>
    <w:rsid w:val="0CC56345"/>
    <w:rsid w:val="0D2A21C4"/>
    <w:rsid w:val="0D2E7D90"/>
    <w:rsid w:val="0D4006D6"/>
    <w:rsid w:val="0D4302FF"/>
    <w:rsid w:val="0D43F6A1"/>
    <w:rsid w:val="0DA1ABDD"/>
    <w:rsid w:val="0DB056D8"/>
    <w:rsid w:val="0DF2E6BA"/>
    <w:rsid w:val="0E08FF67"/>
    <w:rsid w:val="0E9451AC"/>
    <w:rsid w:val="0EA711A6"/>
    <w:rsid w:val="0F093D4E"/>
    <w:rsid w:val="0F1DB61A"/>
    <w:rsid w:val="0F2A7891"/>
    <w:rsid w:val="0F5EEEDA"/>
    <w:rsid w:val="0F723E46"/>
    <w:rsid w:val="0F75073A"/>
    <w:rsid w:val="0F7BFBE0"/>
    <w:rsid w:val="0F9F8616"/>
    <w:rsid w:val="0FA82DD0"/>
    <w:rsid w:val="0FAAFA81"/>
    <w:rsid w:val="0FB39B08"/>
    <w:rsid w:val="10710D33"/>
    <w:rsid w:val="10935D42"/>
    <w:rsid w:val="10BC9EEB"/>
    <w:rsid w:val="10FF8F3A"/>
    <w:rsid w:val="1114659F"/>
    <w:rsid w:val="11830419"/>
    <w:rsid w:val="118F271E"/>
    <w:rsid w:val="11E77F8C"/>
    <w:rsid w:val="11F29311"/>
    <w:rsid w:val="120A0AE1"/>
    <w:rsid w:val="12176FBB"/>
    <w:rsid w:val="123D63CB"/>
    <w:rsid w:val="12CF1312"/>
    <w:rsid w:val="12D08D88"/>
    <w:rsid w:val="12FA0B0E"/>
    <w:rsid w:val="1302D840"/>
    <w:rsid w:val="130D545E"/>
    <w:rsid w:val="13AD39CF"/>
    <w:rsid w:val="13C68FEF"/>
    <w:rsid w:val="13E4C180"/>
    <w:rsid w:val="142D87BC"/>
    <w:rsid w:val="144C580A"/>
    <w:rsid w:val="148BD744"/>
    <w:rsid w:val="14D1AAC6"/>
    <w:rsid w:val="14DC8E09"/>
    <w:rsid w:val="14DEF698"/>
    <w:rsid w:val="150EC9EB"/>
    <w:rsid w:val="151BD303"/>
    <w:rsid w:val="154AB0D0"/>
    <w:rsid w:val="1570BDAA"/>
    <w:rsid w:val="15722FAB"/>
    <w:rsid w:val="15A686CA"/>
    <w:rsid w:val="15F0334A"/>
    <w:rsid w:val="1670C8B1"/>
    <w:rsid w:val="169599C0"/>
    <w:rsid w:val="16A5DDF5"/>
    <w:rsid w:val="16C87835"/>
    <w:rsid w:val="16DA37FB"/>
    <w:rsid w:val="171AD584"/>
    <w:rsid w:val="171B19D6"/>
    <w:rsid w:val="1735648D"/>
    <w:rsid w:val="17567D0B"/>
    <w:rsid w:val="1793CD66"/>
    <w:rsid w:val="17E85AA3"/>
    <w:rsid w:val="17F88D9F"/>
    <w:rsid w:val="1824B5B1"/>
    <w:rsid w:val="183BA2CD"/>
    <w:rsid w:val="188C078C"/>
    <w:rsid w:val="18F6D475"/>
    <w:rsid w:val="1917C343"/>
    <w:rsid w:val="1956DC51"/>
    <w:rsid w:val="195D0165"/>
    <w:rsid w:val="199F256B"/>
    <w:rsid w:val="19DC2D7D"/>
    <w:rsid w:val="19F71E1F"/>
    <w:rsid w:val="19FE9A1A"/>
    <w:rsid w:val="1A0F14BC"/>
    <w:rsid w:val="1A30863F"/>
    <w:rsid w:val="1A49F59F"/>
    <w:rsid w:val="1A718C70"/>
    <w:rsid w:val="1A82387A"/>
    <w:rsid w:val="1AFCB806"/>
    <w:rsid w:val="1B36E1DA"/>
    <w:rsid w:val="1B488F8F"/>
    <w:rsid w:val="1B4DF562"/>
    <w:rsid w:val="1B5E3E44"/>
    <w:rsid w:val="1B5E46D7"/>
    <w:rsid w:val="1B624774"/>
    <w:rsid w:val="1B636653"/>
    <w:rsid w:val="1BABFAD5"/>
    <w:rsid w:val="1BB92B85"/>
    <w:rsid w:val="1BC940B3"/>
    <w:rsid w:val="1C1A6C03"/>
    <w:rsid w:val="1C2D3351"/>
    <w:rsid w:val="1C3F3904"/>
    <w:rsid w:val="1C976720"/>
    <w:rsid w:val="1CC9E09F"/>
    <w:rsid w:val="1D08F720"/>
    <w:rsid w:val="1D0BC5BE"/>
    <w:rsid w:val="1D21F707"/>
    <w:rsid w:val="1D54432E"/>
    <w:rsid w:val="1D6ADF93"/>
    <w:rsid w:val="1DBAA051"/>
    <w:rsid w:val="1DCF52FD"/>
    <w:rsid w:val="1DEFF062"/>
    <w:rsid w:val="1E2180E9"/>
    <w:rsid w:val="1E47F881"/>
    <w:rsid w:val="1E6FFEEE"/>
    <w:rsid w:val="1EB7C2C5"/>
    <w:rsid w:val="1EBAE0F6"/>
    <w:rsid w:val="1EBEAE1B"/>
    <w:rsid w:val="1EE417C2"/>
    <w:rsid w:val="1F037792"/>
    <w:rsid w:val="1F8689CD"/>
    <w:rsid w:val="1F9077D0"/>
    <w:rsid w:val="1F995538"/>
    <w:rsid w:val="1FBB9B12"/>
    <w:rsid w:val="1FBF9603"/>
    <w:rsid w:val="1FD287D9"/>
    <w:rsid w:val="1FDA0662"/>
    <w:rsid w:val="1FF0252B"/>
    <w:rsid w:val="20599012"/>
    <w:rsid w:val="20F5468A"/>
    <w:rsid w:val="211C0AFF"/>
    <w:rsid w:val="21284A3F"/>
    <w:rsid w:val="213F1D4A"/>
    <w:rsid w:val="215A5B43"/>
    <w:rsid w:val="2161595B"/>
    <w:rsid w:val="2185931D"/>
    <w:rsid w:val="21BED53F"/>
    <w:rsid w:val="21CF6105"/>
    <w:rsid w:val="220ECAAF"/>
    <w:rsid w:val="2220B2DD"/>
    <w:rsid w:val="2241AB51"/>
    <w:rsid w:val="225B1837"/>
    <w:rsid w:val="229A213C"/>
    <w:rsid w:val="22D68740"/>
    <w:rsid w:val="2302FCBA"/>
    <w:rsid w:val="23189A01"/>
    <w:rsid w:val="232F3469"/>
    <w:rsid w:val="23721B7C"/>
    <w:rsid w:val="239C8566"/>
    <w:rsid w:val="23C954F5"/>
    <w:rsid w:val="2406A002"/>
    <w:rsid w:val="2424318D"/>
    <w:rsid w:val="2491F03F"/>
    <w:rsid w:val="24BD7600"/>
    <w:rsid w:val="24F1BC91"/>
    <w:rsid w:val="2500EBED"/>
    <w:rsid w:val="25173939"/>
    <w:rsid w:val="253493D6"/>
    <w:rsid w:val="256BA367"/>
    <w:rsid w:val="25743A1A"/>
    <w:rsid w:val="2580E217"/>
    <w:rsid w:val="25B16FBD"/>
    <w:rsid w:val="25C267B7"/>
    <w:rsid w:val="25DC4A7A"/>
    <w:rsid w:val="25EC299A"/>
    <w:rsid w:val="25F28F6A"/>
    <w:rsid w:val="261CCF90"/>
    <w:rsid w:val="263FBA6C"/>
    <w:rsid w:val="2641DF09"/>
    <w:rsid w:val="26739CCC"/>
    <w:rsid w:val="26B0A1CA"/>
    <w:rsid w:val="26BECAB9"/>
    <w:rsid w:val="27544EC2"/>
    <w:rsid w:val="275BD775"/>
    <w:rsid w:val="27725626"/>
    <w:rsid w:val="27A082E3"/>
    <w:rsid w:val="27DAD7E3"/>
    <w:rsid w:val="27F4CBFA"/>
    <w:rsid w:val="281F4B86"/>
    <w:rsid w:val="2820C5DE"/>
    <w:rsid w:val="282A461E"/>
    <w:rsid w:val="285F8121"/>
    <w:rsid w:val="286359DE"/>
    <w:rsid w:val="287026F9"/>
    <w:rsid w:val="28711CEF"/>
    <w:rsid w:val="28F18860"/>
    <w:rsid w:val="290DB2B9"/>
    <w:rsid w:val="2930BFEE"/>
    <w:rsid w:val="293D87FE"/>
    <w:rsid w:val="2960C8B5"/>
    <w:rsid w:val="29825277"/>
    <w:rsid w:val="299DF6ED"/>
    <w:rsid w:val="2A1691E3"/>
    <w:rsid w:val="2A3A204C"/>
    <w:rsid w:val="2AA31BE1"/>
    <w:rsid w:val="2AFB89D1"/>
    <w:rsid w:val="2B173596"/>
    <w:rsid w:val="2B1B1587"/>
    <w:rsid w:val="2B2A4EE0"/>
    <w:rsid w:val="2B2F6AA0"/>
    <w:rsid w:val="2B363AE7"/>
    <w:rsid w:val="2B386DF0"/>
    <w:rsid w:val="2B6008A0"/>
    <w:rsid w:val="2BC5D0B9"/>
    <w:rsid w:val="2BF4675F"/>
    <w:rsid w:val="2C11D3C9"/>
    <w:rsid w:val="2C140EA0"/>
    <w:rsid w:val="2C419666"/>
    <w:rsid w:val="2C70B028"/>
    <w:rsid w:val="2C76AEC5"/>
    <w:rsid w:val="2C82C4B1"/>
    <w:rsid w:val="2CA0D1F5"/>
    <w:rsid w:val="2D0C86D4"/>
    <w:rsid w:val="2D1E4000"/>
    <w:rsid w:val="2D328819"/>
    <w:rsid w:val="2D3D9ABB"/>
    <w:rsid w:val="2D4D66BB"/>
    <w:rsid w:val="2D6D42DD"/>
    <w:rsid w:val="2D9BE280"/>
    <w:rsid w:val="2DA388B9"/>
    <w:rsid w:val="2DCC1A24"/>
    <w:rsid w:val="2E1AF40F"/>
    <w:rsid w:val="2E5E1927"/>
    <w:rsid w:val="2E7689A6"/>
    <w:rsid w:val="2EE6381D"/>
    <w:rsid w:val="2EF7CDC4"/>
    <w:rsid w:val="2F2148CE"/>
    <w:rsid w:val="2F2EB090"/>
    <w:rsid w:val="2F5A8A6B"/>
    <w:rsid w:val="2F77544C"/>
    <w:rsid w:val="2FB77092"/>
    <w:rsid w:val="3015121C"/>
    <w:rsid w:val="301B3824"/>
    <w:rsid w:val="301CFFAB"/>
    <w:rsid w:val="301D2FCE"/>
    <w:rsid w:val="306D0203"/>
    <w:rsid w:val="30905813"/>
    <w:rsid w:val="30A24965"/>
    <w:rsid w:val="30AED1BC"/>
    <w:rsid w:val="30CA71A8"/>
    <w:rsid w:val="30D22645"/>
    <w:rsid w:val="30DCD9D0"/>
    <w:rsid w:val="30F8AB06"/>
    <w:rsid w:val="313C24BE"/>
    <w:rsid w:val="313E505B"/>
    <w:rsid w:val="3157ABF7"/>
    <w:rsid w:val="31605073"/>
    <w:rsid w:val="31740C9C"/>
    <w:rsid w:val="317EA81A"/>
    <w:rsid w:val="32028DFF"/>
    <w:rsid w:val="32AAEBE7"/>
    <w:rsid w:val="32BF422C"/>
    <w:rsid w:val="32C15823"/>
    <w:rsid w:val="32E9284F"/>
    <w:rsid w:val="32EE94CE"/>
    <w:rsid w:val="33171B28"/>
    <w:rsid w:val="332DE094"/>
    <w:rsid w:val="33445E77"/>
    <w:rsid w:val="336D029A"/>
    <w:rsid w:val="33717F25"/>
    <w:rsid w:val="33C3D963"/>
    <w:rsid w:val="33F8F7A8"/>
    <w:rsid w:val="345DFC42"/>
    <w:rsid w:val="346BD01E"/>
    <w:rsid w:val="347021AA"/>
    <w:rsid w:val="34732383"/>
    <w:rsid w:val="34BE7BB1"/>
    <w:rsid w:val="34D5E4C6"/>
    <w:rsid w:val="34FB2CCE"/>
    <w:rsid w:val="35388150"/>
    <w:rsid w:val="3540A8E1"/>
    <w:rsid w:val="35428B19"/>
    <w:rsid w:val="355BB8CA"/>
    <w:rsid w:val="35657839"/>
    <w:rsid w:val="35806435"/>
    <w:rsid w:val="3589D796"/>
    <w:rsid w:val="35AF74B6"/>
    <w:rsid w:val="35BB0029"/>
    <w:rsid w:val="360E3BBA"/>
    <w:rsid w:val="361900D6"/>
    <w:rsid w:val="36432815"/>
    <w:rsid w:val="36553637"/>
    <w:rsid w:val="365594E7"/>
    <w:rsid w:val="36C079A7"/>
    <w:rsid w:val="36D78021"/>
    <w:rsid w:val="36E7339A"/>
    <w:rsid w:val="378233E1"/>
    <w:rsid w:val="37898E60"/>
    <w:rsid w:val="37AA7493"/>
    <w:rsid w:val="37CADE46"/>
    <w:rsid w:val="3805E91F"/>
    <w:rsid w:val="380DFDB5"/>
    <w:rsid w:val="383526EC"/>
    <w:rsid w:val="3835AD36"/>
    <w:rsid w:val="384B143B"/>
    <w:rsid w:val="385DAB7B"/>
    <w:rsid w:val="38B975DE"/>
    <w:rsid w:val="390D6DA4"/>
    <w:rsid w:val="395836C1"/>
    <w:rsid w:val="39889EEE"/>
    <w:rsid w:val="3990D137"/>
    <w:rsid w:val="39AFABCF"/>
    <w:rsid w:val="3A60F472"/>
    <w:rsid w:val="3A770D6C"/>
    <w:rsid w:val="3A8115EB"/>
    <w:rsid w:val="3AB68F61"/>
    <w:rsid w:val="3B0987B2"/>
    <w:rsid w:val="3B1B9F40"/>
    <w:rsid w:val="3B80FC32"/>
    <w:rsid w:val="3B90D7CC"/>
    <w:rsid w:val="3BA7D3EB"/>
    <w:rsid w:val="3BBAA93A"/>
    <w:rsid w:val="3BEB1900"/>
    <w:rsid w:val="3C1DDE69"/>
    <w:rsid w:val="3C3479FF"/>
    <w:rsid w:val="3C4B348C"/>
    <w:rsid w:val="3C90A961"/>
    <w:rsid w:val="3C9A7C0B"/>
    <w:rsid w:val="3C9AB48C"/>
    <w:rsid w:val="3C9E86E5"/>
    <w:rsid w:val="3CA9DEE4"/>
    <w:rsid w:val="3D35C28D"/>
    <w:rsid w:val="3D86FEF8"/>
    <w:rsid w:val="3DCA5F12"/>
    <w:rsid w:val="3E04D759"/>
    <w:rsid w:val="3E07DEA2"/>
    <w:rsid w:val="3E0A5B84"/>
    <w:rsid w:val="3E2B0182"/>
    <w:rsid w:val="3E451453"/>
    <w:rsid w:val="3E5CCE2E"/>
    <w:rsid w:val="3E5DD84D"/>
    <w:rsid w:val="3E6C9FA0"/>
    <w:rsid w:val="3E714029"/>
    <w:rsid w:val="3EA19E61"/>
    <w:rsid w:val="3EBCF7AD"/>
    <w:rsid w:val="3EE5DD0D"/>
    <w:rsid w:val="3F04BC7C"/>
    <w:rsid w:val="3F3DF4E1"/>
    <w:rsid w:val="3FACBA26"/>
    <w:rsid w:val="3FB6BD45"/>
    <w:rsid w:val="3FD51825"/>
    <w:rsid w:val="4088681A"/>
    <w:rsid w:val="40919DC5"/>
    <w:rsid w:val="4097E735"/>
    <w:rsid w:val="40A99065"/>
    <w:rsid w:val="4101D976"/>
    <w:rsid w:val="412AB982"/>
    <w:rsid w:val="4137CFA3"/>
    <w:rsid w:val="415E82BC"/>
    <w:rsid w:val="41D55304"/>
    <w:rsid w:val="41E3505D"/>
    <w:rsid w:val="41FE0F3F"/>
    <w:rsid w:val="422659F2"/>
    <w:rsid w:val="423E96CB"/>
    <w:rsid w:val="425E8B10"/>
    <w:rsid w:val="425F871F"/>
    <w:rsid w:val="42757C32"/>
    <w:rsid w:val="4283FF7E"/>
    <w:rsid w:val="42CEAA7F"/>
    <w:rsid w:val="42D049F9"/>
    <w:rsid w:val="42F04C7F"/>
    <w:rsid w:val="432746A5"/>
    <w:rsid w:val="43444A4D"/>
    <w:rsid w:val="43C7342A"/>
    <w:rsid w:val="43D53B74"/>
    <w:rsid w:val="43DB9E95"/>
    <w:rsid w:val="43DC43E6"/>
    <w:rsid w:val="43F2F4EE"/>
    <w:rsid w:val="440B60FA"/>
    <w:rsid w:val="44352192"/>
    <w:rsid w:val="44437DD7"/>
    <w:rsid w:val="444F7CC6"/>
    <w:rsid w:val="4453262C"/>
    <w:rsid w:val="451898ED"/>
    <w:rsid w:val="4582B03A"/>
    <w:rsid w:val="45A1A9C2"/>
    <w:rsid w:val="45B0282E"/>
    <w:rsid w:val="45BDB20D"/>
    <w:rsid w:val="45E44B10"/>
    <w:rsid w:val="45E86EBB"/>
    <w:rsid w:val="460E766C"/>
    <w:rsid w:val="4648D81A"/>
    <w:rsid w:val="465346B2"/>
    <w:rsid w:val="466E1D4B"/>
    <w:rsid w:val="46786E82"/>
    <w:rsid w:val="467D0863"/>
    <w:rsid w:val="469FCE38"/>
    <w:rsid w:val="46C1C155"/>
    <w:rsid w:val="46E009C3"/>
    <w:rsid w:val="46E2BB4B"/>
    <w:rsid w:val="46EE58EF"/>
    <w:rsid w:val="4723A0D2"/>
    <w:rsid w:val="473F4621"/>
    <w:rsid w:val="47521E84"/>
    <w:rsid w:val="475A667A"/>
    <w:rsid w:val="47710429"/>
    <w:rsid w:val="47A1F388"/>
    <w:rsid w:val="47E4A548"/>
    <w:rsid w:val="47F0A5BF"/>
    <w:rsid w:val="481AE665"/>
    <w:rsid w:val="487393F3"/>
    <w:rsid w:val="489D292A"/>
    <w:rsid w:val="48E3EA5A"/>
    <w:rsid w:val="49072D17"/>
    <w:rsid w:val="494DF055"/>
    <w:rsid w:val="49669B38"/>
    <w:rsid w:val="49B544E9"/>
    <w:rsid w:val="49B96A81"/>
    <w:rsid w:val="49C2130A"/>
    <w:rsid w:val="4A04E27D"/>
    <w:rsid w:val="4A1A9384"/>
    <w:rsid w:val="4A355E51"/>
    <w:rsid w:val="4A3D3794"/>
    <w:rsid w:val="4A513D0F"/>
    <w:rsid w:val="4A54C1F3"/>
    <w:rsid w:val="4A7BD0C5"/>
    <w:rsid w:val="4AA0CAC2"/>
    <w:rsid w:val="4AA35310"/>
    <w:rsid w:val="4AA8F338"/>
    <w:rsid w:val="4AB40E08"/>
    <w:rsid w:val="4AB64108"/>
    <w:rsid w:val="4AB83FB0"/>
    <w:rsid w:val="4AC18766"/>
    <w:rsid w:val="4AE225AA"/>
    <w:rsid w:val="4AE5C498"/>
    <w:rsid w:val="4AED5008"/>
    <w:rsid w:val="4B0C55B5"/>
    <w:rsid w:val="4B4813E2"/>
    <w:rsid w:val="4B56C64C"/>
    <w:rsid w:val="4B5EB72B"/>
    <w:rsid w:val="4B88854B"/>
    <w:rsid w:val="4B9F1459"/>
    <w:rsid w:val="4BE30DB7"/>
    <w:rsid w:val="4BE35A4D"/>
    <w:rsid w:val="4BEC6CF6"/>
    <w:rsid w:val="4BF82F29"/>
    <w:rsid w:val="4C10BE3B"/>
    <w:rsid w:val="4C7C6FFF"/>
    <w:rsid w:val="4C9A97E7"/>
    <w:rsid w:val="4CB709F8"/>
    <w:rsid w:val="4CE7ED57"/>
    <w:rsid w:val="4CEF1C7A"/>
    <w:rsid w:val="4D9D5C89"/>
    <w:rsid w:val="4DC806EB"/>
    <w:rsid w:val="4DD2595C"/>
    <w:rsid w:val="4DF82E78"/>
    <w:rsid w:val="4E19E76C"/>
    <w:rsid w:val="4E37BFFE"/>
    <w:rsid w:val="4E61389A"/>
    <w:rsid w:val="4E74B0E1"/>
    <w:rsid w:val="4E767CBD"/>
    <w:rsid w:val="4EB93193"/>
    <w:rsid w:val="4EC04811"/>
    <w:rsid w:val="4EC7F16B"/>
    <w:rsid w:val="4F10B8AB"/>
    <w:rsid w:val="4F1E7784"/>
    <w:rsid w:val="4F333F96"/>
    <w:rsid w:val="4F3349AB"/>
    <w:rsid w:val="4F4EDC99"/>
    <w:rsid w:val="4F67A75E"/>
    <w:rsid w:val="4F99DF46"/>
    <w:rsid w:val="4FAE23C9"/>
    <w:rsid w:val="4FC8F669"/>
    <w:rsid w:val="4FFBBF0C"/>
    <w:rsid w:val="503ED2F3"/>
    <w:rsid w:val="503F161B"/>
    <w:rsid w:val="5065DCC3"/>
    <w:rsid w:val="50687A8E"/>
    <w:rsid w:val="507C485D"/>
    <w:rsid w:val="50BBDF4C"/>
    <w:rsid w:val="50CFEE66"/>
    <w:rsid w:val="50DA40A5"/>
    <w:rsid w:val="5103E377"/>
    <w:rsid w:val="5181026B"/>
    <w:rsid w:val="519CF81B"/>
    <w:rsid w:val="51AA1657"/>
    <w:rsid w:val="51BE14DE"/>
    <w:rsid w:val="51BECF2F"/>
    <w:rsid w:val="5226A6B0"/>
    <w:rsid w:val="5231A0FC"/>
    <w:rsid w:val="524B6C79"/>
    <w:rsid w:val="5264552D"/>
    <w:rsid w:val="52694D1C"/>
    <w:rsid w:val="52896C12"/>
    <w:rsid w:val="52BA03D1"/>
    <w:rsid w:val="52BF7F9D"/>
    <w:rsid w:val="52D1B39F"/>
    <w:rsid w:val="52D6B39A"/>
    <w:rsid w:val="52F02A36"/>
    <w:rsid w:val="52F2CB9A"/>
    <w:rsid w:val="5349E8BA"/>
    <w:rsid w:val="537E6107"/>
    <w:rsid w:val="53966056"/>
    <w:rsid w:val="53A8A764"/>
    <w:rsid w:val="53A8D47B"/>
    <w:rsid w:val="53B1A1B9"/>
    <w:rsid w:val="53C124FE"/>
    <w:rsid w:val="53E5E5D4"/>
    <w:rsid w:val="53FA1E19"/>
    <w:rsid w:val="540B8640"/>
    <w:rsid w:val="541F64B9"/>
    <w:rsid w:val="543B7BD4"/>
    <w:rsid w:val="54977241"/>
    <w:rsid w:val="54ACC9CB"/>
    <w:rsid w:val="54B10370"/>
    <w:rsid w:val="54D66100"/>
    <w:rsid w:val="54E4E24F"/>
    <w:rsid w:val="550581ED"/>
    <w:rsid w:val="55077282"/>
    <w:rsid w:val="5548BC05"/>
    <w:rsid w:val="55681251"/>
    <w:rsid w:val="5569DA45"/>
    <w:rsid w:val="556B684F"/>
    <w:rsid w:val="55A9FFBA"/>
    <w:rsid w:val="55AFCB42"/>
    <w:rsid w:val="55BC80F0"/>
    <w:rsid w:val="55D6786F"/>
    <w:rsid w:val="55DB7ED2"/>
    <w:rsid w:val="55EC40E4"/>
    <w:rsid w:val="55F29549"/>
    <w:rsid w:val="561715B1"/>
    <w:rsid w:val="561BB72D"/>
    <w:rsid w:val="56273D81"/>
    <w:rsid w:val="563FEF7E"/>
    <w:rsid w:val="564553FF"/>
    <w:rsid w:val="5655AABF"/>
    <w:rsid w:val="56895D37"/>
    <w:rsid w:val="56B22C48"/>
    <w:rsid w:val="56C3957A"/>
    <w:rsid w:val="56CE8F2A"/>
    <w:rsid w:val="56E5A44E"/>
    <w:rsid w:val="57375AD5"/>
    <w:rsid w:val="576855F2"/>
    <w:rsid w:val="578BF31C"/>
    <w:rsid w:val="57930516"/>
    <w:rsid w:val="5795125F"/>
    <w:rsid w:val="579EDC30"/>
    <w:rsid w:val="57EACB8F"/>
    <w:rsid w:val="58007E82"/>
    <w:rsid w:val="581FB150"/>
    <w:rsid w:val="58E6445C"/>
    <w:rsid w:val="58E79449"/>
    <w:rsid w:val="58EF8D24"/>
    <w:rsid w:val="59143AEC"/>
    <w:rsid w:val="591B6429"/>
    <w:rsid w:val="59204722"/>
    <w:rsid w:val="59213C4E"/>
    <w:rsid w:val="5922D13C"/>
    <w:rsid w:val="596604DF"/>
    <w:rsid w:val="59926849"/>
    <w:rsid w:val="5A13D5E1"/>
    <w:rsid w:val="5A337E8F"/>
    <w:rsid w:val="5A3970E5"/>
    <w:rsid w:val="5A3B213D"/>
    <w:rsid w:val="5A780015"/>
    <w:rsid w:val="5A8A36BC"/>
    <w:rsid w:val="5AAE63FD"/>
    <w:rsid w:val="5AAED139"/>
    <w:rsid w:val="5AB75392"/>
    <w:rsid w:val="5ABE4836"/>
    <w:rsid w:val="5ADD8DE0"/>
    <w:rsid w:val="5B1C44B7"/>
    <w:rsid w:val="5B225257"/>
    <w:rsid w:val="5B2DF32F"/>
    <w:rsid w:val="5B43E580"/>
    <w:rsid w:val="5B585A33"/>
    <w:rsid w:val="5B8D5530"/>
    <w:rsid w:val="5B937466"/>
    <w:rsid w:val="5BAE8C63"/>
    <w:rsid w:val="5BC8FC5C"/>
    <w:rsid w:val="5BDAAB1E"/>
    <w:rsid w:val="5BF31176"/>
    <w:rsid w:val="5C05BE05"/>
    <w:rsid w:val="5C08EDE4"/>
    <w:rsid w:val="5C37080B"/>
    <w:rsid w:val="5C3FD49A"/>
    <w:rsid w:val="5C518CAA"/>
    <w:rsid w:val="5C56901D"/>
    <w:rsid w:val="5C711659"/>
    <w:rsid w:val="5C7A783D"/>
    <w:rsid w:val="5CA16D8C"/>
    <w:rsid w:val="5CACFD9F"/>
    <w:rsid w:val="5CD76521"/>
    <w:rsid w:val="5CF9FA31"/>
    <w:rsid w:val="5D1D1053"/>
    <w:rsid w:val="5D27AFD6"/>
    <w:rsid w:val="5D4ADB14"/>
    <w:rsid w:val="5D52BB01"/>
    <w:rsid w:val="5D65E157"/>
    <w:rsid w:val="5DC4D600"/>
    <w:rsid w:val="5DD35DD3"/>
    <w:rsid w:val="5E200894"/>
    <w:rsid w:val="5E54085E"/>
    <w:rsid w:val="5E9717B8"/>
    <w:rsid w:val="5EA14233"/>
    <w:rsid w:val="5EBEA1BC"/>
    <w:rsid w:val="5EE64696"/>
    <w:rsid w:val="5F168098"/>
    <w:rsid w:val="5F2347BB"/>
    <w:rsid w:val="5F430D60"/>
    <w:rsid w:val="5F7A662C"/>
    <w:rsid w:val="5F91684C"/>
    <w:rsid w:val="5FB7F672"/>
    <w:rsid w:val="5FB8C692"/>
    <w:rsid w:val="5FF04DDE"/>
    <w:rsid w:val="6035DC52"/>
    <w:rsid w:val="603F429C"/>
    <w:rsid w:val="6043C4E7"/>
    <w:rsid w:val="60559CE0"/>
    <w:rsid w:val="60946630"/>
    <w:rsid w:val="60B6AC0E"/>
    <w:rsid w:val="60D495FB"/>
    <w:rsid w:val="60DCF25C"/>
    <w:rsid w:val="60E32A90"/>
    <w:rsid w:val="612E9A7E"/>
    <w:rsid w:val="614352C8"/>
    <w:rsid w:val="6147ADB2"/>
    <w:rsid w:val="615A0565"/>
    <w:rsid w:val="6190DA78"/>
    <w:rsid w:val="6192E5EB"/>
    <w:rsid w:val="61A9D128"/>
    <w:rsid w:val="61B054A7"/>
    <w:rsid w:val="620411F6"/>
    <w:rsid w:val="62311416"/>
    <w:rsid w:val="62457BCA"/>
    <w:rsid w:val="624F34D3"/>
    <w:rsid w:val="625B0D3D"/>
    <w:rsid w:val="6261CED6"/>
    <w:rsid w:val="628B9AC5"/>
    <w:rsid w:val="62D9867B"/>
    <w:rsid w:val="632A5AF0"/>
    <w:rsid w:val="634715AA"/>
    <w:rsid w:val="637E30F3"/>
    <w:rsid w:val="6393A462"/>
    <w:rsid w:val="63E05A9E"/>
    <w:rsid w:val="6414C955"/>
    <w:rsid w:val="64236258"/>
    <w:rsid w:val="642DA520"/>
    <w:rsid w:val="644BA47F"/>
    <w:rsid w:val="6482D46D"/>
    <w:rsid w:val="648D37B5"/>
    <w:rsid w:val="64A9E28E"/>
    <w:rsid w:val="64F5840E"/>
    <w:rsid w:val="65506327"/>
    <w:rsid w:val="657A7C2A"/>
    <w:rsid w:val="65AFEC89"/>
    <w:rsid w:val="6604F323"/>
    <w:rsid w:val="6626D5F2"/>
    <w:rsid w:val="66294F7D"/>
    <w:rsid w:val="662E8A6A"/>
    <w:rsid w:val="6641EAE3"/>
    <w:rsid w:val="6668B690"/>
    <w:rsid w:val="6684DB0F"/>
    <w:rsid w:val="66F07E79"/>
    <w:rsid w:val="6726691D"/>
    <w:rsid w:val="674AA60E"/>
    <w:rsid w:val="6769CB01"/>
    <w:rsid w:val="676EDC06"/>
    <w:rsid w:val="67844576"/>
    <w:rsid w:val="67AB1ECF"/>
    <w:rsid w:val="67D7BFB4"/>
    <w:rsid w:val="68090705"/>
    <w:rsid w:val="6830F39E"/>
    <w:rsid w:val="68328110"/>
    <w:rsid w:val="68674A51"/>
    <w:rsid w:val="68A4A65E"/>
    <w:rsid w:val="68A5CA51"/>
    <w:rsid w:val="68AB6A88"/>
    <w:rsid w:val="68D5863A"/>
    <w:rsid w:val="68E3F4A3"/>
    <w:rsid w:val="68EFE476"/>
    <w:rsid w:val="6909BAD6"/>
    <w:rsid w:val="690BED4C"/>
    <w:rsid w:val="6916635F"/>
    <w:rsid w:val="691D0CBB"/>
    <w:rsid w:val="69221BD5"/>
    <w:rsid w:val="697A7CAF"/>
    <w:rsid w:val="6998BBDD"/>
    <w:rsid w:val="69CB4964"/>
    <w:rsid w:val="6A328E42"/>
    <w:rsid w:val="6A61A41A"/>
    <w:rsid w:val="6A9DC14A"/>
    <w:rsid w:val="6A9E576F"/>
    <w:rsid w:val="6AAC60C8"/>
    <w:rsid w:val="6ADD87BA"/>
    <w:rsid w:val="6ADFEE7F"/>
    <w:rsid w:val="6B0A569E"/>
    <w:rsid w:val="6B378C89"/>
    <w:rsid w:val="6B5C1F3D"/>
    <w:rsid w:val="6B860E90"/>
    <w:rsid w:val="6BB95793"/>
    <w:rsid w:val="6BDA8DA7"/>
    <w:rsid w:val="6BE33827"/>
    <w:rsid w:val="6C0EB675"/>
    <w:rsid w:val="6C20FCFE"/>
    <w:rsid w:val="6C3BB182"/>
    <w:rsid w:val="6C4519B9"/>
    <w:rsid w:val="6C8C3278"/>
    <w:rsid w:val="6CA933F2"/>
    <w:rsid w:val="6CAFFD7B"/>
    <w:rsid w:val="6CC7D259"/>
    <w:rsid w:val="6CD5EC5C"/>
    <w:rsid w:val="6CE769F0"/>
    <w:rsid w:val="6D10AE07"/>
    <w:rsid w:val="6D203480"/>
    <w:rsid w:val="6D3F6530"/>
    <w:rsid w:val="6D6EE871"/>
    <w:rsid w:val="6D6F6876"/>
    <w:rsid w:val="6D71CE82"/>
    <w:rsid w:val="6DB9A41A"/>
    <w:rsid w:val="6DD9A965"/>
    <w:rsid w:val="6DEA5F5A"/>
    <w:rsid w:val="6DF24262"/>
    <w:rsid w:val="6E134578"/>
    <w:rsid w:val="6E8DE32D"/>
    <w:rsid w:val="6F06D7BE"/>
    <w:rsid w:val="6F26A896"/>
    <w:rsid w:val="6F3EA17E"/>
    <w:rsid w:val="6F65892D"/>
    <w:rsid w:val="6F6D3132"/>
    <w:rsid w:val="6F8986BA"/>
    <w:rsid w:val="6FAF5A4C"/>
    <w:rsid w:val="6FE6EF6A"/>
    <w:rsid w:val="7015112B"/>
    <w:rsid w:val="705AE7BD"/>
    <w:rsid w:val="7087E8AB"/>
    <w:rsid w:val="70D6165A"/>
    <w:rsid w:val="718650C8"/>
    <w:rsid w:val="719B7F23"/>
    <w:rsid w:val="71ADD755"/>
    <w:rsid w:val="71D78D7B"/>
    <w:rsid w:val="71E15DEB"/>
    <w:rsid w:val="72088917"/>
    <w:rsid w:val="720D09BA"/>
    <w:rsid w:val="72391A59"/>
    <w:rsid w:val="728CA63C"/>
    <w:rsid w:val="72918C4E"/>
    <w:rsid w:val="72972DA5"/>
    <w:rsid w:val="72A2C8B3"/>
    <w:rsid w:val="72A47B53"/>
    <w:rsid w:val="72AB7E37"/>
    <w:rsid w:val="72AC4589"/>
    <w:rsid w:val="72E7226E"/>
    <w:rsid w:val="72F6D7B4"/>
    <w:rsid w:val="73208EAA"/>
    <w:rsid w:val="7325392B"/>
    <w:rsid w:val="733DB170"/>
    <w:rsid w:val="7340596C"/>
    <w:rsid w:val="73491150"/>
    <w:rsid w:val="735765B1"/>
    <w:rsid w:val="73690531"/>
    <w:rsid w:val="740A61A0"/>
    <w:rsid w:val="74269798"/>
    <w:rsid w:val="74D97DA6"/>
    <w:rsid w:val="74FE770A"/>
    <w:rsid w:val="7564D6C7"/>
    <w:rsid w:val="761BBD29"/>
    <w:rsid w:val="765AF8CC"/>
    <w:rsid w:val="77147D81"/>
    <w:rsid w:val="775CCFD6"/>
    <w:rsid w:val="778DCF89"/>
    <w:rsid w:val="77E3D583"/>
    <w:rsid w:val="7806FC2B"/>
    <w:rsid w:val="78DDAF68"/>
    <w:rsid w:val="78EE3836"/>
    <w:rsid w:val="7904246A"/>
    <w:rsid w:val="792B8423"/>
    <w:rsid w:val="794CFDFE"/>
    <w:rsid w:val="795CE096"/>
    <w:rsid w:val="79775F60"/>
    <w:rsid w:val="797869A4"/>
    <w:rsid w:val="799E720C"/>
    <w:rsid w:val="79B266BF"/>
    <w:rsid w:val="7A253224"/>
    <w:rsid w:val="7A30081D"/>
    <w:rsid w:val="7A5DBA9A"/>
    <w:rsid w:val="7A637699"/>
    <w:rsid w:val="7A7826E1"/>
    <w:rsid w:val="7A90DD38"/>
    <w:rsid w:val="7AAA863C"/>
    <w:rsid w:val="7AB1129A"/>
    <w:rsid w:val="7AD6E480"/>
    <w:rsid w:val="7B165550"/>
    <w:rsid w:val="7B244412"/>
    <w:rsid w:val="7B494793"/>
    <w:rsid w:val="7B4E7458"/>
    <w:rsid w:val="7B9CCE4D"/>
    <w:rsid w:val="7BA68EFB"/>
    <w:rsid w:val="7BC69D55"/>
    <w:rsid w:val="7BE99374"/>
    <w:rsid w:val="7BE9E35B"/>
    <w:rsid w:val="7C120CD3"/>
    <w:rsid w:val="7C2EE225"/>
    <w:rsid w:val="7C5471A0"/>
    <w:rsid w:val="7C5A1AF3"/>
    <w:rsid w:val="7C64CBD8"/>
    <w:rsid w:val="7C992B03"/>
    <w:rsid w:val="7CD32FAE"/>
    <w:rsid w:val="7CFA8534"/>
    <w:rsid w:val="7D1DDD1F"/>
    <w:rsid w:val="7D25D7DA"/>
    <w:rsid w:val="7D3BEBCB"/>
    <w:rsid w:val="7D3E49CE"/>
    <w:rsid w:val="7D4C99DA"/>
    <w:rsid w:val="7D601EA4"/>
    <w:rsid w:val="7D8D3563"/>
    <w:rsid w:val="7E4BF2DC"/>
    <w:rsid w:val="7E5391F2"/>
    <w:rsid w:val="7EB29CA2"/>
    <w:rsid w:val="7EBE4509"/>
    <w:rsid w:val="7EECEF1E"/>
    <w:rsid w:val="7F013540"/>
    <w:rsid w:val="7F1077E4"/>
    <w:rsid w:val="7F9D13F7"/>
    <w:rsid w:val="7FB8E033"/>
    <w:rsid w:val="7FC051CA"/>
    <w:rsid w:val="7FDC4A5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2050" style="mso-position-vertical-relative:page;v-text-anchor:bottom" fill="f" fillcolor="white" stroke="f">
      <v:fill color="white" on="f"/>
      <v:stroke on="f"/>
      <v:textbox inset="0,0,0,0"/>
      <o:colormru v:ext="edit" colors="#ddd,#f8f8f8"/>
    </o:shapedefaults>
    <o:shapelayout v:ext="edit">
      <o:idmap v:ext="edit" data="2"/>
    </o:shapelayout>
  </w:shapeDefaults>
  <w:decimalSymbol w:val="."/>
  <w:listSeparator w:val=","/>
  <w14:docId w14:val="0E738C4D"/>
  <w14:defaultImageDpi w14:val="32767"/>
  <w15:docId w15:val="{421DA29E-8B2D-4B65-9BE0-EA6555AA0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71" w:qFormat="1"/>
    <w:lsdException w:name="heading 2" w:uiPriority="71" w:qFormat="1"/>
    <w:lsdException w:name="heading 3" w:uiPriority="71" w:unhideWhenUsed="1" w:qFormat="1"/>
    <w:lsdException w:name="heading 4" w:uiPriority="71" w:unhideWhenUsed="1" w:qFormat="1"/>
    <w:lsdException w:name="heading 5" w:uiPriority="71" w:unhideWhenUsed="1" w:qFormat="1"/>
    <w:lsdException w:name="heading 6" w:unhideWhenUsed="1" w:qFormat="1"/>
    <w:lsdException w:name="heading 7" w:unhideWhenUsed="1" w:qFormat="1"/>
    <w:lsdException w:name="heading 8" w:unhideWhenUsed="1" w:qFormat="1"/>
    <w:lsdException w:name="heading 9"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qFormat="1"/>
    <w:lsdException w:name="index heading" w:locked="1" w:semiHidden="1" w:unhideWhenUsed="1"/>
    <w:lsdException w:name="caption" w:uiPriority="4"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2" w:unhideWhenUsed="1" w:qFormat="1"/>
    <w:lsdException w:name="List Number" w:locked="1" w:semiHidden="1" w:uiPriority="2" w:unhideWhenUsed="1"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iPriority="2"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4" w:unhideWhenUsed="1" w:qFormat="1"/>
    <w:lsdException w:name="List Number 3" w:locked="1" w:semiHidden="1" w:unhideWhenUsed="1"/>
    <w:lsdException w:name="List Number 4" w:locked="1" w:semiHidden="1" w:unhideWhenUsed="1"/>
    <w:lsdException w:name="List Number 5" w:locked="1" w:semiHidden="1" w:unhideWhenUsed="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Strong" w:uiPriority="22"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91DDE"/>
    <w:pPr>
      <w:spacing w:after="120"/>
    </w:pPr>
    <w:rPr>
      <w:rFonts w:eastAsia="Calibri"/>
      <w:color w:val="000000"/>
    </w:rPr>
  </w:style>
  <w:style w:type="paragraph" w:styleId="Heading1">
    <w:name w:val="heading 1"/>
    <w:next w:val="BodyText"/>
    <w:link w:val="Heading1Char"/>
    <w:uiPriority w:val="1"/>
    <w:qFormat/>
    <w:rsid w:val="00C91DDE"/>
    <w:pPr>
      <w:keepNext/>
      <w:keepLines/>
      <w:pageBreakBefore/>
      <w:numPr>
        <w:numId w:val="10"/>
      </w:numPr>
      <w:tabs>
        <w:tab w:val="left" w:pos="1134"/>
      </w:tabs>
      <w:spacing w:after="960" w:line="480" w:lineRule="exact"/>
      <w:outlineLvl w:val="0"/>
    </w:pPr>
    <w:rPr>
      <w:rFonts w:eastAsiaTheme="majorEastAsia" w:cstheme="majorBidi"/>
      <w:bCs/>
      <w:color w:val="757579" w:themeColor="accent3"/>
      <w:sz w:val="44"/>
      <w:szCs w:val="28"/>
    </w:rPr>
  </w:style>
  <w:style w:type="paragraph" w:styleId="Heading2">
    <w:name w:val="heading 2"/>
    <w:basedOn w:val="Heading1"/>
    <w:next w:val="BodyText"/>
    <w:link w:val="Heading2Char"/>
    <w:uiPriority w:val="1"/>
    <w:qFormat/>
    <w:rsid w:val="00C91DDE"/>
    <w:pPr>
      <w:pageBreakBefore w:val="0"/>
      <w:numPr>
        <w:ilvl w:val="1"/>
      </w:numPr>
      <w:spacing w:before="360" w:after="240" w:line="240" w:lineRule="auto"/>
      <w:outlineLvl w:val="1"/>
    </w:pPr>
    <w:rPr>
      <w:color w:val="001D34" w:themeColor="accent2"/>
      <w:sz w:val="32"/>
      <w:szCs w:val="26"/>
    </w:rPr>
  </w:style>
  <w:style w:type="paragraph" w:styleId="Heading3">
    <w:name w:val="heading 3"/>
    <w:basedOn w:val="Heading2"/>
    <w:next w:val="BodyText"/>
    <w:link w:val="Heading3Char"/>
    <w:uiPriority w:val="1"/>
    <w:qFormat/>
    <w:rsid w:val="00E71F2C"/>
    <w:pPr>
      <w:numPr>
        <w:ilvl w:val="2"/>
      </w:numPr>
      <w:outlineLvl w:val="2"/>
    </w:pPr>
    <w:rPr>
      <w:b/>
      <w:color w:val="auto"/>
      <w:sz w:val="26"/>
    </w:rPr>
  </w:style>
  <w:style w:type="paragraph" w:styleId="Heading4">
    <w:name w:val="heading 4"/>
    <w:basedOn w:val="Heading3"/>
    <w:next w:val="BodyText"/>
    <w:link w:val="Heading4Char"/>
    <w:uiPriority w:val="1"/>
    <w:qFormat/>
    <w:rsid w:val="00C91DDE"/>
    <w:pPr>
      <w:numPr>
        <w:ilvl w:val="0"/>
        <w:numId w:val="0"/>
      </w:numPr>
      <w:spacing w:before="240" w:after="120"/>
      <w:outlineLvl w:val="3"/>
    </w:pPr>
    <w:rPr>
      <w:iCs/>
      <w:color w:val="757579" w:themeColor="accent3"/>
      <w:spacing w:val="1"/>
      <w:sz w:val="24"/>
    </w:rPr>
  </w:style>
  <w:style w:type="paragraph" w:styleId="Heading5">
    <w:name w:val="heading 5"/>
    <w:basedOn w:val="Heading4"/>
    <w:next w:val="BodyText"/>
    <w:link w:val="Heading5Char"/>
    <w:uiPriority w:val="1"/>
    <w:qFormat/>
    <w:rsid w:val="00C80108"/>
    <w:pPr>
      <w:outlineLvl w:val="4"/>
    </w:pPr>
    <w:rPr>
      <w:color w:val="auto"/>
      <w:sz w:val="22"/>
    </w:rPr>
  </w:style>
  <w:style w:type="paragraph" w:styleId="Heading6">
    <w:name w:val="heading 6"/>
    <w:basedOn w:val="Normal"/>
    <w:next w:val="Normal"/>
    <w:link w:val="Heading6Char"/>
    <w:uiPriority w:val="99"/>
    <w:semiHidden/>
    <w:qFormat/>
    <w:rsid w:val="001249CC"/>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9"/>
    <w:semiHidden/>
    <w:qFormat/>
    <w:locked/>
    <w:rsid w:val="00DB55B9"/>
    <w:pPr>
      <w:spacing w:before="240" w:after="60"/>
      <w:outlineLvl w:val="6"/>
    </w:pPr>
    <w:rPr>
      <w:rFonts w:asciiTheme="minorHAnsi" w:hAnsiTheme="minorHAnsi" w:cstheme="majorBidi"/>
      <w:sz w:val="24"/>
      <w:szCs w:val="24"/>
    </w:rPr>
  </w:style>
  <w:style w:type="paragraph" w:styleId="Heading8">
    <w:name w:val="heading 8"/>
    <w:basedOn w:val="Normal"/>
    <w:next w:val="Normal"/>
    <w:link w:val="Heading8Char"/>
    <w:uiPriority w:val="99"/>
    <w:semiHidden/>
    <w:qFormat/>
    <w:locked/>
    <w:rsid w:val="00DB55B9"/>
    <w:pPr>
      <w:spacing w:before="240" w:after="60"/>
      <w:outlineLvl w:val="7"/>
    </w:pPr>
    <w:rPr>
      <w:rFonts w:asciiTheme="minorHAnsi" w:hAnsiTheme="minorHAnsi" w:cstheme="majorBidi"/>
      <w:i/>
      <w:iCs/>
      <w:sz w:val="24"/>
      <w:szCs w:val="24"/>
    </w:rPr>
  </w:style>
  <w:style w:type="paragraph" w:styleId="Heading9">
    <w:name w:val="heading 9"/>
    <w:aliases w:val="Appendix Heading 1"/>
    <w:basedOn w:val="AppendixHeading1base"/>
    <w:next w:val="BodyText"/>
    <w:link w:val="Heading9Char"/>
    <w:uiPriority w:val="10"/>
    <w:locked/>
    <w:rsid w:val="0015572F"/>
    <w:pPr>
      <w:spacing w:after="1080"/>
      <w:outlineLvl w:val="8"/>
    </w:pPr>
    <w:rPr>
      <w:b w:val="0"/>
      <w:color w:val="757579" w:themeColor="accent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C91DDE"/>
    <w:rPr>
      <w:rFonts w:eastAsiaTheme="majorEastAsia" w:cstheme="majorBidi"/>
      <w:bCs/>
      <w:color w:val="757579" w:themeColor="accent3"/>
      <w:sz w:val="44"/>
      <w:szCs w:val="28"/>
    </w:rPr>
  </w:style>
  <w:style w:type="character" w:customStyle="1" w:styleId="Heading2Char">
    <w:name w:val="Heading 2 Char"/>
    <w:basedOn w:val="DefaultParagraphFont"/>
    <w:link w:val="Heading2"/>
    <w:uiPriority w:val="1"/>
    <w:locked/>
    <w:rsid w:val="00C91DDE"/>
    <w:rPr>
      <w:rFonts w:eastAsiaTheme="majorEastAsia" w:cstheme="majorBidi"/>
      <w:bCs/>
      <w:color w:val="001D34" w:themeColor="accent2"/>
      <w:sz w:val="32"/>
      <w:szCs w:val="26"/>
    </w:rPr>
  </w:style>
  <w:style w:type="character" w:customStyle="1" w:styleId="Heading3Char">
    <w:name w:val="Heading 3 Char"/>
    <w:basedOn w:val="DefaultParagraphFont"/>
    <w:link w:val="Heading3"/>
    <w:uiPriority w:val="1"/>
    <w:locked/>
    <w:rsid w:val="00E71F2C"/>
    <w:rPr>
      <w:rFonts w:eastAsiaTheme="majorEastAsia" w:cstheme="majorBidi"/>
      <w:b/>
      <w:bCs/>
      <w:sz w:val="26"/>
      <w:szCs w:val="26"/>
    </w:rPr>
  </w:style>
  <w:style w:type="character" w:customStyle="1" w:styleId="Heading4Char">
    <w:name w:val="Heading 4 Char"/>
    <w:basedOn w:val="DefaultParagraphFont"/>
    <w:link w:val="Heading4"/>
    <w:uiPriority w:val="1"/>
    <w:locked/>
    <w:rsid w:val="00C91DDE"/>
    <w:rPr>
      <w:rFonts w:eastAsiaTheme="majorEastAsia" w:cstheme="majorBidi"/>
      <w:b/>
      <w:bCs/>
      <w:iCs/>
      <w:color w:val="757579" w:themeColor="accent3"/>
      <w:spacing w:val="1"/>
      <w:sz w:val="24"/>
      <w:szCs w:val="26"/>
    </w:rPr>
  </w:style>
  <w:style w:type="character" w:customStyle="1" w:styleId="Heading5Char">
    <w:name w:val="Heading 5 Char"/>
    <w:basedOn w:val="DefaultParagraphFont"/>
    <w:link w:val="Heading5"/>
    <w:uiPriority w:val="1"/>
    <w:locked/>
    <w:rsid w:val="00C80108"/>
    <w:rPr>
      <w:rFonts w:eastAsiaTheme="majorEastAsia" w:cstheme="majorBidi"/>
      <w:b/>
      <w:bCs/>
      <w:iCs/>
      <w:spacing w:val="1"/>
      <w:szCs w:val="26"/>
    </w:rPr>
  </w:style>
  <w:style w:type="character" w:customStyle="1" w:styleId="Heading6Char">
    <w:name w:val="Heading 6 Char"/>
    <w:basedOn w:val="DefaultParagraphFont"/>
    <w:link w:val="Heading6"/>
    <w:uiPriority w:val="99"/>
    <w:semiHidden/>
    <w:locked/>
    <w:rsid w:val="00DB55B9"/>
    <w:rPr>
      <w:rFonts w:eastAsiaTheme="majorEastAsia" w:cstheme="majorBidi"/>
      <w:i/>
      <w:iCs/>
      <w:color w:val="000000"/>
    </w:rPr>
  </w:style>
  <w:style w:type="character" w:customStyle="1" w:styleId="Heading7Char">
    <w:name w:val="Heading 7 Char"/>
    <w:basedOn w:val="DefaultParagraphFont"/>
    <w:link w:val="Heading7"/>
    <w:uiPriority w:val="99"/>
    <w:semiHidden/>
    <w:locked/>
    <w:rsid w:val="00DB55B9"/>
    <w:rPr>
      <w:rFonts w:asciiTheme="minorHAnsi" w:eastAsia="Calibri" w:hAnsiTheme="minorHAnsi" w:cstheme="majorBidi"/>
      <w:color w:val="000000"/>
      <w:sz w:val="24"/>
      <w:szCs w:val="24"/>
    </w:rPr>
  </w:style>
  <w:style w:type="character" w:customStyle="1" w:styleId="Heading8Char">
    <w:name w:val="Heading 8 Char"/>
    <w:basedOn w:val="DefaultParagraphFont"/>
    <w:link w:val="Heading8"/>
    <w:uiPriority w:val="99"/>
    <w:semiHidden/>
    <w:locked/>
    <w:rsid w:val="00DB55B9"/>
    <w:rPr>
      <w:rFonts w:asciiTheme="minorHAnsi" w:eastAsia="Calibri" w:hAnsiTheme="minorHAnsi" w:cstheme="majorBidi"/>
      <w:i/>
      <w:iCs/>
      <w:color w:val="000000"/>
      <w:sz w:val="24"/>
      <w:szCs w:val="24"/>
    </w:rPr>
  </w:style>
  <w:style w:type="character" w:customStyle="1" w:styleId="Heading9Char">
    <w:name w:val="Heading 9 Char"/>
    <w:aliases w:val="Appendix Heading 1 Char"/>
    <w:basedOn w:val="DefaultParagraphFont"/>
    <w:link w:val="Heading9"/>
    <w:uiPriority w:val="10"/>
    <w:locked/>
    <w:rsid w:val="0015572F"/>
    <w:rPr>
      <w:rFonts w:eastAsiaTheme="majorEastAsia" w:cstheme="majorBidi"/>
      <w:bCs/>
      <w:color w:val="757579" w:themeColor="accent3"/>
      <w:sz w:val="44"/>
      <w:szCs w:val="28"/>
    </w:rPr>
  </w:style>
  <w:style w:type="paragraph" w:styleId="Header">
    <w:name w:val="header"/>
    <w:basedOn w:val="Normal"/>
    <w:link w:val="HeaderChar"/>
    <w:uiPriority w:val="99"/>
    <w:semiHidden/>
    <w:rsid w:val="00944443"/>
    <w:rPr>
      <w:caps/>
      <w:color w:val="FFFFFF"/>
      <w:spacing w:val="16"/>
    </w:rPr>
  </w:style>
  <w:style w:type="character" w:customStyle="1" w:styleId="HeaderChar">
    <w:name w:val="Header Char"/>
    <w:basedOn w:val="DefaultParagraphFont"/>
    <w:link w:val="Header"/>
    <w:uiPriority w:val="99"/>
    <w:semiHidden/>
    <w:locked/>
    <w:rsid w:val="00DB55B9"/>
    <w:rPr>
      <w:rFonts w:eastAsia="Calibri"/>
      <w:caps/>
      <w:color w:val="FFFFFF"/>
      <w:spacing w:val="16"/>
    </w:rPr>
  </w:style>
  <w:style w:type="paragraph" w:styleId="Footer">
    <w:name w:val="footer"/>
    <w:basedOn w:val="BodyText"/>
    <w:link w:val="FooterChar"/>
    <w:uiPriority w:val="99"/>
    <w:qFormat/>
    <w:rsid w:val="000B40F1"/>
    <w:pPr>
      <w:tabs>
        <w:tab w:val="center" w:pos="4513"/>
        <w:tab w:val="right" w:pos="9026"/>
      </w:tabs>
      <w:spacing w:before="0" w:line="220" w:lineRule="atLeast"/>
    </w:pPr>
    <w:rPr>
      <w:color w:val="757579" w:themeColor="accent3"/>
      <w:sz w:val="16"/>
    </w:rPr>
  </w:style>
  <w:style w:type="character" w:customStyle="1" w:styleId="FooterChar">
    <w:name w:val="Footer Char"/>
    <w:basedOn w:val="DefaultParagraphFont"/>
    <w:link w:val="Footer"/>
    <w:uiPriority w:val="99"/>
    <w:locked/>
    <w:rsid w:val="000B40F1"/>
    <w:rPr>
      <w:rFonts w:eastAsia="Calibri"/>
      <w:color w:val="757579" w:themeColor="accent3"/>
      <w:sz w:val="16"/>
    </w:rPr>
  </w:style>
  <w:style w:type="paragraph" w:styleId="BalloonText">
    <w:name w:val="Balloon Text"/>
    <w:basedOn w:val="Normal"/>
    <w:link w:val="BalloonTextChar"/>
    <w:uiPriority w:val="99"/>
    <w:semiHidden/>
    <w:locked/>
    <w:rsid w:val="00064612"/>
    <w:pPr>
      <w:spacing w:after="0"/>
    </w:pPr>
    <w:rPr>
      <w:rFonts w:ascii="Tahoma" w:hAnsi="Tahoma" w:cs="Tahoma"/>
      <w:sz w:val="16"/>
      <w:szCs w:val="16"/>
    </w:rPr>
  </w:style>
  <w:style w:type="paragraph" w:styleId="ListBullet">
    <w:name w:val="List Bullet"/>
    <w:basedOn w:val="BodyText"/>
    <w:next w:val="BodyText"/>
    <w:uiPriority w:val="2"/>
    <w:qFormat/>
    <w:rsid w:val="004D1FAA"/>
    <w:pPr>
      <w:numPr>
        <w:numId w:val="5"/>
      </w:numPr>
      <w:tabs>
        <w:tab w:val="left" w:pos="227"/>
        <w:tab w:val="left" w:pos="397"/>
      </w:tabs>
      <w:spacing w:before="60" w:after="60"/>
    </w:pPr>
  </w:style>
  <w:style w:type="paragraph" w:styleId="ListNumber">
    <w:name w:val="List Number"/>
    <w:basedOn w:val="BodyText"/>
    <w:next w:val="BodyText"/>
    <w:uiPriority w:val="2"/>
    <w:qFormat/>
    <w:rsid w:val="00D349D1"/>
    <w:pPr>
      <w:numPr>
        <w:numId w:val="8"/>
      </w:numPr>
      <w:tabs>
        <w:tab w:val="left" w:pos="397"/>
      </w:tabs>
      <w:ind w:left="397" w:hanging="397"/>
    </w:pPr>
  </w:style>
  <w:style w:type="paragraph" w:styleId="ListBullet2">
    <w:name w:val="List Bullet 2"/>
    <w:basedOn w:val="ListBullet"/>
    <w:next w:val="BodyText"/>
    <w:uiPriority w:val="2"/>
    <w:qFormat/>
    <w:rsid w:val="00D349D1"/>
    <w:pPr>
      <w:numPr>
        <w:ilvl w:val="1"/>
      </w:numPr>
      <w:tabs>
        <w:tab w:val="left" w:pos="794"/>
      </w:tabs>
    </w:pPr>
  </w:style>
  <w:style w:type="paragraph" w:styleId="TOC1">
    <w:name w:val="toc 1"/>
    <w:basedOn w:val="BodyText"/>
    <w:next w:val="TOC2"/>
    <w:uiPriority w:val="39"/>
    <w:unhideWhenUsed/>
    <w:rsid w:val="00DC2413"/>
    <w:pPr>
      <w:pBdr>
        <w:top w:val="single" w:sz="4" w:space="1" w:color="001D34" w:themeColor="accent2"/>
        <w:left w:val="single" w:sz="4" w:space="4" w:color="001D34" w:themeColor="accent2"/>
        <w:bottom w:val="single" w:sz="4" w:space="1" w:color="001D34" w:themeColor="accent2"/>
        <w:right w:val="single" w:sz="4" w:space="4" w:color="001D34" w:themeColor="accent2"/>
      </w:pBdr>
      <w:shd w:val="clear" w:color="auto" w:fill="001D34" w:themeFill="accent2"/>
      <w:tabs>
        <w:tab w:val="left" w:pos="737"/>
        <w:tab w:val="right" w:pos="9639"/>
      </w:tabs>
      <w:spacing w:before="240" w:after="180"/>
    </w:pPr>
    <w:rPr>
      <w:b/>
      <w:noProof/>
      <w:color w:val="FFFFFF"/>
    </w:rPr>
  </w:style>
  <w:style w:type="paragraph" w:styleId="TOC2">
    <w:name w:val="toc 2"/>
    <w:basedOn w:val="BodyText"/>
    <w:uiPriority w:val="39"/>
    <w:unhideWhenUsed/>
    <w:rsid w:val="00A23FE4"/>
    <w:pPr>
      <w:tabs>
        <w:tab w:val="left" w:pos="737"/>
        <w:tab w:val="left" w:pos="1531"/>
        <w:tab w:val="right" w:leader="dot" w:pos="9639"/>
      </w:tabs>
      <w:ind w:right="284"/>
    </w:pPr>
    <w:rPr>
      <w:noProof/>
      <w:color w:val="001D34" w:themeColor="accent2"/>
    </w:rPr>
  </w:style>
  <w:style w:type="table" w:styleId="TableGrid">
    <w:name w:val="Table Grid"/>
    <w:basedOn w:val="TableNormal"/>
    <w:uiPriority w:val="59"/>
    <w:rsid w:val="006F4826"/>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character" w:styleId="PageNumber">
    <w:name w:val="page number"/>
    <w:basedOn w:val="DefaultParagraphFont"/>
    <w:uiPriority w:val="99"/>
    <w:semiHidden/>
    <w:rsid w:val="00752473"/>
    <w:rPr>
      <w:rFonts w:ascii="Calibri" w:hAnsi="Calibri" w:cs="Times New Roman"/>
      <w:sz w:val="16"/>
    </w:rPr>
  </w:style>
  <w:style w:type="paragraph" w:styleId="TOC3">
    <w:name w:val="toc 3"/>
    <w:basedOn w:val="BodyText"/>
    <w:uiPriority w:val="39"/>
    <w:unhideWhenUsed/>
    <w:rsid w:val="00A23FE4"/>
    <w:pPr>
      <w:tabs>
        <w:tab w:val="left" w:pos="1531"/>
        <w:tab w:val="right" w:leader="dot" w:pos="9639"/>
      </w:tabs>
      <w:spacing w:before="60"/>
      <w:ind w:left="737" w:right="284"/>
    </w:pPr>
    <w:rPr>
      <w:color w:val="001D34" w:themeColor="accent2"/>
    </w:rPr>
  </w:style>
  <w:style w:type="paragraph" w:customStyle="1" w:styleId="CoverTitle">
    <w:name w:val="CoverTitle"/>
    <w:next w:val="CoverSubtitle"/>
    <w:uiPriority w:val="12"/>
    <w:qFormat/>
    <w:rsid w:val="005E1488"/>
    <w:pPr>
      <w:spacing w:before="480" w:after="360" w:line="216" w:lineRule="auto"/>
    </w:pPr>
    <w:rPr>
      <w:rFonts w:eastAsiaTheme="majorEastAsia" w:cstheme="majorBidi"/>
      <w:color w:val="757579" w:themeColor="accent3"/>
      <w:spacing w:val="5"/>
      <w:kern w:val="28"/>
      <w:sz w:val="72"/>
      <w:szCs w:val="52"/>
    </w:rPr>
  </w:style>
  <w:style w:type="paragraph" w:customStyle="1" w:styleId="PartTitle">
    <w:name w:val="PartTitle"/>
    <w:next w:val="PartSubtitle"/>
    <w:uiPriority w:val="15"/>
    <w:qFormat/>
    <w:rsid w:val="00C91DDE"/>
    <w:pPr>
      <w:keepNext/>
      <w:tabs>
        <w:tab w:val="left" w:pos="2552"/>
      </w:tabs>
      <w:ind w:left="2552" w:hanging="2552"/>
      <w:outlineLvl w:val="0"/>
    </w:pPr>
    <w:rPr>
      <w:rFonts w:eastAsia="Calibri"/>
      <w:color w:val="757579" w:themeColor="accent3"/>
      <w:sz w:val="80"/>
    </w:rPr>
  </w:style>
  <w:style w:type="paragraph" w:customStyle="1" w:styleId="PartSubtitle">
    <w:name w:val="PartSubtitle"/>
    <w:basedOn w:val="PartTitle"/>
    <w:next w:val="BodyText"/>
    <w:uiPriority w:val="15"/>
    <w:qFormat/>
    <w:rsid w:val="00C91DDE"/>
    <w:pPr>
      <w:spacing w:before="360" w:after="240" w:line="340" w:lineRule="atLeast"/>
      <w:outlineLvl w:val="9"/>
    </w:pPr>
    <w:rPr>
      <w:color w:val="001D34" w:themeColor="accent2"/>
      <w:sz w:val="34"/>
    </w:rPr>
  </w:style>
  <w:style w:type="paragraph" w:customStyle="1" w:styleId="ListofFiguresandTablesTOCHeading">
    <w:name w:val="List of Figures and Tables TOC Heading"/>
    <w:basedOn w:val="TOCHeading"/>
    <w:next w:val="TableofFigures"/>
    <w:uiPriority w:val="14"/>
    <w:qFormat/>
    <w:rsid w:val="00D1044D"/>
  </w:style>
  <w:style w:type="paragraph" w:styleId="ListBullet3">
    <w:name w:val="List Bullet 3"/>
    <w:basedOn w:val="ListBullet2"/>
    <w:uiPriority w:val="2"/>
    <w:rsid w:val="00D349D1"/>
    <w:pPr>
      <w:numPr>
        <w:ilvl w:val="0"/>
        <w:numId w:val="12"/>
      </w:numPr>
      <w:tabs>
        <w:tab w:val="clear" w:pos="794"/>
        <w:tab w:val="left" w:pos="851"/>
      </w:tabs>
      <w:ind w:left="1497" w:hanging="340"/>
    </w:pPr>
  </w:style>
  <w:style w:type="paragraph" w:styleId="FootnoteText">
    <w:name w:val="footnote text"/>
    <w:basedOn w:val="BodyText"/>
    <w:link w:val="FootnoteTextChar"/>
    <w:uiPriority w:val="9"/>
    <w:qFormat/>
    <w:rsid w:val="00DC2413"/>
    <w:pPr>
      <w:spacing w:before="60" w:line="180" w:lineRule="atLeast"/>
    </w:pPr>
    <w:rPr>
      <w:sz w:val="16"/>
      <w:szCs w:val="20"/>
    </w:rPr>
  </w:style>
  <w:style w:type="character" w:customStyle="1" w:styleId="FootnoteTextChar">
    <w:name w:val="Footnote Text Char"/>
    <w:basedOn w:val="DefaultParagraphFont"/>
    <w:link w:val="FootnoteText"/>
    <w:uiPriority w:val="9"/>
    <w:locked/>
    <w:rsid w:val="00DC2413"/>
    <w:rPr>
      <w:rFonts w:eastAsia="Calibri"/>
      <w:color w:val="000000"/>
      <w:sz w:val="16"/>
      <w:szCs w:val="20"/>
    </w:rPr>
  </w:style>
  <w:style w:type="paragraph" w:customStyle="1" w:styleId="FootnoteHeading">
    <w:name w:val="Footnote Heading"/>
    <w:basedOn w:val="FootnoteText"/>
    <w:uiPriority w:val="9"/>
    <w:qFormat/>
    <w:rsid w:val="007A01EB"/>
    <w:rPr>
      <w:b/>
    </w:rPr>
  </w:style>
  <w:style w:type="paragraph" w:customStyle="1" w:styleId="FigureTableSource">
    <w:name w:val="Figure/Table Source"/>
    <w:basedOn w:val="BodyText"/>
    <w:next w:val="BodyText"/>
    <w:uiPriority w:val="4"/>
    <w:qFormat/>
    <w:rsid w:val="00DC2413"/>
    <w:pPr>
      <w:tabs>
        <w:tab w:val="left" w:pos="539"/>
      </w:tabs>
      <w:spacing w:after="240" w:line="180" w:lineRule="atLeast"/>
    </w:pPr>
    <w:rPr>
      <w:sz w:val="16"/>
      <w:szCs w:val="20"/>
    </w:rPr>
  </w:style>
  <w:style w:type="paragraph" w:customStyle="1" w:styleId="TableText">
    <w:name w:val="TableText"/>
    <w:basedOn w:val="Normal"/>
    <w:uiPriority w:val="5"/>
    <w:qFormat/>
    <w:rsid w:val="00DC2413"/>
    <w:pPr>
      <w:spacing w:before="60" w:after="60"/>
    </w:pPr>
    <w:rPr>
      <w:sz w:val="18"/>
    </w:rPr>
  </w:style>
  <w:style w:type="paragraph" w:customStyle="1" w:styleId="TableBullet">
    <w:name w:val="TableBullet"/>
    <w:basedOn w:val="TableText"/>
    <w:next w:val="TableText"/>
    <w:uiPriority w:val="5"/>
    <w:qFormat/>
    <w:rsid w:val="006131D3"/>
    <w:pPr>
      <w:numPr>
        <w:numId w:val="7"/>
      </w:numPr>
    </w:pPr>
  </w:style>
  <w:style w:type="paragraph" w:customStyle="1" w:styleId="RowHeading">
    <w:name w:val="RowHeading"/>
    <w:basedOn w:val="TableText"/>
    <w:next w:val="TableText"/>
    <w:uiPriority w:val="5"/>
    <w:qFormat/>
    <w:rsid w:val="00FB6C47"/>
    <w:rPr>
      <w:b/>
      <w:color w:val="auto"/>
    </w:rPr>
  </w:style>
  <w:style w:type="paragraph" w:customStyle="1" w:styleId="ColumnHeading">
    <w:name w:val="ColumnHeading"/>
    <w:basedOn w:val="TableText"/>
    <w:uiPriority w:val="5"/>
    <w:qFormat/>
    <w:rsid w:val="00786A8D"/>
    <w:pPr>
      <w:spacing w:after="0" w:line="180" w:lineRule="atLeast"/>
    </w:pPr>
    <w:rPr>
      <w:b/>
      <w:caps/>
      <w:color w:val="FFFFFF"/>
      <w:sz w:val="16"/>
    </w:rPr>
  </w:style>
  <w:style w:type="paragraph" w:customStyle="1" w:styleId="CoverSubtitle">
    <w:name w:val="CoverSubtitle"/>
    <w:next w:val="BodyText"/>
    <w:uiPriority w:val="12"/>
    <w:qFormat/>
    <w:rsid w:val="008467C7"/>
    <w:pPr>
      <w:numPr>
        <w:ilvl w:val="1"/>
      </w:numPr>
      <w:spacing w:after="240"/>
    </w:pPr>
    <w:rPr>
      <w:rFonts w:eastAsiaTheme="majorEastAsia" w:cstheme="majorBidi"/>
      <w:iCs/>
      <w:color w:val="000000" w:themeColor="text2"/>
      <w:spacing w:val="15"/>
      <w:sz w:val="32"/>
      <w:szCs w:val="24"/>
    </w:rPr>
  </w:style>
  <w:style w:type="paragraph" w:customStyle="1" w:styleId="BackCoverContactHeading">
    <w:name w:val="BackCover ContactHeading"/>
    <w:next w:val="BackCoverContactDetails"/>
    <w:uiPriority w:val="18"/>
    <w:qFormat/>
    <w:rsid w:val="000B40F1"/>
    <w:pPr>
      <w:spacing w:before="360" w:after="60"/>
    </w:pPr>
    <w:rPr>
      <w:rFonts w:eastAsia="Calibri"/>
      <w:b/>
      <w:sz w:val="18"/>
      <w:szCs w:val="20"/>
    </w:rPr>
  </w:style>
  <w:style w:type="paragraph" w:customStyle="1" w:styleId="BackCoverContactDetails">
    <w:name w:val="BackCover ContactDetails"/>
    <w:uiPriority w:val="18"/>
    <w:qFormat/>
    <w:rsid w:val="00DC2413"/>
    <w:pPr>
      <w:tabs>
        <w:tab w:val="left" w:pos="199"/>
      </w:tabs>
    </w:pPr>
    <w:rPr>
      <w:rFonts w:eastAsia="Calibri"/>
      <w:sz w:val="18"/>
    </w:rPr>
  </w:style>
  <w:style w:type="character" w:customStyle="1" w:styleId="BackCoverContactBold">
    <w:name w:val="BackCover ContactBold"/>
    <w:basedOn w:val="DefaultParagraphFont"/>
    <w:uiPriority w:val="18"/>
    <w:qFormat/>
    <w:rsid w:val="00D1044D"/>
    <w:rPr>
      <w:b/>
    </w:rPr>
  </w:style>
  <w:style w:type="paragraph" w:styleId="TOCHeading">
    <w:name w:val="TOC Heading"/>
    <w:basedOn w:val="Heading1"/>
    <w:next w:val="Normal"/>
    <w:link w:val="TOCHeadingChar"/>
    <w:uiPriority w:val="39"/>
    <w:qFormat/>
    <w:rsid w:val="00462182"/>
    <w:pPr>
      <w:pageBreakBefore w:val="0"/>
      <w:numPr>
        <w:numId w:val="0"/>
      </w:numPr>
      <w:spacing w:before="480" w:after="240"/>
      <w:outlineLvl w:val="1"/>
    </w:pPr>
    <w:rPr>
      <w:bCs w:val="0"/>
    </w:rPr>
  </w:style>
  <w:style w:type="character" w:styleId="Hyperlink">
    <w:name w:val="Hyperlink"/>
    <w:basedOn w:val="DefaultParagraphFont"/>
    <w:uiPriority w:val="99"/>
    <w:qFormat/>
    <w:rsid w:val="00C91DDE"/>
    <w:rPr>
      <w:rFonts w:cs="Times New Roman"/>
      <w:color w:val="757579" w:themeColor="accent3"/>
      <w:u w:val="none"/>
    </w:rPr>
  </w:style>
  <w:style w:type="paragraph" w:styleId="TOC4">
    <w:name w:val="toc 4"/>
    <w:basedOn w:val="Normal"/>
    <w:next w:val="Normal"/>
    <w:autoRedefine/>
    <w:uiPriority w:val="39"/>
    <w:rsid w:val="00FE3F4D"/>
    <w:pPr>
      <w:spacing w:after="100"/>
      <w:ind w:left="660"/>
    </w:pPr>
  </w:style>
  <w:style w:type="paragraph" w:styleId="TOC9">
    <w:name w:val="toc 9"/>
    <w:basedOn w:val="Normal"/>
    <w:next w:val="Normal"/>
    <w:autoRedefine/>
    <w:uiPriority w:val="39"/>
    <w:rsid w:val="00FE3F4D"/>
    <w:pPr>
      <w:spacing w:after="100"/>
      <w:ind w:left="1760"/>
    </w:pPr>
  </w:style>
  <w:style w:type="character" w:customStyle="1" w:styleId="BalloonTextChar">
    <w:name w:val="Balloon Text Char"/>
    <w:basedOn w:val="DefaultParagraphFont"/>
    <w:link w:val="BalloonText"/>
    <w:uiPriority w:val="99"/>
    <w:semiHidden/>
    <w:rsid w:val="00DB55B9"/>
    <w:rPr>
      <w:rFonts w:ascii="Tahoma" w:eastAsia="Calibri" w:hAnsi="Tahoma" w:cs="Tahoma"/>
      <w:color w:val="000000"/>
      <w:sz w:val="16"/>
      <w:szCs w:val="16"/>
    </w:rPr>
  </w:style>
  <w:style w:type="paragraph" w:styleId="Caption">
    <w:name w:val="caption"/>
    <w:basedOn w:val="BodyText"/>
    <w:next w:val="BodyText"/>
    <w:uiPriority w:val="4"/>
    <w:qFormat/>
    <w:rsid w:val="00C91DDE"/>
    <w:pPr>
      <w:keepNext/>
      <w:spacing w:before="180" w:after="180"/>
      <w:contextualSpacing/>
    </w:pPr>
    <w:rPr>
      <w:b/>
      <w:bCs/>
      <w:color w:val="757579" w:themeColor="accent3"/>
      <w:sz w:val="20"/>
      <w:szCs w:val="18"/>
    </w:rPr>
  </w:style>
  <w:style w:type="paragraph" w:customStyle="1" w:styleId="Headerurl">
    <w:name w:val="Header url"/>
    <w:basedOn w:val="Header"/>
    <w:uiPriority w:val="99"/>
    <w:semiHidden/>
    <w:rsid w:val="00944443"/>
    <w:pPr>
      <w:tabs>
        <w:tab w:val="center" w:pos="4153"/>
        <w:tab w:val="right" w:pos="8306"/>
      </w:tabs>
      <w:spacing w:after="0"/>
    </w:pPr>
    <w:rPr>
      <w:b/>
      <w:color w:val="00313C"/>
      <w:szCs w:val="24"/>
    </w:rPr>
  </w:style>
  <w:style w:type="character" w:customStyle="1" w:styleId="PartNumber">
    <w:name w:val="PartNumber"/>
    <w:basedOn w:val="DefaultParagraphFont"/>
    <w:uiPriority w:val="15"/>
    <w:qFormat/>
    <w:rsid w:val="00D1044D"/>
    <w:rPr>
      <w:color w:val="001D34" w:themeColor="accent2"/>
    </w:rPr>
  </w:style>
  <w:style w:type="paragraph" w:customStyle="1" w:styleId="Heading1notnumbered">
    <w:name w:val="Heading 1 not numbered"/>
    <w:basedOn w:val="Heading1"/>
    <w:next w:val="BodyText"/>
    <w:uiPriority w:val="1"/>
    <w:qFormat/>
    <w:rsid w:val="00D1044D"/>
    <w:pPr>
      <w:numPr>
        <w:numId w:val="0"/>
      </w:numPr>
    </w:pPr>
  </w:style>
  <w:style w:type="paragraph" w:customStyle="1" w:styleId="Heading3notnumbered">
    <w:name w:val="Heading 3 not numbered"/>
    <w:basedOn w:val="Heading3"/>
    <w:next w:val="BodyText"/>
    <w:uiPriority w:val="1"/>
    <w:qFormat/>
    <w:rsid w:val="00752314"/>
    <w:pPr>
      <w:numPr>
        <w:ilvl w:val="0"/>
        <w:numId w:val="0"/>
      </w:numPr>
    </w:pPr>
  </w:style>
  <w:style w:type="paragraph" w:customStyle="1" w:styleId="Heading2notnumbered">
    <w:name w:val="Heading 2 not numbered"/>
    <w:basedOn w:val="Heading2"/>
    <w:next w:val="BodyText"/>
    <w:uiPriority w:val="1"/>
    <w:qFormat/>
    <w:rsid w:val="00752314"/>
    <w:pPr>
      <w:numPr>
        <w:ilvl w:val="0"/>
        <w:numId w:val="0"/>
      </w:numPr>
    </w:pPr>
  </w:style>
  <w:style w:type="paragraph" w:customStyle="1" w:styleId="Heading1noTOC">
    <w:name w:val="Heading 1 no TOC"/>
    <w:basedOn w:val="Heading1notnumbered"/>
    <w:next w:val="BodyText"/>
    <w:uiPriority w:val="1"/>
    <w:qFormat/>
    <w:rsid w:val="00C80108"/>
  </w:style>
  <w:style w:type="character" w:customStyle="1" w:styleId="TOCHeadingChar">
    <w:name w:val="TOC Heading Char"/>
    <w:basedOn w:val="DefaultParagraphFont"/>
    <w:link w:val="TOCHeading"/>
    <w:uiPriority w:val="19"/>
    <w:semiHidden/>
    <w:locked/>
    <w:rsid w:val="00DB55B9"/>
    <w:rPr>
      <w:rFonts w:eastAsiaTheme="majorEastAsia" w:cstheme="majorBidi"/>
      <w:b/>
      <w:color w:val="00A9CE" w:themeColor="accent1"/>
      <w:sz w:val="44"/>
      <w:szCs w:val="28"/>
    </w:rPr>
  </w:style>
  <w:style w:type="paragraph" w:styleId="BlockText">
    <w:name w:val="Block Text"/>
    <w:basedOn w:val="Normal"/>
    <w:uiPriority w:val="99"/>
    <w:semiHidden/>
    <w:locked/>
    <w:rsid w:val="00E251B6"/>
    <w:pPr>
      <w:ind w:left="1440" w:right="1440"/>
    </w:pPr>
  </w:style>
  <w:style w:type="paragraph" w:styleId="BodyText">
    <w:name w:val="Body Text"/>
    <w:link w:val="BodyTextChar"/>
    <w:qFormat/>
    <w:locked/>
    <w:rsid w:val="00E71F2C"/>
    <w:pPr>
      <w:spacing w:before="120" w:after="120" w:line="264" w:lineRule="auto"/>
    </w:pPr>
    <w:rPr>
      <w:rFonts w:eastAsia="Calibri"/>
      <w:color w:val="000000"/>
      <w:sz w:val="24"/>
    </w:rPr>
  </w:style>
  <w:style w:type="character" w:customStyle="1" w:styleId="BodyTextChar">
    <w:name w:val="Body Text Char"/>
    <w:basedOn w:val="DefaultParagraphFont"/>
    <w:link w:val="BodyText"/>
    <w:locked/>
    <w:rsid w:val="00E71F2C"/>
    <w:rPr>
      <w:rFonts w:eastAsia="Calibri"/>
      <w:color w:val="000000"/>
      <w:sz w:val="24"/>
    </w:rPr>
  </w:style>
  <w:style w:type="paragraph" w:styleId="BodyText2">
    <w:name w:val="Body Text 2"/>
    <w:basedOn w:val="Normal"/>
    <w:link w:val="BodyText2Char"/>
    <w:uiPriority w:val="99"/>
    <w:semiHidden/>
    <w:locked/>
    <w:rsid w:val="00E251B6"/>
    <w:pPr>
      <w:spacing w:line="480" w:lineRule="auto"/>
    </w:pPr>
  </w:style>
  <w:style w:type="character" w:customStyle="1" w:styleId="BodyText2Char">
    <w:name w:val="Body Text 2 Char"/>
    <w:basedOn w:val="DefaultParagraphFont"/>
    <w:link w:val="BodyText2"/>
    <w:uiPriority w:val="99"/>
    <w:semiHidden/>
    <w:locked/>
    <w:rsid w:val="00DB55B9"/>
    <w:rPr>
      <w:rFonts w:eastAsia="Calibri"/>
      <w:color w:val="000000"/>
    </w:rPr>
  </w:style>
  <w:style w:type="paragraph" w:styleId="BodyText3">
    <w:name w:val="Body Text 3"/>
    <w:basedOn w:val="Normal"/>
    <w:link w:val="BodyText3Char"/>
    <w:uiPriority w:val="99"/>
    <w:semiHidden/>
    <w:locked/>
    <w:rsid w:val="00E251B6"/>
    <w:rPr>
      <w:sz w:val="16"/>
      <w:szCs w:val="16"/>
    </w:rPr>
  </w:style>
  <w:style w:type="character" w:customStyle="1" w:styleId="BodyText3Char">
    <w:name w:val="Body Text 3 Char"/>
    <w:basedOn w:val="DefaultParagraphFont"/>
    <w:link w:val="BodyText3"/>
    <w:uiPriority w:val="99"/>
    <w:semiHidden/>
    <w:locked/>
    <w:rsid w:val="00DB55B9"/>
    <w:rPr>
      <w:rFonts w:eastAsia="Calibri"/>
      <w:color w:val="000000"/>
      <w:sz w:val="16"/>
      <w:szCs w:val="16"/>
    </w:rPr>
  </w:style>
  <w:style w:type="paragraph" w:styleId="BodyTextFirstIndent">
    <w:name w:val="Body Text First Indent"/>
    <w:basedOn w:val="BodyText"/>
    <w:link w:val="BodyTextFirstIndentChar"/>
    <w:uiPriority w:val="99"/>
    <w:semiHidden/>
    <w:locked/>
    <w:rsid w:val="00E251B6"/>
    <w:pPr>
      <w:ind w:firstLine="210"/>
    </w:pPr>
  </w:style>
  <w:style w:type="character" w:customStyle="1" w:styleId="BodyTextFirstIndentChar">
    <w:name w:val="Body Text First Indent Char"/>
    <w:basedOn w:val="BodyTextChar"/>
    <w:link w:val="BodyTextFirstIndent"/>
    <w:uiPriority w:val="99"/>
    <w:semiHidden/>
    <w:locked/>
    <w:rsid w:val="00DB55B9"/>
    <w:rPr>
      <w:rFonts w:eastAsia="Calibri"/>
      <w:color w:val="000000"/>
      <w:sz w:val="24"/>
    </w:rPr>
  </w:style>
  <w:style w:type="paragraph" w:styleId="BodyTextIndent">
    <w:name w:val="Body Text Indent"/>
    <w:basedOn w:val="Normal"/>
    <w:link w:val="BodyTextIndentChar"/>
    <w:uiPriority w:val="99"/>
    <w:semiHidden/>
    <w:locked/>
    <w:rsid w:val="00E251B6"/>
    <w:pPr>
      <w:ind w:left="283"/>
    </w:pPr>
  </w:style>
  <w:style w:type="character" w:customStyle="1" w:styleId="BodyTextIndentChar">
    <w:name w:val="Body Text Indent Char"/>
    <w:basedOn w:val="DefaultParagraphFont"/>
    <w:link w:val="BodyTextIndent"/>
    <w:uiPriority w:val="99"/>
    <w:semiHidden/>
    <w:locked/>
    <w:rsid w:val="00DB55B9"/>
    <w:rPr>
      <w:rFonts w:eastAsia="Calibri"/>
      <w:color w:val="000000"/>
    </w:rPr>
  </w:style>
  <w:style w:type="paragraph" w:styleId="BodyTextFirstIndent2">
    <w:name w:val="Body Text First Indent 2"/>
    <w:basedOn w:val="BodyTextIndent"/>
    <w:link w:val="BodyTextFirstIndent2Char"/>
    <w:uiPriority w:val="99"/>
    <w:semiHidden/>
    <w:locked/>
    <w:rsid w:val="00E251B6"/>
    <w:pPr>
      <w:ind w:firstLine="210"/>
    </w:pPr>
  </w:style>
  <w:style w:type="character" w:customStyle="1" w:styleId="BodyTextFirstIndent2Char">
    <w:name w:val="Body Text First Indent 2 Char"/>
    <w:basedOn w:val="BodyTextIndentChar"/>
    <w:link w:val="BodyTextFirstIndent2"/>
    <w:uiPriority w:val="99"/>
    <w:semiHidden/>
    <w:locked/>
    <w:rsid w:val="00DB55B9"/>
    <w:rPr>
      <w:rFonts w:eastAsia="Calibri"/>
      <w:color w:val="000000"/>
    </w:rPr>
  </w:style>
  <w:style w:type="paragraph" w:styleId="BodyTextIndent2">
    <w:name w:val="Body Text Indent 2"/>
    <w:basedOn w:val="Normal"/>
    <w:link w:val="BodyTextIndent2Char"/>
    <w:uiPriority w:val="99"/>
    <w:semiHidden/>
    <w:locked/>
    <w:rsid w:val="00E251B6"/>
    <w:pPr>
      <w:spacing w:line="480" w:lineRule="auto"/>
      <w:ind w:left="283"/>
    </w:pPr>
  </w:style>
  <w:style w:type="character" w:customStyle="1" w:styleId="BodyTextIndent2Char">
    <w:name w:val="Body Text Indent 2 Char"/>
    <w:basedOn w:val="DefaultParagraphFont"/>
    <w:link w:val="BodyTextIndent2"/>
    <w:uiPriority w:val="99"/>
    <w:semiHidden/>
    <w:locked/>
    <w:rsid w:val="00DB55B9"/>
    <w:rPr>
      <w:rFonts w:eastAsia="Calibri"/>
      <w:color w:val="000000"/>
    </w:rPr>
  </w:style>
  <w:style w:type="paragraph" w:styleId="BodyTextIndent3">
    <w:name w:val="Body Text Indent 3"/>
    <w:basedOn w:val="Normal"/>
    <w:link w:val="BodyTextIndent3Char"/>
    <w:uiPriority w:val="99"/>
    <w:semiHidden/>
    <w:locked/>
    <w:rsid w:val="00E251B6"/>
    <w:pPr>
      <w:ind w:left="283"/>
    </w:pPr>
    <w:rPr>
      <w:sz w:val="16"/>
      <w:szCs w:val="16"/>
    </w:rPr>
  </w:style>
  <w:style w:type="character" w:customStyle="1" w:styleId="BodyTextIndent3Char">
    <w:name w:val="Body Text Indent 3 Char"/>
    <w:basedOn w:val="DefaultParagraphFont"/>
    <w:link w:val="BodyTextIndent3"/>
    <w:uiPriority w:val="99"/>
    <w:semiHidden/>
    <w:locked/>
    <w:rsid w:val="00DB55B9"/>
    <w:rPr>
      <w:rFonts w:eastAsia="Calibri"/>
      <w:color w:val="000000"/>
      <w:sz w:val="16"/>
      <w:szCs w:val="16"/>
    </w:rPr>
  </w:style>
  <w:style w:type="paragraph" w:styleId="Closing">
    <w:name w:val="Closing"/>
    <w:basedOn w:val="Normal"/>
    <w:link w:val="ClosingChar"/>
    <w:uiPriority w:val="99"/>
    <w:semiHidden/>
    <w:locked/>
    <w:rsid w:val="00E251B6"/>
    <w:pPr>
      <w:ind w:left="4252"/>
    </w:pPr>
  </w:style>
  <w:style w:type="character" w:customStyle="1" w:styleId="ClosingChar">
    <w:name w:val="Closing Char"/>
    <w:basedOn w:val="DefaultParagraphFont"/>
    <w:link w:val="Closing"/>
    <w:uiPriority w:val="99"/>
    <w:semiHidden/>
    <w:locked/>
    <w:rsid w:val="00DB55B9"/>
    <w:rPr>
      <w:rFonts w:eastAsia="Calibri"/>
      <w:color w:val="000000"/>
    </w:rPr>
  </w:style>
  <w:style w:type="paragraph" w:styleId="Date">
    <w:name w:val="Date"/>
    <w:basedOn w:val="Normal"/>
    <w:next w:val="Normal"/>
    <w:link w:val="DateChar"/>
    <w:uiPriority w:val="99"/>
    <w:semiHidden/>
    <w:locked/>
    <w:rsid w:val="00E251B6"/>
  </w:style>
  <w:style w:type="character" w:customStyle="1" w:styleId="DateChar">
    <w:name w:val="Date Char"/>
    <w:basedOn w:val="DefaultParagraphFont"/>
    <w:link w:val="Date"/>
    <w:uiPriority w:val="99"/>
    <w:semiHidden/>
    <w:locked/>
    <w:rsid w:val="00DB55B9"/>
    <w:rPr>
      <w:rFonts w:eastAsia="Calibri"/>
      <w:color w:val="000000"/>
    </w:rPr>
  </w:style>
  <w:style w:type="paragraph" w:styleId="E-mailSignature">
    <w:name w:val="E-mail Signature"/>
    <w:basedOn w:val="Normal"/>
    <w:link w:val="E-mailSignatureChar"/>
    <w:uiPriority w:val="99"/>
    <w:semiHidden/>
    <w:locked/>
    <w:rsid w:val="00E251B6"/>
  </w:style>
  <w:style w:type="character" w:customStyle="1" w:styleId="E-mailSignatureChar">
    <w:name w:val="E-mail Signature Char"/>
    <w:basedOn w:val="DefaultParagraphFont"/>
    <w:link w:val="E-mailSignature"/>
    <w:uiPriority w:val="99"/>
    <w:semiHidden/>
    <w:locked/>
    <w:rsid w:val="00DB55B9"/>
    <w:rPr>
      <w:rFonts w:eastAsia="Calibri"/>
      <w:color w:val="000000"/>
    </w:rPr>
  </w:style>
  <w:style w:type="character" w:styleId="Emphasis">
    <w:name w:val="Emphasis"/>
    <w:basedOn w:val="DefaultParagraphFont"/>
    <w:uiPriority w:val="99"/>
    <w:semiHidden/>
    <w:locked/>
    <w:rsid w:val="001249CC"/>
    <w:rPr>
      <w:rFonts w:cs="Times New Roman"/>
      <w:i/>
      <w:iCs/>
    </w:rPr>
  </w:style>
  <w:style w:type="paragraph" w:styleId="EnvelopeAddress">
    <w:name w:val="envelope address"/>
    <w:basedOn w:val="Normal"/>
    <w:uiPriority w:val="99"/>
    <w:semiHidden/>
    <w:locked/>
    <w:rsid w:val="00E251B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locked/>
    <w:rsid w:val="00E251B6"/>
    <w:rPr>
      <w:rFonts w:ascii="Arial" w:hAnsi="Arial" w:cs="Arial"/>
      <w:sz w:val="20"/>
      <w:szCs w:val="20"/>
    </w:rPr>
  </w:style>
  <w:style w:type="character" w:styleId="FollowedHyperlink">
    <w:name w:val="FollowedHyperlink"/>
    <w:basedOn w:val="DefaultParagraphFont"/>
    <w:uiPriority w:val="99"/>
    <w:semiHidden/>
    <w:locked/>
    <w:rsid w:val="003D6565"/>
    <w:rPr>
      <w:rFonts w:cs="Times New Roman"/>
      <w:color w:val="auto"/>
      <w:u w:val="none"/>
    </w:rPr>
  </w:style>
  <w:style w:type="character" w:styleId="FootnoteReference">
    <w:name w:val="footnote reference"/>
    <w:basedOn w:val="DefaultParagraphFont"/>
    <w:uiPriority w:val="9"/>
    <w:locked/>
    <w:rsid w:val="00E251B6"/>
    <w:rPr>
      <w:rFonts w:cs="Times New Roman"/>
      <w:vertAlign w:val="superscript"/>
    </w:rPr>
  </w:style>
  <w:style w:type="character" w:styleId="HTMLAcronym">
    <w:name w:val="HTML Acronym"/>
    <w:basedOn w:val="DefaultParagraphFont"/>
    <w:uiPriority w:val="99"/>
    <w:semiHidden/>
    <w:locked/>
    <w:rsid w:val="00E251B6"/>
    <w:rPr>
      <w:rFonts w:cs="Times New Roman"/>
    </w:rPr>
  </w:style>
  <w:style w:type="paragraph" w:styleId="HTMLAddress">
    <w:name w:val="HTML Address"/>
    <w:basedOn w:val="Normal"/>
    <w:link w:val="HTMLAddressChar"/>
    <w:uiPriority w:val="99"/>
    <w:semiHidden/>
    <w:locked/>
    <w:rsid w:val="00E251B6"/>
    <w:rPr>
      <w:i/>
      <w:iCs/>
    </w:rPr>
  </w:style>
  <w:style w:type="character" w:customStyle="1" w:styleId="HTMLAddressChar">
    <w:name w:val="HTML Address Char"/>
    <w:basedOn w:val="DefaultParagraphFont"/>
    <w:link w:val="HTMLAddress"/>
    <w:uiPriority w:val="99"/>
    <w:semiHidden/>
    <w:locked/>
    <w:rsid w:val="00DB55B9"/>
    <w:rPr>
      <w:rFonts w:eastAsia="Calibri"/>
      <w:i/>
      <w:iCs/>
      <w:color w:val="000000"/>
    </w:rPr>
  </w:style>
  <w:style w:type="character" w:styleId="HTMLCite">
    <w:name w:val="HTML Cite"/>
    <w:basedOn w:val="DefaultParagraphFont"/>
    <w:uiPriority w:val="99"/>
    <w:semiHidden/>
    <w:locked/>
    <w:rsid w:val="00E251B6"/>
    <w:rPr>
      <w:rFonts w:cs="Times New Roman"/>
      <w:i/>
      <w:iCs/>
    </w:rPr>
  </w:style>
  <w:style w:type="character" w:styleId="HTMLCode">
    <w:name w:val="HTML Code"/>
    <w:basedOn w:val="DefaultParagraphFont"/>
    <w:uiPriority w:val="99"/>
    <w:semiHidden/>
    <w:locked/>
    <w:rsid w:val="00E251B6"/>
    <w:rPr>
      <w:rFonts w:ascii="Courier New" w:hAnsi="Courier New" w:cs="Courier New"/>
      <w:sz w:val="20"/>
      <w:szCs w:val="20"/>
    </w:rPr>
  </w:style>
  <w:style w:type="character" w:styleId="HTMLDefinition">
    <w:name w:val="HTML Definition"/>
    <w:basedOn w:val="DefaultParagraphFont"/>
    <w:uiPriority w:val="99"/>
    <w:semiHidden/>
    <w:locked/>
    <w:rsid w:val="00E251B6"/>
    <w:rPr>
      <w:rFonts w:cs="Times New Roman"/>
      <w:i/>
      <w:iCs/>
    </w:rPr>
  </w:style>
  <w:style w:type="character" w:styleId="HTMLKeyboard">
    <w:name w:val="HTML Keyboard"/>
    <w:basedOn w:val="DefaultParagraphFont"/>
    <w:uiPriority w:val="99"/>
    <w:semiHidden/>
    <w:locked/>
    <w:rsid w:val="00E251B6"/>
    <w:rPr>
      <w:rFonts w:ascii="Courier New" w:hAnsi="Courier New" w:cs="Courier New"/>
      <w:sz w:val="20"/>
      <w:szCs w:val="20"/>
    </w:rPr>
  </w:style>
  <w:style w:type="paragraph" w:styleId="HTMLPreformatted">
    <w:name w:val="HTML Preformatted"/>
    <w:basedOn w:val="Normal"/>
    <w:link w:val="HTMLPreformattedChar"/>
    <w:uiPriority w:val="99"/>
    <w:semiHidden/>
    <w:locked/>
    <w:rsid w:val="00E251B6"/>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DB55B9"/>
    <w:rPr>
      <w:rFonts w:ascii="Courier New" w:eastAsia="Calibri" w:hAnsi="Courier New" w:cs="Courier New"/>
      <w:color w:val="000000"/>
      <w:sz w:val="20"/>
      <w:szCs w:val="20"/>
    </w:rPr>
  </w:style>
  <w:style w:type="character" w:styleId="HTMLSample">
    <w:name w:val="HTML Sample"/>
    <w:basedOn w:val="DefaultParagraphFont"/>
    <w:uiPriority w:val="99"/>
    <w:semiHidden/>
    <w:locked/>
    <w:rsid w:val="00E251B6"/>
    <w:rPr>
      <w:rFonts w:ascii="Courier New" w:hAnsi="Courier New" w:cs="Courier New"/>
    </w:rPr>
  </w:style>
  <w:style w:type="character" w:styleId="HTMLTypewriter">
    <w:name w:val="HTML Typewriter"/>
    <w:basedOn w:val="DefaultParagraphFont"/>
    <w:uiPriority w:val="99"/>
    <w:semiHidden/>
    <w:locked/>
    <w:rsid w:val="00E251B6"/>
    <w:rPr>
      <w:rFonts w:ascii="Courier New" w:hAnsi="Courier New" w:cs="Courier New"/>
      <w:sz w:val="20"/>
      <w:szCs w:val="20"/>
    </w:rPr>
  </w:style>
  <w:style w:type="character" w:styleId="HTMLVariable">
    <w:name w:val="HTML Variable"/>
    <w:basedOn w:val="DefaultParagraphFont"/>
    <w:uiPriority w:val="99"/>
    <w:semiHidden/>
    <w:locked/>
    <w:rsid w:val="00E251B6"/>
    <w:rPr>
      <w:rFonts w:cs="Times New Roman"/>
      <w:i/>
      <w:iCs/>
    </w:rPr>
  </w:style>
  <w:style w:type="character" w:styleId="LineNumber">
    <w:name w:val="line number"/>
    <w:basedOn w:val="DefaultParagraphFont"/>
    <w:uiPriority w:val="99"/>
    <w:semiHidden/>
    <w:locked/>
    <w:rsid w:val="00E251B6"/>
    <w:rPr>
      <w:rFonts w:cs="Times New Roman"/>
    </w:rPr>
  </w:style>
  <w:style w:type="paragraph" w:styleId="List">
    <w:name w:val="List"/>
    <w:basedOn w:val="Normal"/>
    <w:uiPriority w:val="99"/>
    <w:semiHidden/>
    <w:locked/>
    <w:rsid w:val="00E251B6"/>
    <w:pPr>
      <w:ind w:left="283" w:hanging="283"/>
    </w:pPr>
  </w:style>
  <w:style w:type="paragraph" w:styleId="List2">
    <w:name w:val="List 2"/>
    <w:basedOn w:val="Normal"/>
    <w:uiPriority w:val="99"/>
    <w:semiHidden/>
    <w:locked/>
    <w:rsid w:val="00E251B6"/>
    <w:pPr>
      <w:ind w:left="566" w:hanging="283"/>
    </w:pPr>
  </w:style>
  <w:style w:type="paragraph" w:styleId="List3">
    <w:name w:val="List 3"/>
    <w:basedOn w:val="Normal"/>
    <w:uiPriority w:val="99"/>
    <w:semiHidden/>
    <w:locked/>
    <w:rsid w:val="00E251B6"/>
    <w:pPr>
      <w:ind w:left="849" w:hanging="283"/>
    </w:pPr>
  </w:style>
  <w:style w:type="paragraph" w:styleId="List4">
    <w:name w:val="List 4"/>
    <w:basedOn w:val="Normal"/>
    <w:uiPriority w:val="99"/>
    <w:semiHidden/>
    <w:locked/>
    <w:rsid w:val="00E251B6"/>
    <w:pPr>
      <w:ind w:left="1132" w:hanging="283"/>
    </w:pPr>
  </w:style>
  <w:style w:type="paragraph" w:styleId="List5">
    <w:name w:val="List 5"/>
    <w:basedOn w:val="Normal"/>
    <w:uiPriority w:val="99"/>
    <w:semiHidden/>
    <w:locked/>
    <w:rsid w:val="00E251B6"/>
    <w:pPr>
      <w:ind w:left="1415" w:hanging="283"/>
    </w:pPr>
  </w:style>
  <w:style w:type="paragraph" w:styleId="ListBullet4">
    <w:name w:val="List Bullet 4"/>
    <w:basedOn w:val="Normal"/>
    <w:uiPriority w:val="99"/>
    <w:semiHidden/>
    <w:locked/>
    <w:rsid w:val="00E251B6"/>
    <w:pPr>
      <w:numPr>
        <w:numId w:val="1"/>
      </w:numPr>
      <w:tabs>
        <w:tab w:val="num" w:pos="1209"/>
      </w:tabs>
      <w:ind w:left="1209"/>
    </w:pPr>
  </w:style>
  <w:style w:type="paragraph" w:styleId="ListBullet5">
    <w:name w:val="List Bullet 5"/>
    <w:basedOn w:val="Normal"/>
    <w:uiPriority w:val="99"/>
    <w:semiHidden/>
    <w:locked/>
    <w:rsid w:val="00E251B6"/>
    <w:pPr>
      <w:numPr>
        <w:numId w:val="2"/>
      </w:numPr>
      <w:tabs>
        <w:tab w:val="num" w:pos="926"/>
        <w:tab w:val="num" w:pos="1492"/>
      </w:tabs>
      <w:ind w:left="1492"/>
    </w:pPr>
  </w:style>
  <w:style w:type="paragraph" w:styleId="ListContinue">
    <w:name w:val="List Continue"/>
    <w:basedOn w:val="Normal"/>
    <w:uiPriority w:val="99"/>
    <w:semiHidden/>
    <w:locked/>
    <w:rsid w:val="00E251B6"/>
    <w:pPr>
      <w:ind w:left="283"/>
    </w:pPr>
  </w:style>
  <w:style w:type="paragraph" w:styleId="ListContinue2">
    <w:name w:val="List Continue 2"/>
    <w:basedOn w:val="Normal"/>
    <w:uiPriority w:val="99"/>
    <w:semiHidden/>
    <w:locked/>
    <w:rsid w:val="00E251B6"/>
    <w:pPr>
      <w:ind w:left="566"/>
    </w:pPr>
  </w:style>
  <w:style w:type="paragraph" w:styleId="ListContinue3">
    <w:name w:val="List Continue 3"/>
    <w:basedOn w:val="Normal"/>
    <w:uiPriority w:val="99"/>
    <w:semiHidden/>
    <w:locked/>
    <w:rsid w:val="00E251B6"/>
    <w:pPr>
      <w:ind w:left="849"/>
    </w:pPr>
  </w:style>
  <w:style w:type="paragraph" w:styleId="ListContinue4">
    <w:name w:val="List Continue 4"/>
    <w:basedOn w:val="Normal"/>
    <w:uiPriority w:val="99"/>
    <w:semiHidden/>
    <w:locked/>
    <w:rsid w:val="00E251B6"/>
    <w:pPr>
      <w:ind w:left="1132"/>
    </w:pPr>
  </w:style>
  <w:style w:type="paragraph" w:styleId="ListContinue5">
    <w:name w:val="List Continue 5"/>
    <w:basedOn w:val="Normal"/>
    <w:uiPriority w:val="99"/>
    <w:semiHidden/>
    <w:locked/>
    <w:rsid w:val="00E251B6"/>
    <w:pPr>
      <w:ind w:left="1415"/>
    </w:pPr>
  </w:style>
  <w:style w:type="paragraph" w:styleId="ListNumber3">
    <w:name w:val="List Number 3"/>
    <w:basedOn w:val="ListNumber2"/>
    <w:uiPriority w:val="2"/>
    <w:locked/>
    <w:rsid w:val="00D349D1"/>
    <w:pPr>
      <w:numPr>
        <w:numId w:val="0"/>
      </w:numPr>
      <w:tabs>
        <w:tab w:val="clear" w:pos="397"/>
      </w:tabs>
      <w:ind w:left="1078" w:hanging="284"/>
    </w:pPr>
  </w:style>
  <w:style w:type="paragraph" w:styleId="ListNumber4">
    <w:name w:val="List Number 4"/>
    <w:basedOn w:val="Normal"/>
    <w:uiPriority w:val="99"/>
    <w:semiHidden/>
    <w:locked/>
    <w:rsid w:val="00E251B6"/>
    <w:pPr>
      <w:numPr>
        <w:numId w:val="3"/>
      </w:numPr>
    </w:pPr>
  </w:style>
  <w:style w:type="paragraph" w:styleId="ListNumber5">
    <w:name w:val="List Number 5"/>
    <w:basedOn w:val="Normal"/>
    <w:uiPriority w:val="99"/>
    <w:semiHidden/>
    <w:locked/>
    <w:rsid w:val="00E251B6"/>
    <w:pPr>
      <w:numPr>
        <w:numId w:val="4"/>
      </w:numPr>
    </w:pPr>
  </w:style>
  <w:style w:type="paragraph" w:styleId="MessageHeader">
    <w:name w:val="Message Header"/>
    <w:basedOn w:val="Normal"/>
    <w:link w:val="MessageHeaderChar"/>
    <w:uiPriority w:val="99"/>
    <w:semiHidden/>
    <w:locked/>
    <w:rsid w:val="00E251B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semiHidden/>
    <w:locked/>
    <w:rsid w:val="00DB55B9"/>
    <w:rPr>
      <w:rFonts w:ascii="Arial" w:eastAsia="Calibri" w:hAnsi="Arial" w:cs="Arial"/>
      <w:color w:val="000000"/>
      <w:sz w:val="24"/>
      <w:szCs w:val="24"/>
      <w:shd w:val="pct20" w:color="auto" w:fill="auto"/>
    </w:rPr>
  </w:style>
  <w:style w:type="paragraph" w:styleId="NormalWeb">
    <w:name w:val="Normal (Web)"/>
    <w:basedOn w:val="Normal"/>
    <w:uiPriority w:val="99"/>
    <w:locked/>
    <w:rsid w:val="00E251B6"/>
    <w:rPr>
      <w:rFonts w:ascii="Times New Roman" w:hAnsi="Times New Roman"/>
      <w:sz w:val="24"/>
      <w:szCs w:val="24"/>
    </w:rPr>
  </w:style>
  <w:style w:type="paragraph" w:styleId="NormalIndent">
    <w:name w:val="Normal Indent"/>
    <w:basedOn w:val="Normal"/>
    <w:uiPriority w:val="99"/>
    <w:semiHidden/>
    <w:locked/>
    <w:rsid w:val="00E251B6"/>
    <w:pPr>
      <w:ind w:left="720"/>
    </w:pPr>
  </w:style>
  <w:style w:type="paragraph" w:styleId="NoteHeading">
    <w:name w:val="Note Heading"/>
    <w:basedOn w:val="Normal"/>
    <w:next w:val="Normal"/>
    <w:link w:val="NoteHeadingChar"/>
    <w:uiPriority w:val="99"/>
    <w:semiHidden/>
    <w:locked/>
    <w:rsid w:val="00E251B6"/>
  </w:style>
  <w:style w:type="character" w:customStyle="1" w:styleId="NoteHeadingChar">
    <w:name w:val="Note Heading Char"/>
    <w:basedOn w:val="DefaultParagraphFont"/>
    <w:link w:val="NoteHeading"/>
    <w:uiPriority w:val="99"/>
    <w:semiHidden/>
    <w:locked/>
    <w:rsid w:val="00DB55B9"/>
    <w:rPr>
      <w:rFonts w:eastAsia="Calibri"/>
      <w:color w:val="000000"/>
    </w:rPr>
  </w:style>
  <w:style w:type="paragraph" w:styleId="PlainText">
    <w:name w:val="Plain Text"/>
    <w:basedOn w:val="Normal"/>
    <w:link w:val="PlainTextChar"/>
    <w:uiPriority w:val="99"/>
    <w:semiHidden/>
    <w:locked/>
    <w:rsid w:val="00E251B6"/>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DB55B9"/>
    <w:rPr>
      <w:rFonts w:ascii="Courier New" w:eastAsia="Calibri" w:hAnsi="Courier New" w:cs="Courier New"/>
      <w:color w:val="000000"/>
      <w:sz w:val="20"/>
      <w:szCs w:val="20"/>
    </w:rPr>
  </w:style>
  <w:style w:type="paragraph" w:styleId="Salutation">
    <w:name w:val="Salutation"/>
    <w:basedOn w:val="Normal"/>
    <w:next w:val="Normal"/>
    <w:link w:val="SalutationChar"/>
    <w:uiPriority w:val="99"/>
    <w:semiHidden/>
    <w:locked/>
    <w:rsid w:val="00E251B6"/>
  </w:style>
  <w:style w:type="character" w:customStyle="1" w:styleId="SalutationChar">
    <w:name w:val="Salutation Char"/>
    <w:basedOn w:val="DefaultParagraphFont"/>
    <w:link w:val="Salutation"/>
    <w:uiPriority w:val="99"/>
    <w:semiHidden/>
    <w:locked/>
    <w:rsid w:val="00DB55B9"/>
    <w:rPr>
      <w:rFonts w:eastAsia="Calibri"/>
      <w:color w:val="000000"/>
    </w:rPr>
  </w:style>
  <w:style w:type="paragraph" w:styleId="Signature">
    <w:name w:val="Signature"/>
    <w:basedOn w:val="Normal"/>
    <w:link w:val="SignatureChar"/>
    <w:uiPriority w:val="99"/>
    <w:semiHidden/>
    <w:locked/>
    <w:rsid w:val="00E251B6"/>
    <w:pPr>
      <w:ind w:left="4252"/>
    </w:pPr>
  </w:style>
  <w:style w:type="character" w:customStyle="1" w:styleId="SignatureChar">
    <w:name w:val="Signature Char"/>
    <w:basedOn w:val="DefaultParagraphFont"/>
    <w:link w:val="Signature"/>
    <w:uiPriority w:val="99"/>
    <w:semiHidden/>
    <w:locked/>
    <w:rsid w:val="00DB55B9"/>
    <w:rPr>
      <w:rFonts w:eastAsia="Calibri"/>
      <w:color w:val="000000"/>
    </w:rPr>
  </w:style>
  <w:style w:type="character" w:styleId="Strong">
    <w:name w:val="Strong"/>
    <w:basedOn w:val="DefaultParagraphFont"/>
    <w:uiPriority w:val="22"/>
    <w:qFormat/>
    <w:locked/>
    <w:rsid w:val="001249CC"/>
    <w:rPr>
      <w:rFonts w:cs="Times New Roman"/>
      <w:b/>
      <w:bCs/>
    </w:rPr>
  </w:style>
  <w:style w:type="table" w:styleId="Table3Deffects1">
    <w:name w:val="Table 3D effects 1"/>
    <w:basedOn w:val="TableNormal"/>
    <w:uiPriority w:val="99"/>
    <w:locked/>
    <w:rsid w:val="00E251B6"/>
    <w:pPr>
      <w:spacing w:after="120"/>
    </w:pPr>
    <w:rPr>
      <w:rFonts w:eastAsia="Times New Roman"/>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E251B6"/>
    <w:pPr>
      <w:spacing w:after="120"/>
    </w:pPr>
    <w:rPr>
      <w:rFonts w:eastAsia="Times New Roman"/>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E251B6"/>
    <w:pPr>
      <w:spacing w:after="120"/>
    </w:pPr>
    <w:rPr>
      <w:rFonts w:eastAsia="Times New Roman"/>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E251B6"/>
    <w:pPr>
      <w:spacing w:after="120"/>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E251B6"/>
    <w:pPr>
      <w:spacing w:after="120"/>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locked/>
    <w:rsid w:val="00E251B6"/>
    <w:pPr>
      <w:spacing w:after="120"/>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locked/>
    <w:rsid w:val="00E251B6"/>
    <w:pPr>
      <w:spacing w:after="120"/>
    </w:pPr>
    <w:rPr>
      <w:rFonts w:eastAsia="Times New Roman"/>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locked/>
    <w:rsid w:val="00E251B6"/>
    <w:pPr>
      <w:spacing w:after="120"/>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E251B6"/>
    <w:pPr>
      <w:spacing w:after="120"/>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E251B6"/>
    <w:pPr>
      <w:spacing w:after="120"/>
    </w:pPr>
    <w:rPr>
      <w:rFonts w:eastAsia="Times New Roman"/>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E251B6"/>
    <w:pPr>
      <w:spacing w:after="120"/>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E251B6"/>
    <w:pPr>
      <w:spacing w:after="120"/>
    </w:pPr>
    <w:rPr>
      <w:rFonts w:eastAsia="Times New Roman"/>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E251B6"/>
    <w:pPr>
      <w:spacing w:after="120"/>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E251B6"/>
    <w:pPr>
      <w:spacing w:after="120"/>
    </w:pPr>
    <w:rPr>
      <w:rFonts w:eastAsia="Times New Roman"/>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E251B6"/>
    <w:pPr>
      <w:spacing w:after="120"/>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E251B6"/>
    <w:pPr>
      <w:spacing w:after="120"/>
    </w:pPr>
    <w:rPr>
      <w:rFonts w:eastAsia="Times New Roman"/>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E251B6"/>
    <w:pPr>
      <w:spacing w:after="120"/>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E251B6"/>
    <w:pPr>
      <w:spacing w:after="120"/>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E251B6"/>
    <w:pPr>
      <w:spacing w:after="120"/>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E251B6"/>
    <w:pPr>
      <w:spacing w:after="120"/>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E251B6"/>
    <w:pPr>
      <w:spacing w:after="120"/>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E251B6"/>
    <w:pPr>
      <w:spacing w:after="120"/>
    </w:pPr>
    <w:rPr>
      <w:rFonts w:eastAsia="Times New Roman"/>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E251B6"/>
    <w:pPr>
      <w:spacing w:after="120"/>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E251B6"/>
    <w:pPr>
      <w:spacing w:after="120"/>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E251B6"/>
    <w:pPr>
      <w:spacing w:after="120"/>
    </w:pPr>
    <w:rPr>
      <w:rFonts w:eastAsia="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E251B6"/>
    <w:pPr>
      <w:spacing w:after="120"/>
    </w:pPr>
    <w:rPr>
      <w:rFonts w:eastAsia="Times New Roman"/>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E251B6"/>
    <w:pPr>
      <w:spacing w:after="120"/>
    </w:pPr>
    <w:rPr>
      <w:rFonts w:eastAsia="Times New Roman"/>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E251B6"/>
    <w:pPr>
      <w:spacing w:after="120"/>
    </w:pPr>
    <w:rPr>
      <w:rFonts w:eastAsia="Times New Roman"/>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E251B6"/>
    <w:pPr>
      <w:spacing w:after="12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E251B6"/>
    <w:pPr>
      <w:spacing w:after="120"/>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E251B6"/>
    <w:pPr>
      <w:spacing w:after="120"/>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E251B6"/>
    <w:pPr>
      <w:spacing w:after="120"/>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D1044D"/>
    <w:pPr>
      <w:spacing w:before="180" w:after="60"/>
    </w:pPr>
    <w:rPr>
      <w:rFonts w:eastAsia="Times New Roman"/>
      <w:bCs/>
      <w:color w:val="001D34" w:themeColor="accent2"/>
      <w:sz w:val="24"/>
      <w:szCs w:val="26"/>
      <w:lang w:eastAsia="en-US"/>
    </w:rPr>
  </w:style>
  <w:style w:type="paragraph" w:customStyle="1" w:styleId="BusinessUnitName">
    <w:name w:val="Business Unit Name"/>
    <w:uiPriority w:val="12"/>
    <w:rsid w:val="00897FEE"/>
    <w:rPr>
      <w:b/>
      <w:caps/>
      <w:noProof/>
      <w:color w:val="FFFFFF"/>
      <w:spacing w:val="16"/>
      <w:szCs w:val="24"/>
      <w:lang w:eastAsia="en-US"/>
    </w:rPr>
  </w:style>
  <w:style w:type="character" w:styleId="CommentReference">
    <w:name w:val="annotation reference"/>
    <w:basedOn w:val="DefaultParagraphFont"/>
    <w:uiPriority w:val="99"/>
    <w:semiHidden/>
    <w:locked/>
    <w:rsid w:val="00AD275A"/>
    <w:rPr>
      <w:rFonts w:cs="Times New Roman"/>
      <w:sz w:val="16"/>
      <w:szCs w:val="16"/>
    </w:rPr>
  </w:style>
  <w:style w:type="paragraph" w:styleId="CommentText">
    <w:name w:val="annotation text"/>
    <w:basedOn w:val="Normal"/>
    <w:link w:val="CommentTextChar"/>
    <w:uiPriority w:val="99"/>
    <w:semiHidden/>
    <w:locked/>
    <w:rsid w:val="00AD275A"/>
    <w:rPr>
      <w:sz w:val="20"/>
      <w:szCs w:val="20"/>
    </w:rPr>
  </w:style>
  <w:style w:type="character" w:customStyle="1" w:styleId="CommentTextChar">
    <w:name w:val="Comment Text Char"/>
    <w:basedOn w:val="DefaultParagraphFont"/>
    <w:link w:val="CommentText"/>
    <w:uiPriority w:val="99"/>
    <w:semiHidden/>
    <w:rsid w:val="00DB55B9"/>
    <w:rPr>
      <w:rFonts w:eastAsia="Calibri"/>
      <w:color w:val="000000"/>
      <w:sz w:val="20"/>
      <w:szCs w:val="20"/>
    </w:rPr>
  </w:style>
  <w:style w:type="paragraph" w:styleId="CommentSubject">
    <w:name w:val="annotation subject"/>
    <w:basedOn w:val="CommentText"/>
    <w:next w:val="CommentText"/>
    <w:link w:val="CommentSubjectChar"/>
    <w:uiPriority w:val="99"/>
    <w:semiHidden/>
    <w:locked/>
    <w:rsid w:val="00AD275A"/>
    <w:rPr>
      <w:b/>
      <w:bCs/>
    </w:rPr>
  </w:style>
  <w:style w:type="character" w:customStyle="1" w:styleId="CommentSubjectChar">
    <w:name w:val="Comment Subject Char"/>
    <w:basedOn w:val="CommentTextChar"/>
    <w:link w:val="CommentSubject"/>
    <w:uiPriority w:val="99"/>
    <w:semiHidden/>
    <w:rsid w:val="00DB55B9"/>
    <w:rPr>
      <w:rFonts w:eastAsia="Calibri"/>
      <w:b/>
      <w:bCs/>
      <w:color w:val="000000"/>
      <w:sz w:val="20"/>
      <w:szCs w:val="20"/>
    </w:rPr>
  </w:style>
  <w:style w:type="paragraph" w:styleId="DocumentMap">
    <w:name w:val="Document Map"/>
    <w:basedOn w:val="Normal"/>
    <w:link w:val="DocumentMapChar"/>
    <w:uiPriority w:val="99"/>
    <w:semiHidden/>
    <w:locked/>
    <w:rsid w:val="00AD275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DB55B9"/>
    <w:rPr>
      <w:rFonts w:ascii="Tahoma" w:eastAsia="Calibri" w:hAnsi="Tahoma" w:cs="Tahoma"/>
      <w:color w:val="000000"/>
      <w:sz w:val="20"/>
      <w:szCs w:val="20"/>
      <w:shd w:val="clear" w:color="auto" w:fill="000080"/>
    </w:rPr>
  </w:style>
  <w:style w:type="character" w:styleId="EndnoteReference">
    <w:name w:val="endnote reference"/>
    <w:basedOn w:val="DefaultParagraphFont"/>
    <w:uiPriority w:val="99"/>
    <w:semiHidden/>
    <w:locked/>
    <w:rsid w:val="00AD275A"/>
    <w:rPr>
      <w:rFonts w:cs="Times New Roman"/>
      <w:vertAlign w:val="superscript"/>
    </w:rPr>
  </w:style>
  <w:style w:type="paragraph" w:styleId="EndnoteText">
    <w:name w:val="endnote text"/>
    <w:basedOn w:val="Normal"/>
    <w:link w:val="EndnoteTextChar"/>
    <w:uiPriority w:val="99"/>
    <w:semiHidden/>
    <w:locked/>
    <w:rsid w:val="00AD275A"/>
    <w:rPr>
      <w:sz w:val="20"/>
      <w:szCs w:val="20"/>
    </w:rPr>
  </w:style>
  <w:style w:type="character" w:customStyle="1" w:styleId="EndnoteTextChar">
    <w:name w:val="Endnote Text Char"/>
    <w:basedOn w:val="DefaultParagraphFont"/>
    <w:link w:val="EndnoteText"/>
    <w:uiPriority w:val="99"/>
    <w:semiHidden/>
    <w:rsid w:val="00DB55B9"/>
    <w:rPr>
      <w:rFonts w:eastAsia="Calibri"/>
      <w:color w:val="000000"/>
      <w:sz w:val="20"/>
      <w:szCs w:val="20"/>
    </w:rPr>
  </w:style>
  <w:style w:type="paragraph" w:styleId="Index1">
    <w:name w:val="index 1"/>
    <w:basedOn w:val="Normal"/>
    <w:next w:val="Normal"/>
    <w:autoRedefine/>
    <w:uiPriority w:val="99"/>
    <w:semiHidden/>
    <w:locked/>
    <w:rsid w:val="00AD275A"/>
    <w:pPr>
      <w:ind w:left="220" w:hanging="220"/>
    </w:pPr>
  </w:style>
  <w:style w:type="paragraph" w:styleId="Index2">
    <w:name w:val="index 2"/>
    <w:basedOn w:val="Normal"/>
    <w:next w:val="Normal"/>
    <w:autoRedefine/>
    <w:uiPriority w:val="99"/>
    <w:semiHidden/>
    <w:locked/>
    <w:rsid w:val="00AD275A"/>
    <w:pPr>
      <w:ind w:left="440" w:hanging="220"/>
    </w:pPr>
  </w:style>
  <w:style w:type="paragraph" w:styleId="Index3">
    <w:name w:val="index 3"/>
    <w:basedOn w:val="Normal"/>
    <w:next w:val="Normal"/>
    <w:autoRedefine/>
    <w:uiPriority w:val="99"/>
    <w:semiHidden/>
    <w:locked/>
    <w:rsid w:val="00AD275A"/>
    <w:pPr>
      <w:ind w:left="660" w:hanging="220"/>
    </w:pPr>
  </w:style>
  <w:style w:type="paragraph" w:styleId="Index4">
    <w:name w:val="index 4"/>
    <w:basedOn w:val="Normal"/>
    <w:next w:val="Normal"/>
    <w:autoRedefine/>
    <w:uiPriority w:val="99"/>
    <w:semiHidden/>
    <w:locked/>
    <w:rsid w:val="00AD275A"/>
    <w:pPr>
      <w:ind w:left="880" w:hanging="220"/>
    </w:pPr>
  </w:style>
  <w:style w:type="paragraph" w:styleId="Index5">
    <w:name w:val="index 5"/>
    <w:basedOn w:val="Normal"/>
    <w:next w:val="Normal"/>
    <w:autoRedefine/>
    <w:uiPriority w:val="99"/>
    <w:semiHidden/>
    <w:locked/>
    <w:rsid w:val="00AD275A"/>
    <w:pPr>
      <w:ind w:left="1100" w:hanging="220"/>
    </w:pPr>
  </w:style>
  <w:style w:type="paragraph" w:styleId="Index6">
    <w:name w:val="index 6"/>
    <w:basedOn w:val="Normal"/>
    <w:next w:val="Normal"/>
    <w:autoRedefine/>
    <w:uiPriority w:val="99"/>
    <w:semiHidden/>
    <w:locked/>
    <w:rsid w:val="00AD275A"/>
    <w:pPr>
      <w:ind w:left="1320" w:hanging="220"/>
    </w:pPr>
  </w:style>
  <w:style w:type="paragraph" w:styleId="Index7">
    <w:name w:val="index 7"/>
    <w:basedOn w:val="Normal"/>
    <w:next w:val="Normal"/>
    <w:autoRedefine/>
    <w:uiPriority w:val="99"/>
    <w:semiHidden/>
    <w:locked/>
    <w:rsid w:val="00AD275A"/>
    <w:pPr>
      <w:ind w:left="1540" w:hanging="220"/>
    </w:pPr>
  </w:style>
  <w:style w:type="paragraph" w:styleId="Index8">
    <w:name w:val="index 8"/>
    <w:basedOn w:val="Normal"/>
    <w:next w:val="Normal"/>
    <w:autoRedefine/>
    <w:uiPriority w:val="99"/>
    <w:semiHidden/>
    <w:locked/>
    <w:rsid w:val="00AD275A"/>
    <w:pPr>
      <w:ind w:left="1760" w:hanging="220"/>
    </w:pPr>
  </w:style>
  <w:style w:type="paragraph" w:styleId="Index9">
    <w:name w:val="index 9"/>
    <w:basedOn w:val="Normal"/>
    <w:next w:val="Normal"/>
    <w:autoRedefine/>
    <w:uiPriority w:val="99"/>
    <w:semiHidden/>
    <w:locked/>
    <w:rsid w:val="00AD275A"/>
    <w:pPr>
      <w:ind w:left="1980" w:hanging="220"/>
    </w:pPr>
  </w:style>
  <w:style w:type="paragraph" w:styleId="IndexHeading">
    <w:name w:val="index heading"/>
    <w:basedOn w:val="Normal"/>
    <w:next w:val="Index1"/>
    <w:uiPriority w:val="99"/>
    <w:semiHidden/>
    <w:locked/>
    <w:rsid w:val="00AD275A"/>
    <w:rPr>
      <w:rFonts w:ascii="Arial" w:hAnsi="Arial" w:cs="Arial"/>
      <w:b/>
      <w:bCs/>
    </w:rPr>
  </w:style>
  <w:style w:type="paragraph" w:styleId="MacroText">
    <w:name w:val="macro"/>
    <w:link w:val="MacroTextChar"/>
    <w:uiPriority w:val="99"/>
    <w:semiHidden/>
    <w:locked/>
    <w:rsid w:val="00AD275A"/>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color w:val="000000"/>
      <w:sz w:val="20"/>
      <w:szCs w:val="20"/>
      <w:lang w:eastAsia="en-US"/>
    </w:rPr>
  </w:style>
  <w:style w:type="character" w:customStyle="1" w:styleId="MacroTextChar">
    <w:name w:val="Macro Text Char"/>
    <w:basedOn w:val="DefaultParagraphFont"/>
    <w:link w:val="MacroText"/>
    <w:uiPriority w:val="99"/>
    <w:semiHidden/>
    <w:rsid w:val="00DB55B9"/>
    <w:rPr>
      <w:rFonts w:ascii="Courier New" w:hAnsi="Courier New" w:cs="Courier New"/>
      <w:color w:val="000000"/>
      <w:sz w:val="20"/>
      <w:szCs w:val="20"/>
      <w:lang w:eastAsia="en-US"/>
    </w:rPr>
  </w:style>
  <w:style w:type="paragraph" w:styleId="TableofAuthorities">
    <w:name w:val="table of authorities"/>
    <w:basedOn w:val="Normal"/>
    <w:next w:val="Normal"/>
    <w:uiPriority w:val="99"/>
    <w:semiHidden/>
    <w:locked/>
    <w:rsid w:val="00AD275A"/>
    <w:pPr>
      <w:ind w:left="220" w:hanging="220"/>
    </w:pPr>
  </w:style>
  <w:style w:type="paragraph" w:styleId="TableofFigures">
    <w:name w:val="table of figures"/>
    <w:basedOn w:val="BodyText"/>
    <w:next w:val="BodyText"/>
    <w:uiPriority w:val="99"/>
    <w:locked/>
    <w:rsid w:val="00DC2413"/>
    <w:pPr>
      <w:tabs>
        <w:tab w:val="right" w:leader="dot" w:pos="9639"/>
      </w:tabs>
      <w:spacing w:before="0"/>
      <w:ind w:right="284"/>
    </w:pPr>
  </w:style>
  <w:style w:type="paragraph" w:styleId="TOAHeading">
    <w:name w:val="toa heading"/>
    <w:basedOn w:val="Normal"/>
    <w:next w:val="Normal"/>
    <w:uiPriority w:val="99"/>
    <w:semiHidden/>
    <w:locked/>
    <w:rsid w:val="00AD275A"/>
    <w:pPr>
      <w:spacing w:before="120"/>
    </w:pPr>
    <w:rPr>
      <w:rFonts w:ascii="Arial" w:hAnsi="Arial" w:cs="Arial"/>
      <w:b/>
      <w:bCs/>
      <w:sz w:val="24"/>
      <w:szCs w:val="24"/>
    </w:rPr>
  </w:style>
  <w:style w:type="paragraph" w:styleId="TOC5">
    <w:name w:val="toc 5"/>
    <w:basedOn w:val="Normal"/>
    <w:next w:val="Normal"/>
    <w:autoRedefine/>
    <w:uiPriority w:val="39"/>
    <w:rsid w:val="00AD275A"/>
    <w:pPr>
      <w:ind w:left="880"/>
    </w:pPr>
  </w:style>
  <w:style w:type="paragraph" w:styleId="TOC6">
    <w:name w:val="toc 6"/>
    <w:basedOn w:val="Normal"/>
    <w:next w:val="Normal"/>
    <w:autoRedefine/>
    <w:uiPriority w:val="39"/>
    <w:rsid w:val="00AD275A"/>
    <w:pPr>
      <w:ind w:left="1100"/>
    </w:pPr>
  </w:style>
  <w:style w:type="paragraph" w:styleId="TOC7">
    <w:name w:val="toc 7"/>
    <w:basedOn w:val="Normal"/>
    <w:next w:val="Normal"/>
    <w:autoRedefine/>
    <w:uiPriority w:val="39"/>
    <w:rsid w:val="00AD275A"/>
    <w:pPr>
      <w:ind w:left="1320"/>
    </w:pPr>
  </w:style>
  <w:style w:type="paragraph" w:styleId="TOC8">
    <w:name w:val="toc 8"/>
    <w:basedOn w:val="Normal"/>
    <w:next w:val="Normal"/>
    <w:autoRedefine/>
    <w:uiPriority w:val="39"/>
    <w:rsid w:val="00AD275A"/>
    <w:pPr>
      <w:ind w:left="1540"/>
    </w:pPr>
  </w:style>
  <w:style w:type="numbering" w:customStyle="1" w:styleId="TableBullets">
    <w:name w:val="TableBullets"/>
    <w:uiPriority w:val="99"/>
    <w:rsid w:val="008861FC"/>
    <w:pPr>
      <w:numPr>
        <w:numId w:val="6"/>
      </w:numPr>
    </w:pPr>
  </w:style>
  <w:style w:type="numbering" w:customStyle="1" w:styleId="Sources">
    <w:name w:val="Sources"/>
    <w:rsid w:val="008861FC"/>
    <w:pPr>
      <w:numPr>
        <w:numId w:val="15"/>
      </w:numPr>
    </w:pPr>
  </w:style>
  <w:style w:type="numbering" w:styleId="1ai">
    <w:name w:val="Outline List 1"/>
    <w:basedOn w:val="NoList"/>
    <w:uiPriority w:val="99"/>
    <w:semiHidden/>
    <w:unhideWhenUsed/>
    <w:locked/>
    <w:rsid w:val="008861FC"/>
    <w:pPr>
      <w:numPr>
        <w:numId w:val="19"/>
      </w:numPr>
    </w:pPr>
  </w:style>
  <w:style w:type="numbering" w:styleId="111111">
    <w:name w:val="Outline List 2"/>
    <w:basedOn w:val="NoList"/>
    <w:uiPriority w:val="99"/>
    <w:semiHidden/>
    <w:unhideWhenUsed/>
    <w:locked/>
    <w:rsid w:val="008861FC"/>
    <w:pPr>
      <w:numPr>
        <w:numId w:val="18"/>
      </w:numPr>
    </w:pPr>
  </w:style>
  <w:style w:type="numbering" w:customStyle="1" w:styleId="Bullets">
    <w:name w:val="Bullets"/>
    <w:rsid w:val="008861FC"/>
    <w:pPr>
      <w:numPr>
        <w:numId w:val="14"/>
      </w:numPr>
    </w:pPr>
  </w:style>
  <w:style w:type="numbering" w:customStyle="1" w:styleId="Numbers">
    <w:name w:val="Numbers"/>
    <w:rsid w:val="008861FC"/>
    <w:pPr>
      <w:numPr>
        <w:numId w:val="8"/>
      </w:numPr>
    </w:pPr>
  </w:style>
  <w:style w:type="numbering" w:styleId="ArticleSection">
    <w:name w:val="Outline List 3"/>
    <w:basedOn w:val="NoList"/>
    <w:uiPriority w:val="99"/>
    <w:semiHidden/>
    <w:unhideWhenUsed/>
    <w:locked/>
    <w:rsid w:val="008861FC"/>
    <w:pPr>
      <w:numPr>
        <w:numId w:val="20"/>
      </w:numPr>
    </w:pPr>
  </w:style>
  <w:style w:type="paragraph" w:customStyle="1" w:styleId="AppendixHeading1base">
    <w:name w:val="Appendix Heading 1 base"/>
    <w:uiPriority w:val="20"/>
    <w:semiHidden/>
    <w:qFormat/>
    <w:rsid w:val="005C1B4B"/>
    <w:pPr>
      <w:keepNext/>
      <w:pageBreakBefore/>
      <w:numPr>
        <w:numId w:val="11"/>
      </w:numPr>
      <w:tabs>
        <w:tab w:val="left" w:pos="2268"/>
      </w:tabs>
    </w:pPr>
    <w:rPr>
      <w:rFonts w:eastAsiaTheme="majorEastAsia" w:cstheme="majorBidi"/>
      <w:b/>
      <w:bCs/>
      <w:color w:val="00A9CE" w:themeColor="accent1"/>
      <w:sz w:val="44"/>
      <w:szCs w:val="28"/>
    </w:rPr>
  </w:style>
  <w:style w:type="paragraph" w:customStyle="1" w:styleId="AppendixHeading2">
    <w:name w:val="Appendix Heading 2"/>
    <w:basedOn w:val="Heading2"/>
    <w:next w:val="BodyText"/>
    <w:uiPriority w:val="11"/>
    <w:qFormat/>
    <w:rsid w:val="00C80108"/>
    <w:pPr>
      <w:numPr>
        <w:numId w:val="11"/>
      </w:numPr>
      <w:ind w:left="1134" w:hanging="1134"/>
    </w:pPr>
  </w:style>
  <w:style w:type="paragraph" w:customStyle="1" w:styleId="AppendixHeading3">
    <w:name w:val="Appendix Heading 3"/>
    <w:basedOn w:val="Heading3"/>
    <w:next w:val="BodyText"/>
    <w:uiPriority w:val="11"/>
    <w:qFormat/>
    <w:rsid w:val="00C80108"/>
    <w:pPr>
      <w:numPr>
        <w:numId w:val="11"/>
      </w:numPr>
      <w:ind w:left="1134" w:hanging="1134"/>
    </w:pPr>
  </w:style>
  <w:style w:type="paragraph" w:customStyle="1" w:styleId="AppendixHeading4">
    <w:name w:val="Appendix Heading 4"/>
    <w:basedOn w:val="Heading4"/>
    <w:next w:val="BodyText"/>
    <w:uiPriority w:val="11"/>
    <w:qFormat/>
    <w:rsid w:val="00880650"/>
  </w:style>
  <w:style w:type="paragraph" w:customStyle="1" w:styleId="Equation">
    <w:name w:val="Equation"/>
    <w:basedOn w:val="BodyText"/>
    <w:next w:val="BodyText"/>
    <w:uiPriority w:val="7"/>
    <w:qFormat/>
    <w:rsid w:val="009E354F"/>
    <w:pPr>
      <w:tabs>
        <w:tab w:val="right" w:pos="9639"/>
      </w:tabs>
      <w:spacing w:before="240" w:after="240"/>
      <w:ind w:left="567"/>
    </w:pPr>
    <w:rPr>
      <w:rFonts w:asciiTheme="minorHAnsi" w:eastAsia="Times New Roman" w:hAnsiTheme="minorHAnsi"/>
      <w:color w:val="auto"/>
      <w:szCs w:val="24"/>
      <w:lang w:eastAsia="en-US"/>
    </w:rPr>
  </w:style>
  <w:style w:type="paragraph" w:customStyle="1" w:styleId="Reference">
    <w:name w:val="Reference"/>
    <w:basedOn w:val="BodyText"/>
    <w:next w:val="BodyText"/>
    <w:uiPriority w:val="4"/>
    <w:qFormat/>
    <w:rsid w:val="00DC2413"/>
    <w:pPr>
      <w:ind w:left="567" w:hanging="567"/>
    </w:pPr>
  </w:style>
  <w:style w:type="paragraph" w:styleId="ListNumber2">
    <w:name w:val="List Number 2"/>
    <w:basedOn w:val="ListNumber"/>
    <w:next w:val="BodyText"/>
    <w:uiPriority w:val="2"/>
    <w:qFormat/>
    <w:locked/>
    <w:rsid w:val="00D349D1"/>
    <w:pPr>
      <w:numPr>
        <w:numId w:val="9"/>
      </w:numPr>
      <w:tabs>
        <w:tab w:val="left" w:pos="794"/>
      </w:tabs>
      <w:spacing w:before="60" w:after="60"/>
    </w:pPr>
  </w:style>
  <w:style w:type="character" w:customStyle="1" w:styleId="Italics">
    <w:name w:val="Italics"/>
    <w:basedOn w:val="DefaultParagraphFont"/>
    <w:uiPriority w:val="3"/>
    <w:qFormat/>
    <w:rsid w:val="0005371F"/>
    <w:rPr>
      <w:i/>
    </w:rPr>
  </w:style>
  <w:style w:type="table" w:customStyle="1" w:styleId="LightShading1">
    <w:name w:val="Light Shading1"/>
    <w:basedOn w:val="TableNormal"/>
    <w:uiPriority w:val="60"/>
    <w:rsid w:val="009B5F0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CSIRO">
    <w:name w:val="Table_CSIRO"/>
    <w:basedOn w:val="TableNormal"/>
    <w:uiPriority w:val="99"/>
    <w:qFormat/>
    <w:rsid w:val="004D3DB4"/>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qFormat/>
    <w:rsid w:val="00B26878"/>
    <w:pPr>
      <w:spacing w:before="0"/>
    </w:pPr>
  </w:style>
  <w:style w:type="character" w:customStyle="1" w:styleId="Bold">
    <w:name w:val="Bold"/>
    <w:basedOn w:val="DefaultParagraphFont"/>
    <w:uiPriority w:val="3"/>
    <w:qFormat/>
    <w:rsid w:val="00856E94"/>
    <w:rPr>
      <w:b/>
    </w:rPr>
  </w:style>
  <w:style w:type="paragraph" w:styleId="ListParagraph">
    <w:name w:val="List Paragraph"/>
    <w:basedOn w:val="Normal"/>
    <w:uiPriority w:val="34"/>
    <w:qFormat/>
    <w:rsid w:val="009C5CA3"/>
    <w:pPr>
      <w:spacing w:before="180" w:line="264" w:lineRule="auto"/>
      <w:ind w:left="720"/>
      <w:contextualSpacing/>
    </w:pPr>
    <w:rPr>
      <w:sz w:val="24"/>
      <w:szCs w:val="24"/>
    </w:rPr>
  </w:style>
  <w:style w:type="character" w:styleId="IntenseEmphasis">
    <w:name w:val="Intense Emphasis"/>
    <w:basedOn w:val="DefaultParagraphFont"/>
    <w:uiPriority w:val="21"/>
    <w:semiHidden/>
    <w:qFormat/>
    <w:rsid w:val="00A65678"/>
    <w:rPr>
      <w:b/>
      <w:bCs/>
      <w:i/>
      <w:iCs/>
      <w:color w:val="001D34" w:themeColor="accent2"/>
    </w:rPr>
  </w:style>
  <w:style w:type="character" w:styleId="SubtleEmphasis">
    <w:name w:val="Subtle Emphasis"/>
    <w:basedOn w:val="DefaultParagraphFont"/>
    <w:uiPriority w:val="19"/>
    <w:semiHidden/>
    <w:qFormat/>
    <w:rsid w:val="00A65678"/>
    <w:rPr>
      <w:i/>
      <w:iCs/>
      <w:color w:val="595959" w:themeColor="text1" w:themeTint="A6"/>
    </w:rPr>
  </w:style>
  <w:style w:type="paragraph" w:styleId="IntenseQuote">
    <w:name w:val="Intense Quote"/>
    <w:basedOn w:val="Normal"/>
    <w:next w:val="Normal"/>
    <w:link w:val="IntenseQuoteChar"/>
    <w:uiPriority w:val="30"/>
    <w:semiHidden/>
    <w:qFormat/>
    <w:rsid w:val="00A65678"/>
    <w:pPr>
      <w:pBdr>
        <w:bottom w:val="single" w:sz="4" w:space="4" w:color="001D34" w:themeColor="accent2"/>
      </w:pBdr>
      <w:spacing w:before="200" w:after="280"/>
      <w:ind w:left="936" w:right="936"/>
    </w:pPr>
    <w:rPr>
      <w:b/>
      <w:bCs/>
      <w:i/>
      <w:iCs/>
      <w:color w:val="001D34" w:themeColor="accent2"/>
    </w:rPr>
  </w:style>
  <w:style w:type="character" w:customStyle="1" w:styleId="IntenseQuoteChar">
    <w:name w:val="Intense Quote Char"/>
    <w:basedOn w:val="DefaultParagraphFont"/>
    <w:link w:val="IntenseQuote"/>
    <w:uiPriority w:val="30"/>
    <w:semiHidden/>
    <w:rsid w:val="00A65678"/>
    <w:rPr>
      <w:rFonts w:eastAsia="Calibri"/>
      <w:b/>
      <w:bCs/>
      <w:i/>
      <w:iCs/>
      <w:color w:val="001D34" w:themeColor="accent2"/>
    </w:rPr>
  </w:style>
  <w:style w:type="paragraph" w:customStyle="1" w:styleId="Boxedheading">
    <w:name w:val="Boxed heading"/>
    <w:uiPriority w:val="19"/>
    <w:qFormat/>
    <w:rsid w:val="00C91DDE"/>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eastAsia="Calibri"/>
      <w:b/>
      <w:color w:val="000000"/>
      <w:sz w:val="28"/>
      <w:szCs w:val="28"/>
    </w:rPr>
  </w:style>
  <w:style w:type="paragraph" w:customStyle="1" w:styleId="Boxedtext">
    <w:name w:val="Boxed text"/>
    <w:uiPriority w:val="19"/>
    <w:qFormat/>
    <w:rsid w:val="00C91DDE"/>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eastAsia="Calibri"/>
      <w:color w:val="000000"/>
      <w:sz w:val="24"/>
      <w:szCs w:val="24"/>
    </w:rPr>
  </w:style>
  <w:style w:type="paragraph" w:customStyle="1" w:styleId="Boxedlistbullet">
    <w:name w:val="Boxed list bullet"/>
    <w:basedOn w:val="Boxedtext"/>
    <w:uiPriority w:val="19"/>
    <w:qFormat/>
    <w:rsid w:val="00C91DDE"/>
    <w:pPr>
      <w:numPr>
        <w:numId w:val="13"/>
      </w:numPr>
      <w:spacing w:before="0" w:after="0"/>
      <w:ind w:left="454" w:hanging="227"/>
      <w:contextualSpacing/>
    </w:pPr>
  </w:style>
  <w:style w:type="paragraph" w:customStyle="1" w:styleId="Boxedheadingblue">
    <w:name w:val="Boxed heading blue"/>
    <w:basedOn w:val="Boxedheading"/>
    <w:uiPriority w:val="20"/>
    <w:qFormat/>
    <w:rsid w:val="00C91DDE"/>
    <w:pPr>
      <w:shd w:val="clear" w:color="auto" w:fill="D0EAFF" w:themeFill="accent2" w:themeFillTint="1A"/>
    </w:pPr>
  </w:style>
  <w:style w:type="paragraph" w:customStyle="1" w:styleId="Boxedtextblue">
    <w:name w:val="Boxed text blue"/>
    <w:basedOn w:val="Boxedtext"/>
    <w:uiPriority w:val="20"/>
    <w:qFormat/>
    <w:rsid w:val="00C91DDE"/>
    <w:pPr>
      <w:shd w:val="clear" w:color="auto" w:fill="D0EAFF" w:themeFill="accent2" w:themeFillTint="1A"/>
    </w:pPr>
  </w:style>
  <w:style w:type="paragraph" w:customStyle="1" w:styleId="Boxedlistbulletblue">
    <w:name w:val="Boxed list bullet blue"/>
    <w:basedOn w:val="Boxedlistbullet"/>
    <w:uiPriority w:val="20"/>
    <w:qFormat/>
    <w:rsid w:val="00C91DDE"/>
    <w:pPr>
      <w:shd w:val="clear" w:color="auto" w:fill="D0EAFF" w:themeFill="accent2" w:themeFillTint="1A"/>
    </w:pPr>
  </w:style>
  <w:style w:type="paragraph" w:customStyle="1" w:styleId="Boxedheadingpurple">
    <w:name w:val="Boxed heading purple"/>
    <w:basedOn w:val="Boxedheading"/>
    <w:uiPriority w:val="21"/>
    <w:qFormat/>
    <w:rsid w:val="00C91DDE"/>
    <w:pPr>
      <w:shd w:val="clear" w:color="auto" w:fill="CACBF5" w:themeFill="accent4" w:themeFillTint="33"/>
    </w:pPr>
  </w:style>
  <w:style w:type="paragraph" w:customStyle="1" w:styleId="Boxedtextpurple">
    <w:name w:val="Boxed text purple"/>
    <w:basedOn w:val="Boxedtext"/>
    <w:uiPriority w:val="21"/>
    <w:qFormat/>
    <w:rsid w:val="00C91DDE"/>
    <w:pPr>
      <w:shd w:val="clear" w:color="auto" w:fill="CACBF5" w:themeFill="accent4" w:themeFillTint="33"/>
    </w:pPr>
  </w:style>
  <w:style w:type="paragraph" w:customStyle="1" w:styleId="Boxedlistbulletpurple">
    <w:name w:val="Boxed list bullet purple"/>
    <w:basedOn w:val="Boxedlistbullet"/>
    <w:uiPriority w:val="21"/>
    <w:qFormat/>
    <w:rsid w:val="00C91DDE"/>
    <w:pPr>
      <w:shd w:val="clear" w:color="auto" w:fill="CACBF5" w:themeFill="accent4" w:themeFillTint="33"/>
    </w:pPr>
  </w:style>
  <w:style w:type="paragraph" w:styleId="NoSpacing">
    <w:name w:val="No Spacing"/>
    <w:uiPriority w:val="1"/>
    <w:qFormat/>
    <w:rsid w:val="005F3EA3"/>
    <w:pPr>
      <w:jc w:val="both"/>
    </w:pPr>
    <w:rPr>
      <w:rFonts w:ascii="Arial" w:eastAsia="Arial" w:hAnsi="Arial" w:cs="Arial"/>
      <w:color w:val="1B1C1D"/>
      <w:lang w:val="en" w:eastAsia="en-US"/>
    </w:rPr>
  </w:style>
  <w:style w:type="character" w:styleId="UnresolvedMention">
    <w:name w:val="Unresolved Mention"/>
    <w:basedOn w:val="DefaultParagraphFont"/>
    <w:uiPriority w:val="99"/>
    <w:semiHidden/>
    <w:unhideWhenUsed/>
    <w:rsid w:val="00F8182C"/>
    <w:rPr>
      <w:color w:val="605E5C"/>
      <w:shd w:val="clear" w:color="auto" w:fill="E1DFDD"/>
    </w:rPr>
  </w:style>
  <w:style w:type="paragraph" w:customStyle="1" w:styleId="paragraph">
    <w:name w:val="paragraph"/>
    <w:basedOn w:val="Normal"/>
    <w:rsid w:val="000B2F73"/>
    <w:pPr>
      <w:spacing w:before="100" w:beforeAutospacing="1" w:after="100" w:afterAutospacing="1"/>
    </w:pPr>
    <w:rPr>
      <w:rFonts w:ascii="Times New Roman" w:eastAsia="Times New Roman" w:hAnsi="Times New Roman"/>
      <w:color w:val="auto"/>
      <w:sz w:val="24"/>
      <w:szCs w:val="24"/>
    </w:rPr>
  </w:style>
  <w:style w:type="character" w:customStyle="1" w:styleId="normaltextrun">
    <w:name w:val="normaltextrun"/>
    <w:basedOn w:val="DefaultParagraphFont"/>
    <w:rsid w:val="000B2F73"/>
  </w:style>
  <w:style w:type="character" w:customStyle="1" w:styleId="eop">
    <w:name w:val="eop"/>
    <w:basedOn w:val="DefaultParagraphFont"/>
    <w:rsid w:val="000B2F73"/>
  </w:style>
  <w:style w:type="paragraph" w:styleId="Revision">
    <w:name w:val="Revision"/>
    <w:hidden/>
    <w:uiPriority w:val="99"/>
    <w:semiHidden/>
    <w:rsid w:val="00E448B0"/>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3954">
      <w:bodyDiv w:val="1"/>
      <w:marLeft w:val="0"/>
      <w:marRight w:val="0"/>
      <w:marTop w:val="0"/>
      <w:marBottom w:val="0"/>
      <w:divBdr>
        <w:top w:val="none" w:sz="0" w:space="0" w:color="auto"/>
        <w:left w:val="none" w:sz="0" w:space="0" w:color="auto"/>
        <w:bottom w:val="none" w:sz="0" w:space="0" w:color="auto"/>
        <w:right w:val="none" w:sz="0" w:space="0" w:color="auto"/>
      </w:divBdr>
    </w:div>
    <w:div w:id="12995117">
      <w:bodyDiv w:val="1"/>
      <w:marLeft w:val="0"/>
      <w:marRight w:val="0"/>
      <w:marTop w:val="0"/>
      <w:marBottom w:val="0"/>
      <w:divBdr>
        <w:top w:val="none" w:sz="0" w:space="0" w:color="auto"/>
        <w:left w:val="none" w:sz="0" w:space="0" w:color="auto"/>
        <w:bottom w:val="none" w:sz="0" w:space="0" w:color="auto"/>
        <w:right w:val="none" w:sz="0" w:space="0" w:color="auto"/>
      </w:divBdr>
    </w:div>
    <w:div w:id="48695920">
      <w:bodyDiv w:val="1"/>
      <w:marLeft w:val="0"/>
      <w:marRight w:val="0"/>
      <w:marTop w:val="0"/>
      <w:marBottom w:val="0"/>
      <w:divBdr>
        <w:top w:val="none" w:sz="0" w:space="0" w:color="auto"/>
        <w:left w:val="none" w:sz="0" w:space="0" w:color="auto"/>
        <w:bottom w:val="none" w:sz="0" w:space="0" w:color="auto"/>
        <w:right w:val="none" w:sz="0" w:space="0" w:color="auto"/>
      </w:divBdr>
      <w:divsChild>
        <w:div w:id="8979408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579179">
      <w:bodyDiv w:val="1"/>
      <w:marLeft w:val="0"/>
      <w:marRight w:val="0"/>
      <w:marTop w:val="0"/>
      <w:marBottom w:val="0"/>
      <w:divBdr>
        <w:top w:val="none" w:sz="0" w:space="0" w:color="auto"/>
        <w:left w:val="none" w:sz="0" w:space="0" w:color="auto"/>
        <w:bottom w:val="none" w:sz="0" w:space="0" w:color="auto"/>
        <w:right w:val="none" w:sz="0" w:space="0" w:color="auto"/>
      </w:divBdr>
    </w:div>
    <w:div w:id="87046942">
      <w:bodyDiv w:val="1"/>
      <w:marLeft w:val="0"/>
      <w:marRight w:val="0"/>
      <w:marTop w:val="0"/>
      <w:marBottom w:val="0"/>
      <w:divBdr>
        <w:top w:val="none" w:sz="0" w:space="0" w:color="auto"/>
        <w:left w:val="none" w:sz="0" w:space="0" w:color="auto"/>
        <w:bottom w:val="none" w:sz="0" w:space="0" w:color="auto"/>
        <w:right w:val="none" w:sz="0" w:space="0" w:color="auto"/>
      </w:divBdr>
    </w:div>
    <w:div w:id="90202331">
      <w:bodyDiv w:val="1"/>
      <w:marLeft w:val="0"/>
      <w:marRight w:val="0"/>
      <w:marTop w:val="0"/>
      <w:marBottom w:val="0"/>
      <w:divBdr>
        <w:top w:val="none" w:sz="0" w:space="0" w:color="auto"/>
        <w:left w:val="none" w:sz="0" w:space="0" w:color="auto"/>
        <w:bottom w:val="none" w:sz="0" w:space="0" w:color="auto"/>
        <w:right w:val="none" w:sz="0" w:space="0" w:color="auto"/>
      </w:divBdr>
    </w:div>
    <w:div w:id="144589876">
      <w:bodyDiv w:val="1"/>
      <w:marLeft w:val="0"/>
      <w:marRight w:val="0"/>
      <w:marTop w:val="0"/>
      <w:marBottom w:val="0"/>
      <w:divBdr>
        <w:top w:val="none" w:sz="0" w:space="0" w:color="auto"/>
        <w:left w:val="none" w:sz="0" w:space="0" w:color="auto"/>
        <w:bottom w:val="none" w:sz="0" w:space="0" w:color="auto"/>
        <w:right w:val="none" w:sz="0" w:space="0" w:color="auto"/>
      </w:divBdr>
    </w:div>
    <w:div w:id="155727155">
      <w:bodyDiv w:val="1"/>
      <w:marLeft w:val="0"/>
      <w:marRight w:val="0"/>
      <w:marTop w:val="0"/>
      <w:marBottom w:val="0"/>
      <w:divBdr>
        <w:top w:val="none" w:sz="0" w:space="0" w:color="auto"/>
        <w:left w:val="none" w:sz="0" w:space="0" w:color="auto"/>
        <w:bottom w:val="none" w:sz="0" w:space="0" w:color="auto"/>
        <w:right w:val="none" w:sz="0" w:space="0" w:color="auto"/>
      </w:divBdr>
    </w:div>
    <w:div w:id="155926135">
      <w:bodyDiv w:val="1"/>
      <w:marLeft w:val="0"/>
      <w:marRight w:val="0"/>
      <w:marTop w:val="0"/>
      <w:marBottom w:val="0"/>
      <w:divBdr>
        <w:top w:val="none" w:sz="0" w:space="0" w:color="auto"/>
        <w:left w:val="none" w:sz="0" w:space="0" w:color="auto"/>
        <w:bottom w:val="none" w:sz="0" w:space="0" w:color="auto"/>
        <w:right w:val="none" w:sz="0" w:space="0" w:color="auto"/>
      </w:divBdr>
    </w:div>
    <w:div w:id="192616458">
      <w:bodyDiv w:val="1"/>
      <w:marLeft w:val="0"/>
      <w:marRight w:val="0"/>
      <w:marTop w:val="0"/>
      <w:marBottom w:val="0"/>
      <w:divBdr>
        <w:top w:val="none" w:sz="0" w:space="0" w:color="auto"/>
        <w:left w:val="none" w:sz="0" w:space="0" w:color="auto"/>
        <w:bottom w:val="none" w:sz="0" w:space="0" w:color="auto"/>
        <w:right w:val="none" w:sz="0" w:space="0" w:color="auto"/>
      </w:divBdr>
    </w:div>
    <w:div w:id="195657160">
      <w:bodyDiv w:val="1"/>
      <w:marLeft w:val="0"/>
      <w:marRight w:val="0"/>
      <w:marTop w:val="0"/>
      <w:marBottom w:val="0"/>
      <w:divBdr>
        <w:top w:val="none" w:sz="0" w:space="0" w:color="auto"/>
        <w:left w:val="none" w:sz="0" w:space="0" w:color="auto"/>
        <w:bottom w:val="none" w:sz="0" w:space="0" w:color="auto"/>
        <w:right w:val="none" w:sz="0" w:space="0" w:color="auto"/>
      </w:divBdr>
    </w:div>
    <w:div w:id="231089309">
      <w:bodyDiv w:val="1"/>
      <w:marLeft w:val="0"/>
      <w:marRight w:val="0"/>
      <w:marTop w:val="0"/>
      <w:marBottom w:val="0"/>
      <w:divBdr>
        <w:top w:val="none" w:sz="0" w:space="0" w:color="auto"/>
        <w:left w:val="none" w:sz="0" w:space="0" w:color="auto"/>
        <w:bottom w:val="none" w:sz="0" w:space="0" w:color="auto"/>
        <w:right w:val="none" w:sz="0" w:space="0" w:color="auto"/>
      </w:divBdr>
    </w:div>
    <w:div w:id="235551770">
      <w:bodyDiv w:val="1"/>
      <w:marLeft w:val="0"/>
      <w:marRight w:val="0"/>
      <w:marTop w:val="0"/>
      <w:marBottom w:val="0"/>
      <w:divBdr>
        <w:top w:val="none" w:sz="0" w:space="0" w:color="auto"/>
        <w:left w:val="none" w:sz="0" w:space="0" w:color="auto"/>
        <w:bottom w:val="none" w:sz="0" w:space="0" w:color="auto"/>
        <w:right w:val="none" w:sz="0" w:space="0" w:color="auto"/>
      </w:divBdr>
    </w:div>
    <w:div w:id="239218235">
      <w:bodyDiv w:val="1"/>
      <w:marLeft w:val="0"/>
      <w:marRight w:val="0"/>
      <w:marTop w:val="0"/>
      <w:marBottom w:val="0"/>
      <w:divBdr>
        <w:top w:val="none" w:sz="0" w:space="0" w:color="auto"/>
        <w:left w:val="none" w:sz="0" w:space="0" w:color="auto"/>
        <w:bottom w:val="none" w:sz="0" w:space="0" w:color="auto"/>
        <w:right w:val="none" w:sz="0" w:space="0" w:color="auto"/>
      </w:divBdr>
    </w:div>
    <w:div w:id="274141614">
      <w:bodyDiv w:val="1"/>
      <w:marLeft w:val="0"/>
      <w:marRight w:val="0"/>
      <w:marTop w:val="0"/>
      <w:marBottom w:val="0"/>
      <w:divBdr>
        <w:top w:val="none" w:sz="0" w:space="0" w:color="auto"/>
        <w:left w:val="none" w:sz="0" w:space="0" w:color="auto"/>
        <w:bottom w:val="none" w:sz="0" w:space="0" w:color="auto"/>
        <w:right w:val="none" w:sz="0" w:space="0" w:color="auto"/>
      </w:divBdr>
    </w:div>
    <w:div w:id="298340526">
      <w:bodyDiv w:val="1"/>
      <w:marLeft w:val="0"/>
      <w:marRight w:val="0"/>
      <w:marTop w:val="0"/>
      <w:marBottom w:val="0"/>
      <w:divBdr>
        <w:top w:val="none" w:sz="0" w:space="0" w:color="auto"/>
        <w:left w:val="none" w:sz="0" w:space="0" w:color="auto"/>
        <w:bottom w:val="none" w:sz="0" w:space="0" w:color="auto"/>
        <w:right w:val="none" w:sz="0" w:space="0" w:color="auto"/>
      </w:divBdr>
    </w:div>
    <w:div w:id="320350401">
      <w:bodyDiv w:val="1"/>
      <w:marLeft w:val="0"/>
      <w:marRight w:val="0"/>
      <w:marTop w:val="0"/>
      <w:marBottom w:val="0"/>
      <w:divBdr>
        <w:top w:val="none" w:sz="0" w:space="0" w:color="auto"/>
        <w:left w:val="none" w:sz="0" w:space="0" w:color="auto"/>
        <w:bottom w:val="none" w:sz="0" w:space="0" w:color="auto"/>
        <w:right w:val="none" w:sz="0" w:space="0" w:color="auto"/>
      </w:divBdr>
    </w:div>
    <w:div w:id="343244510">
      <w:bodyDiv w:val="1"/>
      <w:marLeft w:val="0"/>
      <w:marRight w:val="0"/>
      <w:marTop w:val="0"/>
      <w:marBottom w:val="0"/>
      <w:divBdr>
        <w:top w:val="none" w:sz="0" w:space="0" w:color="auto"/>
        <w:left w:val="none" w:sz="0" w:space="0" w:color="auto"/>
        <w:bottom w:val="none" w:sz="0" w:space="0" w:color="auto"/>
        <w:right w:val="none" w:sz="0" w:space="0" w:color="auto"/>
      </w:divBdr>
    </w:div>
    <w:div w:id="353922922">
      <w:bodyDiv w:val="1"/>
      <w:marLeft w:val="0"/>
      <w:marRight w:val="0"/>
      <w:marTop w:val="0"/>
      <w:marBottom w:val="0"/>
      <w:divBdr>
        <w:top w:val="none" w:sz="0" w:space="0" w:color="auto"/>
        <w:left w:val="none" w:sz="0" w:space="0" w:color="auto"/>
        <w:bottom w:val="none" w:sz="0" w:space="0" w:color="auto"/>
        <w:right w:val="none" w:sz="0" w:space="0" w:color="auto"/>
      </w:divBdr>
    </w:div>
    <w:div w:id="354429293">
      <w:bodyDiv w:val="1"/>
      <w:marLeft w:val="0"/>
      <w:marRight w:val="0"/>
      <w:marTop w:val="0"/>
      <w:marBottom w:val="0"/>
      <w:divBdr>
        <w:top w:val="none" w:sz="0" w:space="0" w:color="auto"/>
        <w:left w:val="none" w:sz="0" w:space="0" w:color="auto"/>
        <w:bottom w:val="none" w:sz="0" w:space="0" w:color="auto"/>
        <w:right w:val="none" w:sz="0" w:space="0" w:color="auto"/>
      </w:divBdr>
      <w:divsChild>
        <w:div w:id="322901824">
          <w:marLeft w:val="0"/>
          <w:marRight w:val="0"/>
          <w:marTop w:val="0"/>
          <w:marBottom w:val="0"/>
          <w:divBdr>
            <w:top w:val="none" w:sz="0" w:space="0" w:color="auto"/>
            <w:left w:val="none" w:sz="0" w:space="0" w:color="auto"/>
            <w:bottom w:val="none" w:sz="0" w:space="0" w:color="auto"/>
            <w:right w:val="none" w:sz="0" w:space="0" w:color="auto"/>
          </w:divBdr>
        </w:div>
        <w:div w:id="337005817">
          <w:marLeft w:val="0"/>
          <w:marRight w:val="0"/>
          <w:marTop w:val="0"/>
          <w:marBottom w:val="0"/>
          <w:divBdr>
            <w:top w:val="none" w:sz="0" w:space="0" w:color="auto"/>
            <w:left w:val="none" w:sz="0" w:space="0" w:color="auto"/>
            <w:bottom w:val="none" w:sz="0" w:space="0" w:color="auto"/>
            <w:right w:val="none" w:sz="0" w:space="0" w:color="auto"/>
          </w:divBdr>
        </w:div>
        <w:div w:id="462312348">
          <w:marLeft w:val="0"/>
          <w:marRight w:val="0"/>
          <w:marTop w:val="0"/>
          <w:marBottom w:val="0"/>
          <w:divBdr>
            <w:top w:val="none" w:sz="0" w:space="0" w:color="auto"/>
            <w:left w:val="none" w:sz="0" w:space="0" w:color="auto"/>
            <w:bottom w:val="none" w:sz="0" w:space="0" w:color="auto"/>
            <w:right w:val="none" w:sz="0" w:space="0" w:color="auto"/>
          </w:divBdr>
        </w:div>
        <w:div w:id="524178737">
          <w:marLeft w:val="0"/>
          <w:marRight w:val="0"/>
          <w:marTop w:val="0"/>
          <w:marBottom w:val="0"/>
          <w:divBdr>
            <w:top w:val="none" w:sz="0" w:space="0" w:color="auto"/>
            <w:left w:val="none" w:sz="0" w:space="0" w:color="auto"/>
            <w:bottom w:val="none" w:sz="0" w:space="0" w:color="auto"/>
            <w:right w:val="none" w:sz="0" w:space="0" w:color="auto"/>
          </w:divBdr>
        </w:div>
        <w:div w:id="678582648">
          <w:marLeft w:val="0"/>
          <w:marRight w:val="0"/>
          <w:marTop w:val="0"/>
          <w:marBottom w:val="0"/>
          <w:divBdr>
            <w:top w:val="none" w:sz="0" w:space="0" w:color="auto"/>
            <w:left w:val="none" w:sz="0" w:space="0" w:color="auto"/>
            <w:bottom w:val="none" w:sz="0" w:space="0" w:color="auto"/>
            <w:right w:val="none" w:sz="0" w:space="0" w:color="auto"/>
          </w:divBdr>
        </w:div>
        <w:div w:id="1009336252">
          <w:marLeft w:val="0"/>
          <w:marRight w:val="0"/>
          <w:marTop w:val="0"/>
          <w:marBottom w:val="0"/>
          <w:divBdr>
            <w:top w:val="none" w:sz="0" w:space="0" w:color="auto"/>
            <w:left w:val="none" w:sz="0" w:space="0" w:color="auto"/>
            <w:bottom w:val="none" w:sz="0" w:space="0" w:color="auto"/>
            <w:right w:val="none" w:sz="0" w:space="0" w:color="auto"/>
          </w:divBdr>
        </w:div>
        <w:div w:id="1035547597">
          <w:marLeft w:val="0"/>
          <w:marRight w:val="0"/>
          <w:marTop w:val="0"/>
          <w:marBottom w:val="0"/>
          <w:divBdr>
            <w:top w:val="none" w:sz="0" w:space="0" w:color="auto"/>
            <w:left w:val="none" w:sz="0" w:space="0" w:color="auto"/>
            <w:bottom w:val="none" w:sz="0" w:space="0" w:color="auto"/>
            <w:right w:val="none" w:sz="0" w:space="0" w:color="auto"/>
          </w:divBdr>
        </w:div>
        <w:div w:id="1695419784">
          <w:marLeft w:val="0"/>
          <w:marRight w:val="0"/>
          <w:marTop w:val="0"/>
          <w:marBottom w:val="0"/>
          <w:divBdr>
            <w:top w:val="none" w:sz="0" w:space="0" w:color="auto"/>
            <w:left w:val="none" w:sz="0" w:space="0" w:color="auto"/>
            <w:bottom w:val="none" w:sz="0" w:space="0" w:color="auto"/>
            <w:right w:val="none" w:sz="0" w:space="0" w:color="auto"/>
          </w:divBdr>
        </w:div>
      </w:divsChild>
    </w:div>
    <w:div w:id="385564286">
      <w:bodyDiv w:val="1"/>
      <w:marLeft w:val="0"/>
      <w:marRight w:val="0"/>
      <w:marTop w:val="0"/>
      <w:marBottom w:val="0"/>
      <w:divBdr>
        <w:top w:val="none" w:sz="0" w:space="0" w:color="auto"/>
        <w:left w:val="none" w:sz="0" w:space="0" w:color="auto"/>
        <w:bottom w:val="none" w:sz="0" w:space="0" w:color="auto"/>
        <w:right w:val="none" w:sz="0" w:space="0" w:color="auto"/>
      </w:divBdr>
      <w:divsChild>
        <w:div w:id="994257253">
          <w:marLeft w:val="0"/>
          <w:marRight w:val="0"/>
          <w:marTop w:val="0"/>
          <w:marBottom w:val="0"/>
          <w:divBdr>
            <w:top w:val="none" w:sz="0" w:space="0" w:color="auto"/>
            <w:left w:val="none" w:sz="0" w:space="0" w:color="auto"/>
            <w:bottom w:val="none" w:sz="0" w:space="0" w:color="auto"/>
            <w:right w:val="none" w:sz="0" w:space="0" w:color="auto"/>
          </w:divBdr>
        </w:div>
        <w:div w:id="1037043827">
          <w:marLeft w:val="0"/>
          <w:marRight w:val="0"/>
          <w:marTop w:val="0"/>
          <w:marBottom w:val="0"/>
          <w:divBdr>
            <w:top w:val="none" w:sz="0" w:space="0" w:color="auto"/>
            <w:left w:val="none" w:sz="0" w:space="0" w:color="auto"/>
            <w:bottom w:val="none" w:sz="0" w:space="0" w:color="auto"/>
            <w:right w:val="none" w:sz="0" w:space="0" w:color="auto"/>
          </w:divBdr>
        </w:div>
      </w:divsChild>
    </w:div>
    <w:div w:id="389501982">
      <w:bodyDiv w:val="1"/>
      <w:marLeft w:val="0"/>
      <w:marRight w:val="0"/>
      <w:marTop w:val="0"/>
      <w:marBottom w:val="0"/>
      <w:divBdr>
        <w:top w:val="none" w:sz="0" w:space="0" w:color="auto"/>
        <w:left w:val="none" w:sz="0" w:space="0" w:color="auto"/>
        <w:bottom w:val="none" w:sz="0" w:space="0" w:color="auto"/>
        <w:right w:val="none" w:sz="0" w:space="0" w:color="auto"/>
      </w:divBdr>
    </w:div>
    <w:div w:id="403915801">
      <w:bodyDiv w:val="1"/>
      <w:marLeft w:val="0"/>
      <w:marRight w:val="0"/>
      <w:marTop w:val="0"/>
      <w:marBottom w:val="0"/>
      <w:divBdr>
        <w:top w:val="none" w:sz="0" w:space="0" w:color="auto"/>
        <w:left w:val="none" w:sz="0" w:space="0" w:color="auto"/>
        <w:bottom w:val="none" w:sz="0" w:space="0" w:color="auto"/>
        <w:right w:val="none" w:sz="0" w:space="0" w:color="auto"/>
      </w:divBdr>
    </w:div>
    <w:div w:id="406728259">
      <w:bodyDiv w:val="1"/>
      <w:marLeft w:val="0"/>
      <w:marRight w:val="0"/>
      <w:marTop w:val="0"/>
      <w:marBottom w:val="0"/>
      <w:divBdr>
        <w:top w:val="none" w:sz="0" w:space="0" w:color="auto"/>
        <w:left w:val="none" w:sz="0" w:space="0" w:color="auto"/>
        <w:bottom w:val="none" w:sz="0" w:space="0" w:color="auto"/>
        <w:right w:val="none" w:sz="0" w:space="0" w:color="auto"/>
      </w:divBdr>
    </w:div>
    <w:div w:id="409736610">
      <w:bodyDiv w:val="1"/>
      <w:marLeft w:val="0"/>
      <w:marRight w:val="0"/>
      <w:marTop w:val="0"/>
      <w:marBottom w:val="0"/>
      <w:divBdr>
        <w:top w:val="none" w:sz="0" w:space="0" w:color="auto"/>
        <w:left w:val="none" w:sz="0" w:space="0" w:color="auto"/>
        <w:bottom w:val="none" w:sz="0" w:space="0" w:color="auto"/>
        <w:right w:val="none" w:sz="0" w:space="0" w:color="auto"/>
      </w:divBdr>
    </w:div>
    <w:div w:id="429201416">
      <w:bodyDiv w:val="1"/>
      <w:marLeft w:val="0"/>
      <w:marRight w:val="0"/>
      <w:marTop w:val="0"/>
      <w:marBottom w:val="0"/>
      <w:divBdr>
        <w:top w:val="none" w:sz="0" w:space="0" w:color="auto"/>
        <w:left w:val="none" w:sz="0" w:space="0" w:color="auto"/>
        <w:bottom w:val="none" w:sz="0" w:space="0" w:color="auto"/>
        <w:right w:val="none" w:sz="0" w:space="0" w:color="auto"/>
      </w:divBdr>
    </w:div>
    <w:div w:id="447159769">
      <w:bodyDiv w:val="1"/>
      <w:marLeft w:val="0"/>
      <w:marRight w:val="0"/>
      <w:marTop w:val="0"/>
      <w:marBottom w:val="0"/>
      <w:divBdr>
        <w:top w:val="none" w:sz="0" w:space="0" w:color="auto"/>
        <w:left w:val="none" w:sz="0" w:space="0" w:color="auto"/>
        <w:bottom w:val="none" w:sz="0" w:space="0" w:color="auto"/>
        <w:right w:val="none" w:sz="0" w:space="0" w:color="auto"/>
      </w:divBdr>
    </w:div>
    <w:div w:id="475492177">
      <w:bodyDiv w:val="1"/>
      <w:marLeft w:val="0"/>
      <w:marRight w:val="0"/>
      <w:marTop w:val="0"/>
      <w:marBottom w:val="0"/>
      <w:divBdr>
        <w:top w:val="none" w:sz="0" w:space="0" w:color="auto"/>
        <w:left w:val="none" w:sz="0" w:space="0" w:color="auto"/>
        <w:bottom w:val="none" w:sz="0" w:space="0" w:color="auto"/>
        <w:right w:val="none" w:sz="0" w:space="0" w:color="auto"/>
      </w:divBdr>
    </w:div>
    <w:div w:id="494885215">
      <w:bodyDiv w:val="1"/>
      <w:marLeft w:val="0"/>
      <w:marRight w:val="0"/>
      <w:marTop w:val="0"/>
      <w:marBottom w:val="0"/>
      <w:divBdr>
        <w:top w:val="none" w:sz="0" w:space="0" w:color="auto"/>
        <w:left w:val="none" w:sz="0" w:space="0" w:color="auto"/>
        <w:bottom w:val="none" w:sz="0" w:space="0" w:color="auto"/>
        <w:right w:val="none" w:sz="0" w:space="0" w:color="auto"/>
      </w:divBdr>
    </w:div>
    <w:div w:id="518272311">
      <w:bodyDiv w:val="1"/>
      <w:marLeft w:val="0"/>
      <w:marRight w:val="0"/>
      <w:marTop w:val="0"/>
      <w:marBottom w:val="0"/>
      <w:divBdr>
        <w:top w:val="none" w:sz="0" w:space="0" w:color="auto"/>
        <w:left w:val="none" w:sz="0" w:space="0" w:color="auto"/>
        <w:bottom w:val="none" w:sz="0" w:space="0" w:color="auto"/>
        <w:right w:val="none" w:sz="0" w:space="0" w:color="auto"/>
      </w:divBdr>
    </w:div>
    <w:div w:id="523902354">
      <w:bodyDiv w:val="1"/>
      <w:marLeft w:val="0"/>
      <w:marRight w:val="0"/>
      <w:marTop w:val="0"/>
      <w:marBottom w:val="0"/>
      <w:divBdr>
        <w:top w:val="none" w:sz="0" w:space="0" w:color="auto"/>
        <w:left w:val="none" w:sz="0" w:space="0" w:color="auto"/>
        <w:bottom w:val="none" w:sz="0" w:space="0" w:color="auto"/>
        <w:right w:val="none" w:sz="0" w:space="0" w:color="auto"/>
      </w:divBdr>
    </w:div>
    <w:div w:id="530415259">
      <w:bodyDiv w:val="1"/>
      <w:marLeft w:val="0"/>
      <w:marRight w:val="0"/>
      <w:marTop w:val="0"/>
      <w:marBottom w:val="0"/>
      <w:divBdr>
        <w:top w:val="none" w:sz="0" w:space="0" w:color="auto"/>
        <w:left w:val="none" w:sz="0" w:space="0" w:color="auto"/>
        <w:bottom w:val="none" w:sz="0" w:space="0" w:color="auto"/>
        <w:right w:val="none" w:sz="0" w:space="0" w:color="auto"/>
      </w:divBdr>
    </w:div>
    <w:div w:id="541287063">
      <w:bodyDiv w:val="1"/>
      <w:marLeft w:val="0"/>
      <w:marRight w:val="0"/>
      <w:marTop w:val="0"/>
      <w:marBottom w:val="0"/>
      <w:divBdr>
        <w:top w:val="none" w:sz="0" w:space="0" w:color="auto"/>
        <w:left w:val="none" w:sz="0" w:space="0" w:color="auto"/>
        <w:bottom w:val="none" w:sz="0" w:space="0" w:color="auto"/>
        <w:right w:val="none" w:sz="0" w:space="0" w:color="auto"/>
      </w:divBdr>
    </w:div>
    <w:div w:id="561334549">
      <w:bodyDiv w:val="1"/>
      <w:marLeft w:val="0"/>
      <w:marRight w:val="0"/>
      <w:marTop w:val="0"/>
      <w:marBottom w:val="0"/>
      <w:divBdr>
        <w:top w:val="none" w:sz="0" w:space="0" w:color="auto"/>
        <w:left w:val="none" w:sz="0" w:space="0" w:color="auto"/>
        <w:bottom w:val="none" w:sz="0" w:space="0" w:color="auto"/>
        <w:right w:val="none" w:sz="0" w:space="0" w:color="auto"/>
      </w:divBdr>
    </w:div>
    <w:div w:id="588975152">
      <w:bodyDiv w:val="1"/>
      <w:marLeft w:val="0"/>
      <w:marRight w:val="0"/>
      <w:marTop w:val="0"/>
      <w:marBottom w:val="0"/>
      <w:divBdr>
        <w:top w:val="none" w:sz="0" w:space="0" w:color="auto"/>
        <w:left w:val="none" w:sz="0" w:space="0" w:color="auto"/>
        <w:bottom w:val="none" w:sz="0" w:space="0" w:color="auto"/>
        <w:right w:val="none" w:sz="0" w:space="0" w:color="auto"/>
      </w:divBdr>
    </w:div>
    <w:div w:id="620653613">
      <w:bodyDiv w:val="1"/>
      <w:marLeft w:val="0"/>
      <w:marRight w:val="0"/>
      <w:marTop w:val="0"/>
      <w:marBottom w:val="0"/>
      <w:divBdr>
        <w:top w:val="none" w:sz="0" w:space="0" w:color="auto"/>
        <w:left w:val="none" w:sz="0" w:space="0" w:color="auto"/>
        <w:bottom w:val="none" w:sz="0" w:space="0" w:color="auto"/>
        <w:right w:val="none" w:sz="0" w:space="0" w:color="auto"/>
      </w:divBdr>
    </w:div>
    <w:div w:id="640693759">
      <w:bodyDiv w:val="1"/>
      <w:marLeft w:val="0"/>
      <w:marRight w:val="0"/>
      <w:marTop w:val="0"/>
      <w:marBottom w:val="0"/>
      <w:divBdr>
        <w:top w:val="none" w:sz="0" w:space="0" w:color="auto"/>
        <w:left w:val="none" w:sz="0" w:space="0" w:color="auto"/>
        <w:bottom w:val="none" w:sz="0" w:space="0" w:color="auto"/>
        <w:right w:val="none" w:sz="0" w:space="0" w:color="auto"/>
      </w:divBdr>
    </w:div>
    <w:div w:id="663775835">
      <w:bodyDiv w:val="1"/>
      <w:marLeft w:val="0"/>
      <w:marRight w:val="0"/>
      <w:marTop w:val="0"/>
      <w:marBottom w:val="0"/>
      <w:divBdr>
        <w:top w:val="none" w:sz="0" w:space="0" w:color="auto"/>
        <w:left w:val="none" w:sz="0" w:space="0" w:color="auto"/>
        <w:bottom w:val="none" w:sz="0" w:space="0" w:color="auto"/>
        <w:right w:val="none" w:sz="0" w:space="0" w:color="auto"/>
      </w:divBdr>
    </w:div>
    <w:div w:id="669872531">
      <w:bodyDiv w:val="1"/>
      <w:marLeft w:val="0"/>
      <w:marRight w:val="0"/>
      <w:marTop w:val="0"/>
      <w:marBottom w:val="0"/>
      <w:divBdr>
        <w:top w:val="none" w:sz="0" w:space="0" w:color="auto"/>
        <w:left w:val="none" w:sz="0" w:space="0" w:color="auto"/>
        <w:bottom w:val="none" w:sz="0" w:space="0" w:color="auto"/>
        <w:right w:val="none" w:sz="0" w:space="0" w:color="auto"/>
      </w:divBdr>
    </w:div>
    <w:div w:id="680203079">
      <w:bodyDiv w:val="1"/>
      <w:marLeft w:val="0"/>
      <w:marRight w:val="0"/>
      <w:marTop w:val="0"/>
      <w:marBottom w:val="0"/>
      <w:divBdr>
        <w:top w:val="none" w:sz="0" w:space="0" w:color="auto"/>
        <w:left w:val="none" w:sz="0" w:space="0" w:color="auto"/>
        <w:bottom w:val="none" w:sz="0" w:space="0" w:color="auto"/>
        <w:right w:val="none" w:sz="0" w:space="0" w:color="auto"/>
      </w:divBdr>
    </w:div>
    <w:div w:id="682513113">
      <w:bodyDiv w:val="1"/>
      <w:marLeft w:val="0"/>
      <w:marRight w:val="0"/>
      <w:marTop w:val="0"/>
      <w:marBottom w:val="0"/>
      <w:divBdr>
        <w:top w:val="none" w:sz="0" w:space="0" w:color="auto"/>
        <w:left w:val="none" w:sz="0" w:space="0" w:color="auto"/>
        <w:bottom w:val="none" w:sz="0" w:space="0" w:color="auto"/>
        <w:right w:val="none" w:sz="0" w:space="0" w:color="auto"/>
      </w:divBdr>
    </w:div>
    <w:div w:id="685523965">
      <w:bodyDiv w:val="1"/>
      <w:marLeft w:val="0"/>
      <w:marRight w:val="0"/>
      <w:marTop w:val="0"/>
      <w:marBottom w:val="0"/>
      <w:divBdr>
        <w:top w:val="none" w:sz="0" w:space="0" w:color="auto"/>
        <w:left w:val="none" w:sz="0" w:space="0" w:color="auto"/>
        <w:bottom w:val="none" w:sz="0" w:space="0" w:color="auto"/>
        <w:right w:val="none" w:sz="0" w:space="0" w:color="auto"/>
      </w:divBdr>
    </w:div>
    <w:div w:id="697044704">
      <w:bodyDiv w:val="1"/>
      <w:marLeft w:val="0"/>
      <w:marRight w:val="0"/>
      <w:marTop w:val="0"/>
      <w:marBottom w:val="0"/>
      <w:divBdr>
        <w:top w:val="none" w:sz="0" w:space="0" w:color="auto"/>
        <w:left w:val="none" w:sz="0" w:space="0" w:color="auto"/>
        <w:bottom w:val="none" w:sz="0" w:space="0" w:color="auto"/>
        <w:right w:val="none" w:sz="0" w:space="0" w:color="auto"/>
      </w:divBdr>
    </w:div>
    <w:div w:id="697512286">
      <w:bodyDiv w:val="1"/>
      <w:marLeft w:val="0"/>
      <w:marRight w:val="0"/>
      <w:marTop w:val="0"/>
      <w:marBottom w:val="0"/>
      <w:divBdr>
        <w:top w:val="none" w:sz="0" w:space="0" w:color="auto"/>
        <w:left w:val="none" w:sz="0" w:space="0" w:color="auto"/>
        <w:bottom w:val="none" w:sz="0" w:space="0" w:color="auto"/>
        <w:right w:val="none" w:sz="0" w:space="0" w:color="auto"/>
      </w:divBdr>
    </w:div>
    <w:div w:id="716592514">
      <w:bodyDiv w:val="1"/>
      <w:marLeft w:val="0"/>
      <w:marRight w:val="0"/>
      <w:marTop w:val="0"/>
      <w:marBottom w:val="0"/>
      <w:divBdr>
        <w:top w:val="none" w:sz="0" w:space="0" w:color="auto"/>
        <w:left w:val="none" w:sz="0" w:space="0" w:color="auto"/>
        <w:bottom w:val="none" w:sz="0" w:space="0" w:color="auto"/>
        <w:right w:val="none" w:sz="0" w:space="0" w:color="auto"/>
      </w:divBdr>
    </w:div>
    <w:div w:id="717433341">
      <w:bodyDiv w:val="1"/>
      <w:marLeft w:val="0"/>
      <w:marRight w:val="0"/>
      <w:marTop w:val="0"/>
      <w:marBottom w:val="0"/>
      <w:divBdr>
        <w:top w:val="none" w:sz="0" w:space="0" w:color="auto"/>
        <w:left w:val="none" w:sz="0" w:space="0" w:color="auto"/>
        <w:bottom w:val="none" w:sz="0" w:space="0" w:color="auto"/>
        <w:right w:val="none" w:sz="0" w:space="0" w:color="auto"/>
      </w:divBdr>
    </w:div>
    <w:div w:id="733549640">
      <w:bodyDiv w:val="1"/>
      <w:marLeft w:val="0"/>
      <w:marRight w:val="0"/>
      <w:marTop w:val="0"/>
      <w:marBottom w:val="0"/>
      <w:divBdr>
        <w:top w:val="none" w:sz="0" w:space="0" w:color="auto"/>
        <w:left w:val="none" w:sz="0" w:space="0" w:color="auto"/>
        <w:bottom w:val="none" w:sz="0" w:space="0" w:color="auto"/>
        <w:right w:val="none" w:sz="0" w:space="0" w:color="auto"/>
      </w:divBdr>
    </w:div>
    <w:div w:id="733741767">
      <w:bodyDiv w:val="1"/>
      <w:marLeft w:val="0"/>
      <w:marRight w:val="0"/>
      <w:marTop w:val="0"/>
      <w:marBottom w:val="0"/>
      <w:divBdr>
        <w:top w:val="none" w:sz="0" w:space="0" w:color="auto"/>
        <w:left w:val="none" w:sz="0" w:space="0" w:color="auto"/>
        <w:bottom w:val="none" w:sz="0" w:space="0" w:color="auto"/>
        <w:right w:val="none" w:sz="0" w:space="0" w:color="auto"/>
      </w:divBdr>
    </w:div>
    <w:div w:id="738986770">
      <w:bodyDiv w:val="1"/>
      <w:marLeft w:val="0"/>
      <w:marRight w:val="0"/>
      <w:marTop w:val="0"/>
      <w:marBottom w:val="0"/>
      <w:divBdr>
        <w:top w:val="none" w:sz="0" w:space="0" w:color="auto"/>
        <w:left w:val="none" w:sz="0" w:space="0" w:color="auto"/>
        <w:bottom w:val="none" w:sz="0" w:space="0" w:color="auto"/>
        <w:right w:val="none" w:sz="0" w:space="0" w:color="auto"/>
      </w:divBdr>
    </w:div>
    <w:div w:id="762727256">
      <w:bodyDiv w:val="1"/>
      <w:marLeft w:val="0"/>
      <w:marRight w:val="0"/>
      <w:marTop w:val="0"/>
      <w:marBottom w:val="0"/>
      <w:divBdr>
        <w:top w:val="none" w:sz="0" w:space="0" w:color="auto"/>
        <w:left w:val="none" w:sz="0" w:space="0" w:color="auto"/>
        <w:bottom w:val="none" w:sz="0" w:space="0" w:color="auto"/>
        <w:right w:val="none" w:sz="0" w:space="0" w:color="auto"/>
      </w:divBdr>
    </w:div>
    <w:div w:id="778333397">
      <w:bodyDiv w:val="1"/>
      <w:marLeft w:val="0"/>
      <w:marRight w:val="0"/>
      <w:marTop w:val="0"/>
      <w:marBottom w:val="0"/>
      <w:divBdr>
        <w:top w:val="none" w:sz="0" w:space="0" w:color="auto"/>
        <w:left w:val="none" w:sz="0" w:space="0" w:color="auto"/>
        <w:bottom w:val="none" w:sz="0" w:space="0" w:color="auto"/>
        <w:right w:val="none" w:sz="0" w:space="0" w:color="auto"/>
      </w:divBdr>
    </w:div>
    <w:div w:id="801263323">
      <w:bodyDiv w:val="1"/>
      <w:marLeft w:val="0"/>
      <w:marRight w:val="0"/>
      <w:marTop w:val="0"/>
      <w:marBottom w:val="0"/>
      <w:divBdr>
        <w:top w:val="none" w:sz="0" w:space="0" w:color="auto"/>
        <w:left w:val="none" w:sz="0" w:space="0" w:color="auto"/>
        <w:bottom w:val="none" w:sz="0" w:space="0" w:color="auto"/>
        <w:right w:val="none" w:sz="0" w:space="0" w:color="auto"/>
      </w:divBdr>
    </w:div>
    <w:div w:id="825825794">
      <w:bodyDiv w:val="1"/>
      <w:marLeft w:val="0"/>
      <w:marRight w:val="0"/>
      <w:marTop w:val="0"/>
      <w:marBottom w:val="0"/>
      <w:divBdr>
        <w:top w:val="none" w:sz="0" w:space="0" w:color="auto"/>
        <w:left w:val="none" w:sz="0" w:space="0" w:color="auto"/>
        <w:bottom w:val="none" w:sz="0" w:space="0" w:color="auto"/>
        <w:right w:val="none" w:sz="0" w:space="0" w:color="auto"/>
      </w:divBdr>
    </w:div>
    <w:div w:id="835002939">
      <w:bodyDiv w:val="1"/>
      <w:marLeft w:val="0"/>
      <w:marRight w:val="0"/>
      <w:marTop w:val="0"/>
      <w:marBottom w:val="0"/>
      <w:divBdr>
        <w:top w:val="none" w:sz="0" w:space="0" w:color="auto"/>
        <w:left w:val="none" w:sz="0" w:space="0" w:color="auto"/>
        <w:bottom w:val="none" w:sz="0" w:space="0" w:color="auto"/>
        <w:right w:val="none" w:sz="0" w:space="0" w:color="auto"/>
      </w:divBdr>
    </w:div>
    <w:div w:id="835849746">
      <w:bodyDiv w:val="1"/>
      <w:marLeft w:val="0"/>
      <w:marRight w:val="0"/>
      <w:marTop w:val="0"/>
      <w:marBottom w:val="0"/>
      <w:divBdr>
        <w:top w:val="none" w:sz="0" w:space="0" w:color="auto"/>
        <w:left w:val="none" w:sz="0" w:space="0" w:color="auto"/>
        <w:bottom w:val="none" w:sz="0" w:space="0" w:color="auto"/>
        <w:right w:val="none" w:sz="0" w:space="0" w:color="auto"/>
      </w:divBdr>
    </w:div>
    <w:div w:id="843665490">
      <w:bodyDiv w:val="1"/>
      <w:marLeft w:val="0"/>
      <w:marRight w:val="0"/>
      <w:marTop w:val="0"/>
      <w:marBottom w:val="0"/>
      <w:divBdr>
        <w:top w:val="none" w:sz="0" w:space="0" w:color="auto"/>
        <w:left w:val="none" w:sz="0" w:space="0" w:color="auto"/>
        <w:bottom w:val="none" w:sz="0" w:space="0" w:color="auto"/>
        <w:right w:val="none" w:sz="0" w:space="0" w:color="auto"/>
      </w:divBdr>
    </w:div>
    <w:div w:id="903835627">
      <w:bodyDiv w:val="1"/>
      <w:marLeft w:val="0"/>
      <w:marRight w:val="0"/>
      <w:marTop w:val="0"/>
      <w:marBottom w:val="0"/>
      <w:divBdr>
        <w:top w:val="none" w:sz="0" w:space="0" w:color="auto"/>
        <w:left w:val="none" w:sz="0" w:space="0" w:color="auto"/>
        <w:bottom w:val="none" w:sz="0" w:space="0" w:color="auto"/>
        <w:right w:val="none" w:sz="0" w:space="0" w:color="auto"/>
      </w:divBdr>
    </w:div>
    <w:div w:id="939531372">
      <w:bodyDiv w:val="1"/>
      <w:marLeft w:val="0"/>
      <w:marRight w:val="0"/>
      <w:marTop w:val="0"/>
      <w:marBottom w:val="0"/>
      <w:divBdr>
        <w:top w:val="none" w:sz="0" w:space="0" w:color="auto"/>
        <w:left w:val="none" w:sz="0" w:space="0" w:color="auto"/>
        <w:bottom w:val="none" w:sz="0" w:space="0" w:color="auto"/>
        <w:right w:val="none" w:sz="0" w:space="0" w:color="auto"/>
      </w:divBdr>
      <w:divsChild>
        <w:div w:id="13884550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141102">
      <w:bodyDiv w:val="1"/>
      <w:marLeft w:val="0"/>
      <w:marRight w:val="0"/>
      <w:marTop w:val="0"/>
      <w:marBottom w:val="0"/>
      <w:divBdr>
        <w:top w:val="none" w:sz="0" w:space="0" w:color="auto"/>
        <w:left w:val="none" w:sz="0" w:space="0" w:color="auto"/>
        <w:bottom w:val="none" w:sz="0" w:space="0" w:color="auto"/>
        <w:right w:val="none" w:sz="0" w:space="0" w:color="auto"/>
      </w:divBdr>
    </w:div>
    <w:div w:id="955864382">
      <w:bodyDiv w:val="1"/>
      <w:marLeft w:val="0"/>
      <w:marRight w:val="0"/>
      <w:marTop w:val="0"/>
      <w:marBottom w:val="0"/>
      <w:divBdr>
        <w:top w:val="none" w:sz="0" w:space="0" w:color="auto"/>
        <w:left w:val="none" w:sz="0" w:space="0" w:color="auto"/>
        <w:bottom w:val="none" w:sz="0" w:space="0" w:color="auto"/>
        <w:right w:val="none" w:sz="0" w:space="0" w:color="auto"/>
      </w:divBdr>
    </w:div>
    <w:div w:id="963198382">
      <w:bodyDiv w:val="1"/>
      <w:marLeft w:val="0"/>
      <w:marRight w:val="0"/>
      <w:marTop w:val="0"/>
      <w:marBottom w:val="0"/>
      <w:divBdr>
        <w:top w:val="none" w:sz="0" w:space="0" w:color="auto"/>
        <w:left w:val="none" w:sz="0" w:space="0" w:color="auto"/>
        <w:bottom w:val="none" w:sz="0" w:space="0" w:color="auto"/>
        <w:right w:val="none" w:sz="0" w:space="0" w:color="auto"/>
      </w:divBdr>
    </w:div>
    <w:div w:id="975793801">
      <w:bodyDiv w:val="1"/>
      <w:marLeft w:val="0"/>
      <w:marRight w:val="0"/>
      <w:marTop w:val="0"/>
      <w:marBottom w:val="0"/>
      <w:divBdr>
        <w:top w:val="none" w:sz="0" w:space="0" w:color="auto"/>
        <w:left w:val="none" w:sz="0" w:space="0" w:color="auto"/>
        <w:bottom w:val="none" w:sz="0" w:space="0" w:color="auto"/>
        <w:right w:val="none" w:sz="0" w:space="0" w:color="auto"/>
      </w:divBdr>
    </w:div>
    <w:div w:id="994145344">
      <w:bodyDiv w:val="1"/>
      <w:marLeft w:val="0"/>
      <w:marRight w:val="0"/>
      <w:marTop w:val="0"/>
      <w:marBottom w:val="0"/>
      <w:divBdr>
        <w:top w:val="none" w:sz="0" w:space="0" w:color="auto"/>
        <w:left w:val="none" w:sz="0" w:space="0" w:color="auto"/>
        <w:bottom w:val="none" w:sz="0" w:space="0" w:color="auto"/>
        <w:right w:val="none" w:sz="0" w:space="0" w:color="auto"/>
      </w:divBdr>
    </w:div>
    <w:div w:id="995960265">
      <w:bodyDiv w:val="1"/>
      <w:marLeft w:val="0"/>
      <w:marRight w:val="0"/>
      <w:marTop w:val="0"/>
      <w:marBottom w:val="0"/>
      <w:divBdr>
        <w:top w:val="none" w:sz="0" w:space="0" w:color="auto"/>
        <w:left w:val="none" w:sz="0" w:space="0" w:color="auto"/>
        <w:bottom w:val="none" w:sz="0" w:space="0" w:color="auto"/>
        <w:right w:val="none" w:sz="0" w:space="0" w:color="auto"/>
      </w:divBdr>
    </w:div>
    <w:div w:id="998461400">
      <w:bodyDiv w:val="1"/>
      <w:marLeft w:val="0"/>
      <w:marRight w:val="0"/>
      <w:marTop w:val="0"/>
      <w:marBottom w:val="0"/>
      <w:divBdr>
        <w:top w:val="none" w:sz="0" w:space="0" w:color="auto"/>
        <w:left w:val="none" w:sz="0" w:space="0" w:color="auto"/>
        <w:bottom w:val="none" w:sz="0" w:space="0" w:color="auto"/>
        <w:right w:val="none" w:sz="0" w:space="0" w:color="auto"/>
      </w:divBdr>
    </w:div>
    <w:div w:id="999311218">
      <w:bodyDiv w:val="1"/>
      <w:marLeft w:val="0"/>
      <w:marRight w:val="0"/>
      <w:marTop w:val="0"/>
      <w:marBottom w:val="0"/>
      <w:divBdr>
        <w:top w:val="none" w:sz="0" w:space="0" w:color="auto"/>
        <w:left w:val="none" w:sz="0" w:space="0" w:color="auto"/>
        <w:bottom w:val="none" w:sz="0" w:space="0" w:color="auto"/>
        <w:right w:val="none" w:sz="0" w:space="0" w:color="auto"/>
      </w:divBdr>
    </w:div>
    <w:div w:id="1003825187">
      <w:bodyDiv w:val="1"/>
      <w:marLeft w:val="0"/>
      <w:marRight w:val="0"/>
      <w:marTop w:val="0"/>
      <w:marBottom w:val="0"/>
      <w:divBdr>
        <w:top w:val="none" w:sz="0" w:space="0" w:color="auto"/>
        <w:left w:val="none" w:sz="0" w:space="0" w:color="auto"/>
        <w:bottom w:val="none" w:sz="0" w:space="0" w:color="auto"/>
        <w:right w:val="none" w:sz="0" w:space="0" w:color="auto"/>
      </w:divBdr>
      <w:divsChild>
        <w:div w:id="254171370">
          <w:marLeft w:val="0"/>
          <w:marRight w:val="0"/>
          <w:marTop w:val="0"/>
          <w:marBottom w:val="0"/>
          <w:divBdr>
            <w:top w:val="none" w:sz="0" w:space="0" w:color="auto"/>
            <w:left w:val="none" w:sz="0" w:space="0" w:color="auto"/>
            <w:bottom w:val="none" w:sz="0" w:space="0" w:color="auto"/>
            <w:right w:val="none" w:sz="0" w:space="0" w:color="auto"/>
          </w:divBdr>
        </w:div>
        <w:div w:id="262147523">
          <w:marLeft w:val="0"/>
          <w:marRight w:val="0"/>
          <w:marTop w:val="0"/>
          <w:marBottom w:val="0"/>
          <w:divBdr>
            <w:top w:val="none" w:sz="0" w:space="0" w:color="auto"/>
            <w:left w:val="none" w:sz="0" w:space="0" w:color="auto"/>
            <w:bottom w:val="none" w:sz="0" w:space="0" w:color="auto"/>
            <w:right w:val="none" w:sz="0" w:space="0" w:color="auto"/>
          </w:divBdr>
        </w:div>
        <w:div w:id="580333457">
          <w:marLeft w:val="0"/>
          <w:marRight w:val="0"/>
          <w:marTop w:val="0"/>
          <w:marBottom w:val="0"/>
          <w:divBdr>
            <w:top w:val="none" w:sz="0" w:space="0" w:color="auto"/>
            <w:left w:val="none" w:sz="0" w:space="0" w:color="auto"/>
            <w:bottom w:val="none" w:sz="0" w:space="0" w:color="auto"/>
            <w:right w:val="none" w:sz="0" w:space="0" w:color="auto"/>
          </w:divBdr>
        </w:div>
        <w:div w:id="580338076">
          <w:marLeft w:val="0"/>
          <w:marRight w:val="0"/>
          <w:marTop w:val="0"/>
          <w:marBottom w:val="0"/>
          <w:divBdr>
            <w:top w:val="none" w:sz="0" w:space="0" w:color="auto"/>
            <w:left w:val="none" w:sz="0" w:space="0" w:color="auto"/>
            <w:bottom w:val="none" w:sz="0" w:space="0" w:color="auto"/>
            <w:right w:val="none" w:sz="0" w:space="0" w:color="auto"/>
          </w:divBdr>
        </w:div>
        <w:div w:id="936913451">
          <w:marLeft w:val="0"/>
          <w:marRight w:val="0"/>
          <w:marTop w:val="0"/>
          <w:marBottom w:val="0"/>
          <w:divBdr>
            <w:top w:val="none" w:sz="0" w:space="0" w:color="auto"/>
            <w:left w:val="none" w:sz="0" w:space="0" w:color="auto"/>
            <w:bottom w:val="none" w:sz="0" w:space="0" w:color="auto"/>
            <w:right w:val="none" w:sz="0" w:space="0" w:color="auto"/>
          </w:divBdr>
        </w:div>
        <w:div w:id="1439376784">
          <w:marLeft w:val="0"/>
          <w:marRight w:val="0"/>
          <w:marTop w:val="0"/>
          <w:marBottom w:val="0"/>
          <w:divBdr>
            <w:top w:val="none" w:sz="0" w:space="0" w:color="auto"/>
            <w:left w:val="none" w:sz="0" w:space="0" w:color="auto"/>
            <w:bottom w:val="none" w:sz="0" w:space="0" w:color="auto"/>
            <w:right w:val="none" w:sz="0" w:space="0" w:color="auto"/>
          </w:divBdr>
        </w:div>
        <w:div w:id="1680111599">
          <w:marLeft w:val="0"/>
          <w:marRight w:val="0"/>
          <w:marTop w:val="0"/>
          <w:marBottom w:val="0"/>
          <w:divBdr>
            <w:top w:val="none" w:sz="0" w:space="0" w:color="auto"/>
            <w:left w:val="none" w:sz="0" w:space="0" w:color="auto"/>
            <w:bottom w:val="none" w:sz="0" w:space="0" w:color="auto"/>
            <w:right w:val="none" w:sz="0" w:space="0" w:color="auto"/>
          </w:divBdr>
        </w:div>
        <w:div w:id="1954970320">
          <w:marLeft w:val="0"/>
          <w:marRight w:val="0"/>
          <w:marTop w:val="0"/>
          <w:marBottom w:val="0"/>
          <w:divBdr>
            <w:top w:val="none" w:sz="0" w:space="0" w:color="auto"/>
            <w:left w:val="none" w:sz="0" w:space="0" w:color="auto"/>
            <w:bottom w:val="none" w:sz="0" w:space="0" w:color="auto"/>
            <w:right w:val="none" w:sz="0" w:space="0" w:color="auto"/>
          </w:divBdr>
        </w:div>
      </w:divsChild>
    </w:div>
    <w:div w:id="1017316193">
      <w:bodyDiv w:val="1"/>
      <w:marLeft w:val="0"/>
      <w:marRight w:val="0"/>
      <w:marTop w:val="0"/>
      <w:marBottom w:val="0"/>
      <w:divBdr>
        <w:top w:val="none" w:sz="0" w:space="0" w:color="auto"/>
        <w:left w:val="none" w:sz="0" w:space="0" w:color="auto"/>
        <w:bottom w:val="none" w:sz="0" w:space="0" w:color="auto"/>
        <w:right w:val="none" w:sz="0" w:space="0" w:color="auto"/>
      </w:divBdr>
    </w:div>
    <w:div w:id="1020735951">
      <w:bodyDiv w:val="1"/>
      <w:marLeft w:val="0"/>
      <w:marRight w:val="0"/>
      <w:marTop w:val="0"/>
      <w:marBottom w:val="0"/>
      <w:divBdr>
        <w:top w:val="none" w:sz="0" w:space="0" w:color="auto"/>
        <w:left w:val="none" w:sz="0" w:space="0" w:color="auto"/>
        <w:bottom w:val="none" w:sz="0" w:space="0" w:color="auto"/>
        <w:right w:val="none" w:sz="0" w:space="0" w:color="auto"/>
      </w:divBdr>
    </w:div>
    <w:div w:id="1025400294">
      <w:bodyDiv w:val="1"/>
      <w:marLeft w:val="0"/>
      <w:marRight w:val="0"/>
      <w:marTop w:val="0"/>
      <w:marBottom w:val="0"/>
      <w:divBdr>
        <w:top w:val="none" w:sz="0" w:space="0" w:color="auto"/>
        <w:left w:val="none" w:sz="0" w:space="0" w:color="auto"/>
        <w:bottom w:val="none" w:sz="0" w:space="0" w:color="auto"/>
        <w:right w:val="none" w:sz="0" w:space="0" w:color="auto"/>
      </w:divBdr>
    </w:div>
    <w:div w:id="1027557262">
      <w:bodyDiv w:val="1"/>
      <w:marLeft w:val="0"/>
      <w:marRight w:val="0"/>
      <w:marTop w:val="0"/>
      <w:marBottom w:val="0"/>
      <w:divBdr>
        <w:top w:val="none" w:sz="0" w:space="0" w:color="auto"/>
        <w:left w:val="none" w:sz="0" w:space="0" w:color="auto"/>
        <w:bottom w:val="none" w:sz="0" w:space="0" w:color="auto"/>
        <w:right w:val="none" w:sz="0" w:space="0" w:color="auto"/>
      </w:divBdr>
    </w:div>
    <w:div w:id="1040057631">
      <w:bodyDiv w:val="1"/>
      <w:marLeft w:val="0"/>
      <w:marRight w:val="0"/>
      <w:marTop w:val="0"/>
      <w:marBottom w:val="0"/>
      <w:divBdr>
        <w:top w:val="none" w:sz="0" w:space="0" w:color="auto"/>
        <w:left w:val="none" w:sz="0" w:space="0" w:color="auto"/>
        <w:bottom w:val="none" w:sz="0" w:space="0" w:color="auto"/>
        <w:right w:val="none" w:sz="0" w:space="0" w:color="auto"/>
      </w:divBdr>
    </w:div>
    <w:div w:id="1105150118">
      <w:bodyDiv w:val="1"/>
      <w:marLeft w:val="0"/>
      <w:marRight w:val="0"/>
      <w:marTop w:val="0"/>
      <w:marBottom w:val="0"/>
      <w:divBdr>
        <w:top w:val="none" w:sz="0" w:space="0" w:color="auto"/>
        <w:left w:val="none" w:sz="0" w:space="0" w:color="auto"/>
        <w:bottom w:val="none" w:sz="0" w:space="0" w:color="auto"/>
        <w:right w:val="none" w:sz="0" w:space="0" w:color="auto"/>
      </w:divBdr>
    </w:div>
    <w:div w:id="1108353732">
      <w:bodyDiv w:val="1"/>
      <w:marLeft w:val="0"/>
      <w:marRight w:val="0"/>
      <w:marTop w:val="0"/>
      <w:marBottom w:val="0"/>
      <w:divBdr>
        <w:top w:val="none" w:sz="0" w:space="0" w:color="auto"/>
        <w:left w:val="none" w:sz="0" w:space="0" w:color="auto"/>
        <w:bottom w:val="none" w:sz="0" w:space="0" w:color="auto"/>
        <w:right w:val="none" w:sz="0" w:space="0" w:color="auto"/>
      </w:divBdr>
    </w:div>
    <w:div w:id="1111319295">
      <w:bodyDiv w:val="1"/>
      <w:marLeft w:val="0"/>
      <w:marRight w:val="0"/>
      <w:marTop w:val="0"/>
      <w:marBottom w:val="0"/>
      <w:divBdr>
        <w:top w:val="none" w:sz="0" w:space="0" w:color="auto"/>
        <w:left w:val="none" w:sz="0" w:space="0" w:color="auto"/>
        <w:bottom w:val="none" w:sz="0" w:space="0" w:color="auto"/>
        <w:right w:val="none" w:sz="0" w:space="0" w:color="auto"/>
      </w:divBdr>
    </w:div>
    <w:div w:id="1133056395">
      <w:bodyDiv w:val="1"/>
      <w:marLeft w:val="0"/>
      <w:marRight w:val="0"/>
      <w:marTop w:val="0"/>
      <w:marBottom w:val="0"/>
      <w:divBdr>
        <w:top w:val="none" w:sz="0" w:space="0" w:color="auto"/>
        <w:left w:val="none" w:sz="0" w:space="0" w:color="auto"/>
        <w:bottom w:val="none" w:sz="0" w:space="0" w:color="auto"/>
        <w:right w:val="none" w:sz="0" w:space="0" w:color="auto"/>
      </w:divBdr>
    </w:div>
    <w:div w:id="1140686485">
      <w:bodyDiv w:val="1"/>
      <w:marLeft w:val="0"/>
      <w:marRight w:val="0"/>
      <w:marTop w:val="0"/>
      <w:marBottom w:val="0"/>
      <w:divBdr>
        <w:top w:val="none" w:sz="0" w:space="0" w:color="auto"/>
        <w:left w:val="none" w:sz="0" w:space="0" w:color="auto"/>
        <w:bottom w:val="none" w:sz="0" w:space="0" w:color="auto"/>
        <w:right w:val="none" w:sz="0" w:space="0" w:color="auto"/>
      </w:divBdr>
    </w:div>
    <w:div w:id="1146314375">
      <w:bodyDiv w:val="1"/>
      <w:marLeft w:val="0"/>
      <w:marRight w:val="0"/>
      <w:marTop w:val="0"/>
      <w:marBottom w:val="0"/>
      <w:divBdr>
        <w:top w:val="none" w:sz="0" w:space="0" w:color="auto"/>
        <w:left w:val="none" w:sz="0" w:space="0" w:color="auto"/>
        <w:bottom w:val="none" w:sz="0" w:space="0" w:color="auto"/>
        <w:right w:val="none" w:sz="0" w:space="0" w:color="auto"/>
      </w:divBdr>
    </w:div>
    <w:div w:id="1175148564">
      <w:bodyDiv w:val="1"/>
      <w:marLeft w:val="0"/>
      <w:marRight w:val="0"/>
      <w:marTop w:val="0"/>
      <w:marBottom w:val="0"/>
      <w:divBdr>
        <w:top w:val="none" w:sz="0" w:space="0" w:color="auto"/>
        <w:left w:val="none" w:sz="0" w:space="0" w:color="auto"/>
        <w:bottom w:val="none" w:sz="0" w:space="0" w:color="auto"/>
        <w:right w:val="none" w:sz="0" w:space="0" w:color="auto"/>
      </w:divBdr>
    </w:div>
    <w:div w:id="1224680142">
      <w:bodyDiv w:val="1"/>
      <w:marLeft w:val="0"/>
      <w:marRight w:val="0"/>
      <w:marTop w:val="0"/>
      <w:marBottom w:val="0"/>
      <w:divBdr>
        <w:top w:val="none" w:sz="0" w:space="0" w:color="auto"/>
        <w:left w:val="none" w:sz="0" w:space="0" w:color="auto"/>
        <w:bottom w:val="none" w:sz="0" w:space="0" w:color="auto"/>
        <w:right w:val="none" w:sz="0" w:space="0" w:color="auto"/>
      </w:divBdr>
    </w:div>
    <w:div w:id="1230074609">
      <w:bodyDiv w:val="1"/>
      <w:marLeft w:val="0"/>
      <w:marRight w:val="0"/>
      <w:marTop w:val="0"/>
      <w:marBottom w:val="0"/>
      <w:divBdr>
        <w:top w:val="none" w:sz="0" w:space="0" w:color="auto"/>
        <w:left w:val="none" w:sz="0" w:space="0" w:color="auto"/>
        <w:bottom w:val="none" w:sz="0" w:space="0" w:color="auto"/>
        <w:right w:val="none" w:sz="0" w:space="0" w:color="auto"/>
      </w:divBdr>
    </w:div>
    <w:div w:id="1237938518">
      <w:bodyDiv w:val="1"/>
      <w:marLeft w:val="0"/>
      <w:marRight w:val="0"/>
      <w:marTop w:val="0"/>
      <w:marBottom w:val="0"/>
      <w:divBdr>
        <w:top w:val="none" w:sz="0" w:space="0" w:color="auto"/>
        <w:left w:val="none" w:sz="0" w:space="0" w:color="auto"/>
        <w:bottom w:val="none" w:sz="0" w:space="0" w:color="auto"/>
        <w:right w:val="none" w:sz="0" w:space="0" w:color="auto"/>
      </w:divBdr>
    </w:div>
    <w:div w:id="1246500101">
      <w:bodyDiv w:val="1"/>
      <w:marLeft w:val="0"/>
      <w:marRight w:val="0"/>
      <w:marTop w:val="0"/>
      <w:marBottom w:val="0"/>
      <w:divBdr>
        <w:top w:val="none" w:sz="0" w:space="0" w:color="auto"/>
        <w:left w:val="none" w:sz="0" w:space="0" w:color="auto"/>
        <w:bottom w:val="none" w:sz="0" w:space="0" w:color="auto"/>
        <w:right w:val="none" w:sz="0" w:space="0" w:color="auto"/>
      </w:divBdr>
    </w:div>
    <w:div w:id="1250772369">
      <w:bodyDiv w:val="1"/>
      <w:marLeft w:val="0"/>
      <w:marRight w:val="0"/>
      <w:marTop w:val="0"/>
      <w:marBottom w:val="0"/>
      <w:divBdr>
        <w:top w:val="none" w:sz="0" w:space="0" w:color="auto"/>
        <w:left w:val="none" w:sz="0" w:space="0" w:color="auto"/>
        <w:bottom w:val="none" w:sz="0" w:space="0" w:color="auto"/>
        <w:right w:val="none" w:sz="0" w:space="0" w:color="auto"/>
      </w:divBdr>
      <w:divsChild>
        <w:div w:id="458693363">
          <w:marLeft w:val="0"/>
          <w:marRight w:val="0"/>
          <w:marTop w:val="0"/>
          <w:marBottom w:val="0"/>
          <w:divBdr>
            <w:top w:val="none" w:sz="0" w:space="0" w:color="auto"/>
            <w:left w:val="none" w:sz="0" w:space="0" w:color="auto"/>
            <w:bottom w:val="none" w:sz="0" w:space="0" w:color="auto"/>
            <w:right w:val="none" w:sz="0" w:space="0" w:color="auto"/>
          </w:divBdr>
        </w:div>
        <w:div w:id="703478770">
          <w:marLeft w:val="0"/>
          <w:marRight w:val="0"/>
          <w:marTop w:val="0"/>
          <w:marBottom w:val="0"/>
          <w:divBdr>
            <w:top w:val="none" w:sz="0" w:space="0" w:color="auto"/>
            <w:left w:val="none" w:sz="0" w:space="0" w:color="auto"/>
            <w:bottom w:val="none" w:sz="0" w:space="0" w:color="auto"/>
            <w:right w:val="none" w:sz="0" w:space="0" w:color="auto"/>
          </w:divBdr>
        </w:div>
      </w:divsChild>
    </w:div>
    <w:div w:id="1259214099">
      <w:bodyDiv w:val="1"/>
      <w:marLeft w:val="0"/>
      <w:marRight w:val="0"/>
      <w:marTop w:val="0"/>
      <w:marBottom w:val="0"/>
      <w:divBdr>
        <w:top w:val="none" w:sz="0" w:space="0" w:color="auto"/>
        <w:left w:val="none" w:sz="0" w:space="0" w:color="auto"/>
        <w:bottom w:val="none" w:sz="0" w:space="0" w:color="auto"/>
        <w:right w:val="none" w:sz="0" w:space="0" w:color="auto"/>
      </w:divBdr>
    </w:div>
    <w:div w:id="1262646455">
      <w:bodyDiv w:val="1"/>
      <w:marLeft w:val="0"/>
      <w:marRight w:val="0"/>
      <w:marTop w:val="0"/>
      <w:marBottom w:val="0"/>
      <w:divBdr>
        <w:top w:val="none" w:sz="0" w:space="0" w:color="auto"/>
        <w:left w:val="none" w:sz="0" w:space="0" w:color="auto"/>
        <w:bottom w:val="none" w:sz="0" w:space="0" w:color="auto"/>
        <w:right w:val="none" w:sz="0" w:space="0" w:color="auto"/>
      </w:divBdr>
    </w:div>
    <w:div w:id="1292520604">
      <w:bodyDiv w:val="1"/>
      <w:marLeft w:val="0"/>
      <w:marRight w:val="0"/>
      <w:marTop w:val="0"/>
      <w:marBottom w:val="0"/>
      <w:divBdr>
        <w:top w:val="none" w:sz="0" w:space="0" w:color="auto"/>
        <w:left w:val="none" w:sz="0" w:space="0" w:color="auto"/>
        <w:bottom w:val="none" w:sz="0" w:space="0" w:color="auto"/>
        <w:right w:val="none" w:sz="0" w:space="0" w:color="auto"/>
      </w:divBdr>
    </w:div>
    <w:div w:id="1318267942">
      <w:bodyDiv w:val="1"/>
      <w:marLeft w:val="0"/>
      <w:marRight w:val="0"/>
      <w:marTop w:val="0"/>
      <w:marBottom w:val="0"/>
      <w:divBdr>
        <w:top w:val="none" w:sz="0" w:space="0" w:color="auto"/>
        <w:left w:val="none" w:sz="0" w:space="0" w:color="auto"/>
        <w:bottom w:val="none" w:sz="0" w:space="0" w:color="auto"/>
        <w:right w:val="none" w:sz="0" w:space="0" w:color="auto"/>
      </w:divBdr>
    </w:div>
    <w:div w:id="1319960839">
      <w:bodyDiv w:val="1"/>
      <w:marLeft w:val="0"/>
      <w:marRight w:val="0"/>
      <w:marTop w:val="0"/>
      <w:marBottom w:val="0"/>
      <w:divBdr>
        <w:top w:val="none" w:sz="0" w:space="0" w:color="auto"/>
        <w:left w:val="none" w:sz="0" w:space="0" w:color="auto"/>
        <w:bottom w:val="none" w:sz="0" w:space="0" w:color="auto"/>
        <w:right w:val="none" w:sz="0" w:space="0" w:color="auto"/>
      </w:divBdr>
    </w:div>
    <w:div w:id="1322004484">
      <w:bodyDiv w:val="1"/>
      <w:marLeft w:val="0"/>
      <w:marRight w:val="0"/>
      <w:marTop w:val="0"/>
      <w:marBottom w:val="0"/>
      <w:divBdr>
        <w:top w:val="none" w:sz="0" w:space="0" w:color="auto"/>
        <w:left w:val="none" w:sz="0" w:space="0" w:color="auto"/>
        <w:bottom w:val="none" w:sz="0" w:space="0" w:color="auto"/>
        <w:right w:val="none" w:sz="0" w:space="0" w:color="auto"/>
      </w:divBdr>
    </w:div>
    <w:div w:id="1337459098">
      <w:bodyDiv w:val="1"/>
      <w:marLeft w:val="0"/>
      <w:marRight w:val="0"/>
      <w:marTop w:val="0"/>
      <w:marBottom w:val="0"/>
      <w:divBdr>
        <w:top w:val="none" w:sz="0" w:space="0" w:color="auto"/>
        <w:left w:val="none" w:sz="0" w:space="0" w:color="auto"/>
        <w:bottom w:val="none" w:sz="0" w:space="0" w:color="auto"/>
        <w:right w:val="none" w:sz="0" w:space="0" w:color="auto"/>
      </w:divBdr>
    </w:div>
    <w:div w:id="1349911701">
      <w:bodyDiv w:val="1"/>
      <w:marLeft w:val="0"/>
      <w:marRight w:val="0"/>
      <w:marTop w:val="0"/>
      <w:marBottom w:val="0"/>
      <w:divBdr>
        <w:top w:val="none" w:sz="0" w:space="0" w:color="auto"/>
        <w:left w:val="none" w:sz="0" w:space="0" w:color="auto"/>
        <w:bottom w:val="none" w:sz="0" w:space="0" w:color="auto"/>
        <w:right w:val="none" w:sz="0" w:space="0" w:color="auto"/>
      </w:divBdr>
    </w:div>
    <w:div w:id="1364742602">
      <w:bodyDiv w:val="1"/>
      <w:marLeft w:val="0"/>
      <w:marRight w:val="0"/>
      <w:marTop w:val="0"/>
      <w:marBottom w:val="0"/>
      <w:divBdr>
        <w:top w:val="none" w:sz="0" w:space="0" w:color="auto"/>
        <w:left w:val="none" w:sz="0" w:space="0" w:color="auto"/>
        <w:bottom w:val="none" w:sz="0" w:space="0" w:color="auto"/>
        <w:right w:val="none" w:sz="0" w:space="0" w:color="auto"/>
      </w:divBdr>
    </w:div>
    <w:div w:id="1366098758">
      <w:bodyDiv w:val="1"/>
      <w:marLeft w:val="0"/>
      <w:marRight w:val="0"/>
      <w:marTop w:val="0"/>
      <w:marBottom w:val="0"/>
      <w:divBdr>
        <w:top w:val="none" w:sz="0" w:space="0" w:color="auto"/>
        <w:left w:val="none" w:sz="0" w:space="0" w:color="auto"/>
        <w:bottom w:val="none" w:sz="0" w:space="0" w:color="auto"/>
        <w:right w:val="none" w:sz="0" w:space="0" w:color="auto"/>
      </w:divBdr>
    </w:div>
    <w:div w:id="1368531229">
      <w:bodyDiv w:val="1"/>
      <w:marLeft w:val="0"/>
      <w:marRight w:val="0"/>
      <w:marTop w:val="0"/>
      <w:marBottom w:val="0"/>
      <w:divBdr>
        <w:top w:val="none" w:sz="0" w:space="0" w:color="auto"/>
        <w:left w:val="none" w:sz="0" w:space="0" w:color="auto"/>
        <w:bottom w:val="none" w:sz="0" w:space="0" w:color="auto"/>
        <w:right w:val="none" w:sz="0" w:space="0" w:color="auto"/>
      </w:divBdr>
    </w:div>
    <w:div w:id="1401712374">
      <w:bodyDiv w:val="1"/>
      <w:marLeft w:val="0"/>
      <w:marRight w:val="0"/>
      <w:marTop w:val="0"/>
      <w:marBottom w:val="0"/>
      <w:divBdr>
        <w:top w:val="none" w:sz="0" w:space="0" w:color="auto"/>
        <w:left w:val="none" w:sz="0" w:space="0" w:color="auto"/>
        <w:bottom w:val="none" w:sz="0" w:space="0" w:color="auto"/>
        <w:right w:val="none" w:sz="0" w:space="0" w:color="auto"/>
      </w:divBdr>
    </w:div>
    <w:div w:id="1412123223">
      <w:bodyDiv w:val="1"/>
      <w:marLeft w:val="0"/>
      <w:marRight w:val="0"/>
      <w:marTop w:val="0"/>
      <w:marBottom w:val="0"/>
      <w:divBdr>
        <w:top w:val="none" w:sz="0" w:space="0" w:color="auto"/>
        <w:left w:val="none" w:sz="0" w:space="0" w:color="auto"/>
        <w:bottom w:val="none" w:sz="0" w:space="0" w:color="auto"/>
        <w:right w:val="none" w:sz="0" w:space="0" w:color="auto"/>
      </w:divBdr>
    </w:div>
    <w:div w:id="1416854685">
      <w:bodyDiv w:val="1"/>
      <w:marLeft w:val="0"/>
      <w:marRight w:val="0"/>
      <w:marTop w:val="0"/>
      <w:marBottom w:val="0"/>
      <w:divBdr>
        <w:top w:val="none" w:sz="0" w:space="0" w:color="auto"/>
        <w:left w:val="none" w:sz="0" w:space="0" w:color="auto"/>
        <w:bottom w:val="none" w:sz="0" w:space="0" w:color="auto"/>
        <w:right w:val="none" w:sz="0" w:space="0" w:color="auto"/>
      </w:divBdr>
    </w:div>
    <w:div w:id="1417288193">
      <w:bodyDiv w:val="1"/>
      <w:marLeft w:val="0"/>
      <w:marRight w:val="0"/>
      <w:marTop w:val="0"/>
      <w:marBottom w:val="0"/>
      <w:divBdr>
        <w:top w:val="none" w:sz="0" w:space="0" w:color="auto"/>
        <w:left w:val="none" w:sz="0" w:space="0" w:color="auto"/>
        <w:bottom w:val="none" w:sz="0" w:space="0" w:color="auto"/>
        <w:right w:val="none" w:sz="0" w:space="0" w:color="auto"/>
      </w:divBdr>
    </w:div>
    <w:div w:id="1429275717">
      <w:bodyDiv w:val="1"/>
      <w:marLeft w:val="0"/>
      <w:marRight w:val="0"/>
      <w:marTop w:val="0"/>
      <w:marBottom w:val="0"/>
      <w:divBdr>
        <w:top w:val="none" w:sz="0" w:space="0" w:color="auto"/>
        <w:left w:val="none" w:sz="0" w:space="0" w:color="auto"/>
        <w:bottom w:val="none" w:sz="0" w:space="0" w:color="auto"/>
        <w:right w:val="none" w:sz="0" w:space="0" w:color="auto"/>
      </w:divBdr>
    </w:div>
    <w:div w:id="1438863452">
      <w:bodyDiv w:val="1"/>
      <w:marLeft w:val="0"/>
      <w:marRight w:val="0"/>
      <w:marTop w:val="0"/>
      <w:marBottom w:val="0"/>
      <w:divBdr>
        <w:top w:val="none" w:sz="0" w:space="0" w:color="auto"/>
        <w:left w:val="none" w:sz="0" w:space="0" w:color="auto"/>
        <w:bottom w:val="none" w:sz="0" w:space="0" w:color="auto"/>
        <w:right w:val="none" w:sz="0" w:space="0" w:color="auto"/>
      </w:divBdr>
    </w:div>
    <w:div w:id="1447850043">
      <w:bodyDiv w:val="1"/>
      <w:marLeft w:val="0"/>
      <w:marRight w:val="0"/>
      <w:marTop w:val="0"/>
      <w:marBottom w:val="0"/>
      <w:divBdr>
        <w:top w:val="none" w:sz="0" w:space="0" w:color="auto"/>
        <w:left w:val="none" w:sz="0" w:space="0" w:color="auto"/>
        <w:bottom w:val="none" w:sz="0" w:space="0" w:color="auto"/>
        <w:right w:val="none" w:sz="0" w:space="0" w:color="auto"/>
      </w:divBdr>
    </w:div>
    <w:div w:id="1447963348">
      <w:bodyDiv w:val="1"/>
      <w:marLeft w:val="0"/>
      <w:marRight w:val="0"/>
      <w:marTop w:val="0"/>
      <w:marBottom w:val="0"/>
      <w:divBdr>
        <w:top w:val="none" w:sz="0" w:space="0" w:color="auto"/>
        <w:left w:val="none" w:sz="0" w:space="0" w:color="auto"/>
        <w:bottom w:val="none" w:sz="0" w:space="0" w:color="auto"/>
        <w:right w:val="none" w:sz="0" w:space="0" w:color="auto"/>
      </w:divBdr>
    </w:div>
    <w:div w:id="1453984016">
      <w:bodyDiv w:val="1"/>
      <w:marLeft w:val="0"/>
      <w:marRight w:val="0"/>
      <w:marTop w:val="0"/>
      <w:marBottom w:val="0"/>
      <w:divBdr>
        <w:top w:val="none" w:sz="0" w:space="0" w:color="auto"/>
        <w:left w:val="none" w:sz="0" w:space="0" w:color="auto"/>
        <w:bottom w:val="none" w:sz="0" w:space="0" w:color="auto"/>
        <w:right w:val="none" w:sz="0" w:space="0" w:color="auto"/>
      </w:divBdr>
    </w:div>
    <w:div w:id="1459690270">
      <w:bodyDiv w:val="1"/>
      <w:marLeft w:val="0"/>
      <w:marRight w:val="0"/>
      <w:marTop w:val="0"/>
      <w:marBottom w:val="0"/>
      <w:divBdr>
        <w:top w:val="none" w:sz="0" w:space="0" w:color="auto"/>
        <w:left w:val="none" w:sz="0" w:space="0" w:color="auto"/>
        <w:bottom w:val="none" w:sz="0" w:space="0" w:color="auto"/>
        <w:right w:val="none" w:sz="0" w:space="0" w:color="auto"/>
      </w:divBdr>
    </w:div>
    <w:div w:id="1462963354">
      <w:bodyDiv w:val="1"/>
      <w:marLeft w:val="0"/>
      <w:marRight w:val="0"/>
      <w:marTop w:val="0"/>
      <w:marBottom w:val="0"/>
      <w:divBdr>
        <w:top w:val="none" w:sz="0" w:space="0" w:color="auto"/>
        <w:left w:val="none" w:sz="0" w:space="0" w:color="auto"/>
        <w:bottom w:val="none" w:sz="0" w:space="0" w:color="auto"/>
        <w:right w:val="none" w:sz="0" w:space="0" w:color="auto"/>
      </w:divBdr>
    </w:div>
    <w:div w:id="1474636178">
      <w:bodyDiv w:val="1"/>
      <w:marLeft w:val="0"/>
      <w:marRight w:val="0"/>
      <w:marTop w:val="0"/>
      <w:marBottom w:val="0"/>
      <w:divBdr>
        <w:top w:val="none" w:sz="0" w:space="0" w:color="auto"/>
        <w:left w:val="none" w:sz="0" w:space="0" w:color="auto"/>
        <w:bottom w:val="none" w:sz="0" w:space="0" w:color="auto"/>
        <w:right w:val="none" w:sz="0" w:space="0" w:color="auto"/>
      </w:divBdr>
      <w:divsChild>
        <w:div w:id="1737899632">
          <w:marLeft w:val="0"/>
          <w:marRight w:val="0"/>
          <w:marTop w:val="0"/>
          <w:marBottom w:val="0"/>
          <w:divBdr>
            <w:top w:val="none" w:sz="0" w:space="0" w:color="auto"/>
            <w:left w:val="none" w:sz="0" w:space="0" w:color="auto"/>
            <w:bottom w:val="none" w:sz="0" w:space="0" w:color="auto"/>
            <w:right w:val="none" w:sz="0" w:space="0" w:color="auto"/>
          </w:divBdr>
          <w:divsChild>
            <w:div w:id="901405795">
              <w:marLeft w:val="0"/>
              <w:marRight w:val="0"/>
              <w:marTop w:val="0"/>
              <w:marBottom w:val="0"/>
              <w:divBdr>
                <w:top w:val="none" w:sz="0" w:space="0" w:color="auto"/>
                <w:left w:val="none" w:sz="0" w:space="0" w:color="auto"/>
                <w:bottom w:val="none" w:sz="0" w:space="0" w:color="auto"/>
                <w:right w:val="none" w:sz="0" w:space="0" w:color="auto"/>
              </w:divBdr>
              <w:divsChild>
                <w:div w:id="894391747">
                  <w:marLeft w:val="0"/>
                  <w:marRight w:val="0"/>
                  <w:marTop w:val="0"/>
                  <w:marBottom w:val="0"/>
                  <w:divBdr>
                    <w:top w:val="none" w:sz="0" w:space="0" w:color="auto"/>
                    <w:left w:val="none" w:sz="0" w:space="0" w:color="auto"/>
                    <w:bottom w:val="none" w:sz="0" w:space="0" w:color="auto"/>
                    <w:right w:val="none" w:sz="0" w:space="0" w:color="auto"/>
                  </w:divBdr>
                  <w:divsChild>
                    <w:div w:id="2035768535">
                      <w:marLeft w:val="0"/>
                      <w:marRight w:val="0"/>
                      <w:marTop w:val="0"/>
                      <w:marBottom w:val="0"/>
                      <w:divBdr>
                        <w:top w:val="none" w:sz="0" w:space="0" w:color="auto"/>
                        <w:left w:val="none" w:sz="0" w:space="0" w:color="auto"/>
                        <w:bottom w:val="none" w:sz="0" w:space="0" w:color="auto"/>
                        <w:right w:val="none" w:sz="0" w:space="0" w:color="auto"/>
                      </w:divBdr>
                      <w:divsChild>
                        <w:div w:id="1394231548">
                          <w:marLeft w:val="0"/>
                          <w:marRight w:val="0"/>
                          <w:marTop w:val="0"/>
                          <w:marBottom w:val="0"/>
                          <w:divBdr>
                            <w:top w:val="none" w:sz="0" w:space="0" w:color="auto"/>
                            <w:left w:val="none" w:sz="0" w:space="0" w:color="auto"/>
                            <w:bottom w:val="none" w:sz="0" w:space="0" w:color="auto"/>
                            <w:right w:val="none" w:sz="0" w:space="0" w:color="auto"/>
                          </w:divBdr>
                          <w:divsChild>
                            <w:div w:id="1015762898">
                              <w:marLeft w:val="0"/>
                              <w:marRight w:val="0"/>
                              <w:marTop w:val="0"/>
                              <w:marBottom w:val="0"/>
                              <w:divBdr>
                                <w:top w:val="none" w:sz="0" w:space="0" w:color="auto"/>
                                <w:left w:val="none" w:sz="0" w:space="0" w:color="auto"/>
                                <w:bottom w:val="none" w:sz="0" w:space="0" w:color="auto"/>
                                <w:right w:val="none" w:sz="0" w:space="0" w:color="auto"/>
                              </w:divBdr>
                              <w:divsChild>
                                <w:div w:id="34721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7456440">
      <w:bodyDiv w:val="1"/>
      <w:marLeft w:val="0"/>
      <w:marRight w:val="0"/>
      <w:marTop w:val="0"/>
      <w:marBottom w:val="0"/>
      <w:divBdr>
        <w:top w:val="none" w:sz="0" w:space="0" w:color="auto"/>
        <w:left w:val="none" w:sz="0" w:space="0" w:color="auto"/>
        <w:bottom w:val="none" w:sz="0" w:space="0" w:color="auto"/>
        <w:right w:val="none" w:sz="0" w:space="0" w:color="auto"/>
      </w:divBdr>
    </w:div>
    <w:div w:id="1477606359">
      <w:bodyDiv w:val="1"/>
      <w:marLeft w:val="0"/>
      <w:marRight w:val="0"/>
      <w:marTop w:val="0"/>
      <w:marBottom w:val="0"/>
      <w:divBdr>
        <w:top w:val="none" w:sz="0" w:space="0" w:color="auto"/>
        <w:left w:val="none" w:sz="0" w:space="0" w:color="auto"/>
        <w:bottom w:val="none" w:sz="0" w:space="0" w:color="auto"/>
        <w:right w:val="none" w:sz="0" w:space="0" w:color="auto"/>
      </w:divBdr>
    </w:div>
    <w:div w:id="1480532522">
      <w:bodyDiv w:val="1"/>
      <w:marLeft w:val="0"/>
      <w:marRight w:val="0"/>
      <w:marTop w:val="0"/>
      <w:marBottom w:val="0"/>
      <w:divBdr>
        <w:top w:val="none" w:sz="0" w:space="0" w:color="auto"/>
        <w:left w:val="none" w:sz="0" w:space="0" w:color="auto"/>
        <w:bottom w:val="none" w:sz="0" w:space="0" w:color="auto"/>
        <w:right w:val="none" w:sz="0" w:space="0" w:color="auto"/>
      </w:divBdr>
    </w:div>
    <w:div w:id="1547836411">
      <w:bodyDiv w:val="1"/>
      <w:marLeft w:val="0"/>
      <w:marRight w:val="0"/>
      <w:marTop w:val="0"/>
      <w:marBottom w:val="0"/>
      <w:divBdr>
        <w:top w:val="none" w:sz="0" w:space="0" w:color="auto"/>
        <w:left w:val="none" w:sz="0" w:space="0" w:color="auto"/>
        <w:bottom w:val="none" w:sz="0" w:space="0" w:color="auto"/>
        <w:right w:val="none" w:sz="0" w:space="0" w:color="auto"/>
      </w:divBdr>
    </w:div>
    <w:div w:id="1559246728">
      <w:bodyDiv w:val="1"/>
      <w:marLeft w:val="0"/>
      <w:marRight w:val="0"/>
      <w:marTop w:val="0"/>
      <w:marBottom w:val="0"/>
      <w:divBdr>
        <w:top w:val="none" w:sz="0" w:space="0" w:color="auto"/>
        <w:left w:val="none" w:sz="0" w:space="0" w:color="auto"/>
        <w:bottom w:val="none" w:sz="0" w:space="0" w:color="auto"/>
        <w:right w:val="none" w:sz="0" w:space="0" w:color="auto"/>
      </w:divBdr>
    </w:div>
    <w:div w:id="1564371960">
      <w:bodyDiv w:val="1"/>
      <w:marLeft w:val="0"/>
      <w:marRight w:val="0"/>
      <w:marTop w:val="0"/>
      <w:marBottom w:val="0"/>
      <w:divBdr>
        <w:top w:val="none" w:sz="0" w:space="0" w:color="auto"/>
        <w:left w:val="none" w:sz="0" w:space="0" w:color="auto"/>
        <w:bottom w:val="none" w:sz="0" w:space="0" w:color="auto"/>
        <w:right w:val="none" w:sz="0" w:space="0" w:color="auto"/>
      </w:divBdr>
    </w:div>
    <w:div w:id="1602032331">
      <w:bodyDiv w:val="1"/>
      <w:marLeft w:val="0"/>
      <w:marRight w:val="0"/>
      <w:marTop w:val="0"/>
      <w:marBottom w:val="0"/>
      <w:divBdr>
        <w:top w:val="none" w:sz="0" w:space="0" w:color="auto"/>
        <w:left w:val="none" w:sz="0" w:space="0" w:color="auto"/>
        <w:bottom w:val="none" w:sz="0" w:space="0" w:color="auto"/>
        <w:right w:val="none" w:sz="0" w:space="0" w:color="auto"/>
      </w:divBdr>
    </w:div>
    <w:div w:id="1612126363">
      <w:bodyDiv w:val="1"/>
      <w:marLeft w:val="0"/>
      <w:marRight w:val="0"/>
      <w:marTop w:val="0"/>
      <w:marBottom w:val="0"/>
      <w:divBdr>
        <w:top w:val="none" w:sz="0" w:space="0" w:color="auto"/>
        <w:left w:val="none" w:sz="0" w:space="0" w:color="auto"/>
        <w:bottom w:val="none" w:sz="0" w:space="0" w:color="auto"/>
        <w:right w:val="none" w:sz="0" w:space="0" w:color="auto"/>
      </w:divBdr>
    </w:div>
    <w:div w:id="1632859609">
      <w:bodyDiv w:val="1"/>
      <w:marLeft w:val="0"/>
      <w:marRight w:val="0"/>
      <w:marTop w:val="0"/>
      <w:marBottom w:val="0"/>
      <w:divBdr>
        <w:top w:val="none" w:sz="0" w:space="0" w:color="auto"/>
        <w:left w:val="none" w:sz="0" w:space="0" w:color="auto"/>
        <w:bottom w:val="none" w:sz="0" w:space="0" w:color="auto"/>
        <w:right w:val="none" w:sz="0" w:space="0" w:color="auto"/>
      </w:divBdr>
    </w:div>
    <w:div w:id="1639993063">
      <w:bodyDiv w:val="1"/>
      <w:marLeft w:val="0"/>
      <w:marRight w:val="0"/>
      <w:marTop w:val="0"/>
      <w:marBottom w:val="0"/>
      <w:divBdr>
        <w:top w:val="none" w:sz="0" w:space="0" w:color="auto"/>
        <w:left w:val="none" w:sz="0" w:space="0" w:color="auto"/>
        <w:bottom w:val="none" w:sz="0" w:space="0" w:color="auto"/>
        <w:right w:val="none" w:sz="0" w:space="0" w:color="auto"/>
      </w:divBdr>
    </w:div>
    <w:div w:id="1648314460">
      <w:bodyDiv w:val="1"/>
      <w:marLeft w:val="0"/>
      <w:marRight w:val="0"/>
      <w:marTop w:val="0"/>
      <w:marBottom w:val="0"/>
      <w:divBdr>
        <w:top w:val="none" w:sz="0" w:space="0" w:color="auto"/>
        <w:left w:val="none" w:sz="0" w:space="0" w:color="auto"/>
        <w:bottom w:val="none" w:sz="0" w:space="0" w:color="auto"/>
        <w:right w:val="none" w:sz="0" w:space="0" w:color="auto"/>
      </w:divBdr>
    </w:div>
    <w:div w:id="1653636346">
      <w:bodyDiv w:val="1"/>
      <w:marLeft w:val="0"/>
      <w:marRight w:val="0"/>
      <w:marTop w:val="0"/>
      <w:marBottom w:val="0"/>
      <w:divBdr>
        <w:top w:val="none" w:sz="0" w:space="0" w:color="auto"/>
        <w:left w:val="none" w:sz="0" w:space="0" w:color="auto"/>
        <w:bottom w:val="none" w:sz="0" w:space="0" w:color="auto"/>
        <w:right w:val="none" w:sz="0" w:space="0" w:color="auto"/>
      </w:divBdr>
    </w:div>
    <w:div w:id="1656375192">
      <w:bodyDiv w:val="1"/>
      <w:marLeft w:val="0"/>
      <w:marRight w:val="0"/>
      <w:marTop w:val="0"/>
      <w:marBottom w:val="0"/>
      <w:divBdr>
        <w:top w:val="none" w:sz="0" w:space="0" w:color="auto"/>
        <w:left w:val="none" w:sz="0" w:space="0" w:color="auto"/>
        <w:bottom w:val="none" w:sz="0" w:space="0" w:color="auto"/>
        <w:right w:val="none" w:sz="0" w:space="0" w:color="auto"/>
      </w:divBdr>
    </w:div>
    <w:div w:id="1685786982">
      <w:bodyDiv w:val="1"/>
      <w:marLeft w:val="0"/>
      <w:marRight w:val="0"/>
      <w:marTop w:val="0"/>
      <w:marBottom w:val="0"/>
      <w:divBdr>
        <w:top w:val="none" w:sz="0" w:space="0" w:color="auto"/>
        <w:left w:val="none" w:sz="0" w:space="0" w:color="auto"/>
        <w:bottom w:val="none" w:sz="0" w:space="0" w:color="auto"/>
        <w:right w:val="none" w:sz="0" w:space="0" w:color="auto"/>
      </w:divBdr>
      <w:divsChild>
        <w:div w:id="1178079079">
          <w:marLeft w:val="0"/>
          <w:marRight w:val="0"/>
          <w:marTop w:val="0"/>
          <w:marBottom w:val="0"/>
          <w:divBdr>
            <w:top w:val="none" w:sz="0" w:space="0" w:color="auto"/>
            <w:left w:val="none" w:sz="0" w:space="0" w:color="auto"/>
            <w:bottom w:val="none" w:sz="0" w:space="0" w:color="auto"/>
            <w:right w:val="none" w:sz="0" w:space="0" w:color="auto"/>
          </w:divBdr>
        </w:div>
        <w:div w:id="2113355308">
          <w:marLeft w:val="0"/>
          <w:marRight w:val="0"/>
          <w:marTop w:val="0"/>
          <w:marBottom w:val="0"/>
          <w:divBdr>
            <w:top w:val="none" w:sz="0" w:space="0" w:color="auto"/>
            <w:left w:val="none" w:sz="0" w:space="0" w:color="auto"/>
            <w:bottom w:val="none" w:sz="0" w:space="0" w:color="auto"/>
            <w:right w:val="none" w:sz="0" w:space="0" w:color="auto"/>
          </w:divBdr>
        </w:div>
      </w:divsChild>
    </w:div>
    <w:div w:id="1727800924">
      <w:bodyDiv w:val="1"/>
      <w:marLeft w:val="0"/>
      <w:marRight w:val="0"/>
      <w:marTop w:val="0"/>
      <w:marBottom w:val="0"/>
      <w:divBdr>
        <w:top w:val="none" w:sz="0" w:space="0" w:color="auto"/>
        <w:left w:val="none" w:sz="0" w:space="0" w:color="auto"/>
        <w:bottom w:val="none" w:sz="0" w:space="0" w:color="auto"/>
        <w:right w:val="none" w:sz="0" w:space="0" w:color="auto"/>
      </w:divBdr>
    </w:div>
    <w:div w:id="1729838839">
      <w:bodyDiv w:val="1"/>
      <w:marLeft w:val="0"/>
      <w:marRight w:val="0"/>
      <w:marTop w:val="0"/>
      <w:marBottom w:val="0"/>
      <w:divBdr>
        <w:top w:val="none" w:sz="0" w:space="0" w:color="auto"/>
        <w:left w:val="none" w:sz="0" w:space="0" w:color="auto"/>
        <w:bottom w:val="none" w:sz="0" w:space="0" w:color="auto"/>
        <w:right w:val="none" w:sz="0" w:space="0" w:color="auto"/>
      </w:divBdr>
    </w:div>
    <w:div w:id="1761217604">
      <w:bodyDiv w:val="1"/>
      <w:marLeft w:val="0"/>
      <w:marRight w:val="0"/>
      <w:marTop w:val="0"/>
      <w:marBottom w:val="0"/>
      <w:divBdr>
        <w:top w:val="none" w:sz="0" w:space="0" w:color="auto"/>
        <w:left w:val="none" w:sz="0" w:space="0" w:color="auto"/>
        <w:bottom w:val="none" w:sz="0" w:space="0" w:color="auto"/>
        <w:right w:val="none" w:sz="0" w:space="0" w:color="auto"/>
      </w:divBdr>
    </w:div>
    <w:div w:id="1775129472">
      <w:bodyDiv w:val="1"/>
      <w:marLeft w:val="0"/>
      <w:marRight w:val="0"/>
      <w:marTop w:val="0"/>
      <w:marBottom w:val="0"/>
      <w:divBdr>
        <w:top w:val="none" w:sz="0" w:space="0" w:color="auto"/>
        <w:left w:val="none" w:sz="0" w:space="0" w:color="auto"/>
        <w:bottom w:val="none" w:sz="0" w:space="0" w:color="auto"/>
        <w:right w:val="none" w:sz="0" w:space="0" w:color="auto"/>
      </w:divBdr>
    </w:div>
    <w:div w:id="1794015066">
      <w:bodyDiv w:val="1"/>
      <w:marLeft w:val="0"/>
      <w:marRight w:val="0"/>
      <w:marTop w:val="0"/>
      <w:marBottom w:val="0"/>
      <w:divBdr>
        <w:top w:val="none" w:sz="0" w:space="0" w:color="auto"/>
        <w:left w:val="none" w:sz="0" w:space="0" w:color="auto"/>
        <w:bottom w:val="none" w:sz="0" w:space="0" w:color="auto"/>
        <w:right w:val="none" w:sz="0" w:space="0" w:color="auto"/>
      </w:divBdr>
    </w:div>
    <w:div w:id="1801260063">
      <w:bodyDiv w:val="1"/>
      <w:marLeft w:val="0"/>
      <w:marRight w:val="0"/>
      <w:marTop w:val="0"/>
      <w:marBottom w:val="0"/>
      <w:divBdr>
        <w:top w:val="none" w:sz="0" w:space="0" w:color="auto"/>
        <w:left w:val="none" w:sz="0" w:space="0" w:color="auto"/>
        <w:bottom w:val="none" w:sz="0" w:space="0" w:color="auto"/>
        <w:right w:val="none" w:sz="0" w:space="0" w:color="auto"/>
      </w:divBdr>
    </w:div>
    <w:div w:id="1808089088">
      <w:bodyDiv w:val="1"/>
      <w:marLeft w:val="0"/>
      <w:marRight w:val="0"/>
      <w:marTop w:val="0"/>
      <w:marBottom w:val="0"/>
      <w:divBdr>
        <w:top w:val="none" w:sz="0" w:space="0" w:color="auto"/>
        <w:left w:val="none" w:sz="0" w:space="0" w:color="auto"/>
        <w:bottom w:val="none" w:sz="0" w:space="0" w:color="auto"/>
        <w:right w:val="none" w:sz="0" w:space="0" w:color="auto"/>
      </w:divBdr>
    </w:div>
    <w:div w:id="1867406613">
      <w:bodyDiv w:val="1"/>
      <w:marLeft w:val="0"/>
      <w:marRight w:val="0"/>
      <w:marTop w:val="0"/>
      <w:marBottom w:val="0"/>
      <w:divBdr>
        <w:top w:val="none" w:sz="0" w:space="0" w:color="auto"/>
        <w:left w:val="none" w:sz="0" w:space="0" w:color="auto"/>
        <w:bottom w:val="none" w:sz="0" w:space="0" w:color="auto"/>
        <w:right w:val="none" w:sz="0" w:space="0" w:color="auto"/>
      </w:divBdr>
    </w:div>
    <w:div w:id="1873105440">
      <w:bodyDiv w:val="1"/>
      <w:marLeft w:val="0"/>
      <w:marRight w:val="0"/>
      <w:marTop w:val="0"/>
      <w:marBottom w:val="0"/>
      <w:divBdr>
        <w:top w:val="none" w:sz="0" w:space="0" w:color="auto"/>
        <w:left w:val="none" w:sz="0" w:space="0" w:color="auto"/>
        <w:bottom w:val="none" w:sz="0" w:space="0" w:color="auto"/>
        <w:right w:val="none" w:sz="0" w:space="0" w:color="auto"/>
      </w:divBdr>
    </w:div>
    <w:div w:id="1875775601">
      <w:bodyDiv w:val="1"/>
      <w:marLeft w:val="0"/>
      <w:marRight w:val="0"/>
      <w:marTop w:val="0"/>
      <w:marBottom w:val="0"/>
      <w:divBdr>
        <w:top w:val="none" w:sz="0" w:space="0" w:color="auto"/>
        <w:left w:val="none" w:sz="0" w:space="0" w:color="auto"/>
        <w:bottom w:val="none" w:sz="0" w:space="0" w:color="auto"/>
        <w:right w:val="none" w:sz="0" w:space="0" w:color="auto"/>
      </w:divBdr>
    </w:div>
    <w:div w:id="1902518388">
      <w:bodyDiv w:val="1"/>
      <w:marLeft w:val="0"/>
      <w:marRight w:val="0"/>
      <w:marTop w:val="0"/>
      <w:marBottom w:val="0"/>
      <w:divBdr>
        <w:top w:val="none" w:sz="0" w:space="0" w:color="auto"/>
        <w:left w:val="none" w:sz="0" w:space="0" w:color="auto"/>
        <w:bottom w:val="none" w:sz="0" w:space="0" w:color="auto"/>
        <w:right w:val="none" w:sz="0" w:space="0" w:color="auto"/>
      </w:divBdr>
    </w:div>
    <w:div w:id="1902982445">
      <w:bodyDiv w:val="1"/>
      <w:marLeft w:val="0"/>
      <w:marRight w:val="0"/>
      <w:marTop w:val="0"/>
      <w:marBottom w:val="0"/>
      <w:divBdr>
        <w:top w:val="none" w:sz="0" w:space="0" w:color="auto"/>
        <w:left w:val="none" w:sz="0" w:space="0" w:color="auto"/>
        <w:bottom w:val="none" w:sz="0" w:space="0" w:color="auto"/>
        <w:right w:val="none" w:sz="0" w:space="0" w:color="auto"/>
      </w:divBdr>
    </w:div>
    <w:div w:id="1921524369">
      <w:bodyDiv w:val="1"/>
      <w:marLeft w:val="0"/>
      <w:marRight w:val="0"/>
      <w:marTop w:val="0"/>
      <w:marBottom w:val="0"/>
      <w:divBdr>
        <w:top w:val="none" w:sz="0" w:space="0" w:color="auto"/>
        <w:left w:val="none" w:sz="0" w:space="0" w:color="auto"/>
        <w:bottom w:val="none" w:sz="0" w:space="0" w:color="auto"/>
        <w:right w:val="none" w:sz="0" w:space="0" w:color="auto"/>
      </w:divBdr>
      <w:divsChild>
        <w:div w:id="34431623">
          <w:marLeft w:val="0"/>
          <w:marRight w:val="0"/>
          <w:marTop w:val="0"/>
          <w:marBottom w:val="0"/>
          <w:divBdr>
            <w:top w:val="none" w:sz="0" w:space="0" w:color="auto"/>
            <w:left w:val="none" w:sz="0" w:space="0" w:color="auto"/>
            <w:bottom w:val="none" w:sz="0" w:space="0" w:color="auto"/>
            <w:right w:val="none" w:sz="0" w:space="0" w:color="auto"/>
          </w:divBdr>
        </w:div>
        <w:div w:id="210389367">
          <w:marLeft w:val="0"/>
          <w:marRight w:val="0"/>
          <w:marTop w:val="0"/>
          <w:marBottom w:val="0"/>
          <w:divBdr>
            <w:top w:val="none" w:sz="0" w:space="0" w:color="auto"/>
            <w:left w:val="none" w:sz="0" w:space="0" w:color="auto"/>
            <w:bottom w:val="none" w:sz="0" w:space="0" w:color="auto"/>
            <w:right w:val="none" w:sz="0" w:space="0" w:color="auto"/>
          </w:divBdr>
        </w:div>
      </w:divsChild>
    </w:div>
    <w:div w:id="1922250788">
      <w:bodyDiv w:val="1"/>
      <w:marLeft w:val="0"/>
      <w:marRight w:val="0"/>
      <w:marTop w:val="0"/>
      <w:marBottom w:val="0"/>
      <w:divBdr>
        <w:top w:val="none" w:sz="0" w:space="0" w:color="auto"/>
        <w:left w:val="none" w:sz="0" w:space="0" w:color="auto"/>
        <w:bottom w:val="none" w:sz="0" w:space="0" w:color="auto"/>
        <w:right w:val="none" w:sz="0" w:space="0" w:color="auto"/>
      </w:divBdr>
    </w:div>
    <w:div w:id="1940065125">
      <w:bodyDiv w:val="1"/>
      <w:marLeft w:val="0"/>
      <w:marRight w:val="0"/>
      <w:marTop w:val="0"/>
      <w:marBottom w:val="0"/>
      <w:divBdr>
        <w:top w:val="none" w:sz="0" w:space="0" w:color="auto"/>
        <w:left w:val="none" w:sz="0" w:space="0" w:color="auto"/>
        <w:bottom w:val="none" w:sz="0" w:space="0" w:color="auto"/>
        <w:right w:val="none" w:sz="0" w:space="0" w:color="auto"/>
      </w:divBdr>
    </w:div>
    <w:div w:id="1983193450">
      <w:bodyDiv w:val="1"/>
      <w:marLeft w:val="0"/>
      <w:marRight w:val="0"/>
      <w:marTop w:val="0"/>
      <w:marBottom w:val="0"/>
      <w:divBdr>
        <w:top w:val="none" w:sz="0" w:space="0" w:color="auto"/>
        <w:left w:val="none" w:sz="0" w:space="0" w:color="auto"/>
        <w:bottom w:val="none" w:sz="0" w:space="0" w:color="auto"/>
        <w:right w:val="none" w:sz="0" w:space="0" w:color="auto"/>
      </w:divBdr>
    </w:div>
    <w:div w:id="1998192734">
      <w:bodyDiv w:val="1"/>
      <w:marLeft w:val="0"/>
      <w:marRight w:val="0"/>
      <w:marTop w:val="0"/>
      <w:marBottom w:val="0"/>
      <w:divBdr>
        <w:top w:val="none" w:sz="0" w:space="0" w:color="auto"/>
        <w:left w:val="none" w:sz="0" w:space="0" w:color="auto"/>
        <w:bottom w:val="none" w:sz="0" w:space="0" w:color="auto"/>
        <w:right w:val="none" w:sz="0" w:space="0" w:color="auto"/>
      </w:divBdr>
    </w:div>
    <w:div w:id="2007394683">
      <w:bodyDiv w:val="1"/>
      <w:marLeft w:val="0"/>
      <w:marRight w:val="0"/>
      <w:marTop w:val="0"/>
      <w:marBottom w:val="0"/>
      <w:divBdr>
        <w:top w:val="none" w:sz="0" w:space="0" w:color="auto"/>
        <w:left w:val="none" w:sz="0" w:space="0" w:color="auto"/>
        <w:bottom w:val="none" w:sz="0" w:space="0" w:color="auto"/>
        <w:right w:val="none" w:sz="0" w:space="0" w:color="auto"/>
      </w:divBdr>
    </w:div>
    <w:div w:id="2039355573">
      <w:bodyDiv w:val="1"/>
      <w:marLeft w:val="0"/>
      <w:marRight w:val="0"/>
      <w:marTop w:val="0"/>
      <w:marBottom w:val="0"/>
      <w:divBdr>
        <w:top w:val="none" w:sz="0" w:space="0" w:color="auto"/>
        <w:left w:val="none" w:sz="0" w:space="0" w:color="auto"/>
        <w:bottom w:val="none" w:sz="0" w:space="0" w:color="auto"/>
        <w:right w:val="none" w:sz="0" w:space="0" w:color="auto"/>
      </w:divBdr>
    </w:div>
    <w:div w:id="2045405340">
      <w:bodyDiv w:val="1"/>
      <w:marLeft w:val="0"/>
      <w:marRight w:val="0"/>
      <w:marTop w:val="0"/>
      <w:marBottom w:val="0"/>
      <w:divBdr>
        <w:top w:val="none" w:sz="0" w:space="0" w:color="auto"/>
        <w:left w:val="none" w:sz="0" w:space="0" w:color="auto"/>
        <w:bottom w:val="none" w:sz="0" w:space="0" w:color="auto"/>
        <w:right w:val="none" w:sz="0" w:space="0" w:color="auto"/>
      </w:divBdr>
    </w:div>
    <w:div w:id="2056154781">
      <w:bodyDiv w:val="1"/>
      <w:marLeft w:val="0"/>
      <w:marRight w:val="0"/>
      <w:marTop w:val="0"/>
      <w:marBottom w:val="0"/>
      <w:divBdr>
        <w:top w:val="none" w:sz="0" w:space="0" w:color="auto"/>
        <w:left w:val="none" w:sz="0" w:space="0" w:color="auto"/>
        <w:bottom w:val="none" w:sz="0" w:space="0" w:color="auto"/>
        <w:right w:val="none" w:sz="0" w:space="0" w:color="auto"/>
      </w:divBdr>
    </w:div>
    <w:div w:id="2058316919">
      <w:bodyDiv w:val="1"/>
      <w:marLeft w:val="0"/>
      <w:marRight w:val="0"/>
      <w:marTop w:val="0"/>
      <w:marBottom w:val="0"/>
      <w:divBdr>
        <w:top w:val="none" w:sz="0" w:space="0" w:color="auto"/>
        <w:left w:val="none" w:sz="0" w:space="0" w:color="auto"/>
        <w:bottom w:val="none" w:sz="0" w:space="0" w:color="auto"/>
        <w:right w:val="none" w:sz="0" w:space="0" w:color="auto"/>
      </w:divBdr>
    </w:div>
    <w:div w:id="2065059325">
      <w:bodyDiv w:val="1"/>
      <w:marLeft w:val="0"/>
      <w:marRight w:val="0"/>
      <w:marTop w:val="0"/>
      <w:marBottom w:val="0"/>
      <w:divBdr>
        <w:top w:val="none" w:sz="0" w:space="0" w:color="auto"/>
        <w:left w:val="none" w:sz="0" w:space="0" w:color="auto"/>
        <w:bottom w:val="none" w:sz="0" w:space="0" w:color="auto"/>
        <w:right w:val="none" w:sz="0" w:space="0" w:color="auto"/>
      </w:divBdr>
    </w:div>
    <w:div w:id="2077511870">
      <w:bodyDiv w:val="1"/>
      <w:marLeft w:val="0"/>
      <w:marRight w:val="0"/>
      <w:marTop w:val="0"/>
      <w:marBottom w:val="0"/>
      <w:divBdr>
        <w:top w:val="none" w:sz="0" w:space="0" w:color="auto"/>
        <w:left w:val="none" w:sz="0" w:space="0" w:color="auto"/>
        <w:bottom w:val="none" w:sz="0" w:space="0" w:color="auto"/>
        <w:right w:val="none" w:sz="0" w:space="0" w:color="auto"/>
      </w:divBdr>
    </w:div>
    <w:div w:id="2095738533">
      <w:bodyDiv w:val="1"/>
      <w:marLeft w:val="0"/>
      <w:marRight w:val="0"/>
      <w:marTop w:val="0"/>
      <w:marBottom w:val="0"/>
      <w:divBdr>
        <w:top w:val="none" w:sz="0" w:space="0" w:color="auto"/>
        <w:left w:val="none" w:sz="0" w:space="0" w:color="auto"/>
        <w:bottom w:val="none" w:sz="0" w:space="0" w:color="auto"/>
        <w:right w:val="none" w:sz="0" w:space="0" w:color="auto"/>
      </w:divBdr>
    </w:div>
    <w:div w:id="2129161844">
      <w:bodyDiv w:val="1"/>
      <w:marLeft w:val="0"/>
      <w:marRight w:val="0"/>
      <w:marTop w:val="0"/>
      <w:marBottom w:val="0"/>
      <w:divBdr>
        <w:top w:val="none" w:sz="0" w:space="0" w:color="auto"/>
        <w:left w:val="none" w:sz="0" w:space="0" w:color="auto"/>
        <w:bottom w:val="none" w:sz="0" w:space="0" w:color="auto"/>
        <w:right w:val="none" w:sz="0" w:space="0" w:color="auto"/>
      </w:divBdr>
    </w:div>
    <w:div w:id="2141916422">
      <w:bodyDiv w:val="1"/>
      <w:marLeft w:val="0"/>
      <w:marRight w:val="0"/>
      <w:marTop w:val="0"/>
      <w:marBottom w:val="0"/>
      <w:divBdr>
        <w:top w:val="none" w:sz="0" w:space="0" w:color="auto"/>
        <w:left w:val="none" w:sz="0" w:space="0" w:color="auto"/>
        <w:bottom w:val="none" w:sz="0" w:space="0" w:color="auto"/>
        <w:right w:val="none" w:sz="0" w:space="0" w:color="auto"/>
      </w:divBdr>
    </w:div>
    <w:div w:id="214403881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8.png"/><Relationship Id="rId68" Type="http://schemas.openxmlformats.org/officeDocument/2006/relationships/image" Target="media/image53.png"/><Relationship Id="rId84" Type="http://schemas.openxmlformats.org/officeDocument/2006/relationships/hyperlink" Target="https://www.aemo.com.au/energy-systems/major-publications/integrated-system-plan-isp" TargetMode="External"/><Relationship Id="rId89" Type="http://schemas.openxmlformats.org/officeDocument/2006/relationships/hyperlink" Target="https://www.csiro.au/en/research/technology-space/energy/electricity-transition/ar-pst" TargetMode="External"/><Relationship Id="rId16" Type="http://schemas.microsoft.com/office/2011/relationships/commentsExtended" Target="commentsExtended.xml"/><Relationship Id="rId11" Type="http://schemas.openxmlformats.org/officeDocument/2006/relationships/image" Target="media/image1.emf"/><Relationship Id="rId32" Type="http://schemas.openxmlformats.org/officeDocument/2006/relationships/image" Target="media/image17.png"/><Relationship Id="rId37" Type="http://schemas.openxmlformats.org/officeDocument/2006/relationships/image" Target="media/image22.pn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image" Target="media/image59.png"/><Relationship Id="rId79" Type="http://schemas.openxmlformats.org/officeDocument/2006/relationships/image" Target="media/image64.png"/><Relationship Id="rId102" Type="http://schemas.microsoft.com/office/2011/relationships/people" Target="people.xml"/><Relationship Id="rId5" Type="http://schemas.openxmlformats.org/officeDocument/2006/relationships/numbering" Target="numbering.xml"/><Relationship Id="rId90" Type="http://schemas.openxmlformats.org/officeDocument/2006/relationships/hyperlink" Target="https://www.csiro.au/-/media/EF/Files/GPST-Roadmap/Topic-9-DER-and-Stability-Final-Report-with-alt-text-2.pdf" TargetMode="External"/><Relationship Id="rId95" Type="http://schemas.openxmlformats.org/officeDocument/2006/relationships/hyperlink" Target="https://csrc.nist.gov/pubs/sp/800/193/final" TargetMode="External"/><Relationship Id="rId22" Type="http://schemas.openxmlformats.org/officeDocument/2006/relationships/image" Target="media/image7.png"/><Relationship Id="rId27" Type="http://schemas.openxmlformats.org/officeDocument/2006/relationships/image" Target="media/image12.png"/><Relationship Id="rId43" Type="http://schemas.openxmlformats.org/officeDocument/2006/relationships/image" Target="media/image28.png"/><Relationship Id="rId48" Type="http://schemas.openxmlformats.org/officeDocument/2006/relationships/image" Target="media/image33.png"/><Relationship Id="rId64" Type="http://schemas.openxmlformats.org/officeDocument/2006/relationships/image" Target="media/image49.png"/><Relationship Id="rId69" Type="http://schemas.openxmlformats.org/officeDocument/2006/relationships/image" Target="media/image54.png"/><Relationship Id="rId80" Type="http://schemas.openxmlformats.org/officeDocument/2006/relationships/image" Target="media/image65.png"/><Relationship Id="rId85" Type="http://schemas.openxmlformats.org/officeDocument/2006/relationships/hyperlink" Target="https://www.aemo.com.au/-/media/files/initiatives/engineering-framework/2023/enx---ev-technical-standards-for-grid-operation---insights-for-the-nem.pdf" TargetMode="External"/><Relationship Id="rId12" Type="http://schemas.openxmlformats.org/officeDocument/2006/relationships/image" Target="media/image2.png"/><Relationship Id="rId17" Type="http://schemas.microsoft.com/office/2016/09/relationships/commentsIds" Target="commentsIds.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image" Target="media/image52.png"/><Relationship Id="rId103" Type="http://schemas.openxmlformats.org/officeDocument/2006/relationships/theme" Target="theme/theme1.xml"/><Relationship Id="rId20" Type="http://schemas.openxmlformats.org/officeDocument/2006/relationships/image" Target="media/image5.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image" Target="media/image55.png"/><Relationship Id="rId75" Type="http://schemas.openxmlformats.org/officeDocument/2006/relationships/image" Target="media/image60.png"/><Relationship Id="rId83" Type="http://schemas.openxmlformats.org/officeDocument/2006/relationships/hyperlink" Target="https://csiroau.sharepoint.com/:b:/r/sites/CSIROG-PSTCoordinationStage52-Topic-9a-PowerSystemCybersecurity/Shared%20Documents/Topic-9-2-PowerSystemCybersecurity/Deliverables/Phase%202%20-%20PR1%20-%20EVSE%20Cosimulation%20Platform%20Development%20V1.51_Final.pdf?csf=1&amp;web=1&amp;e=wTMPoP&amp;isSPOFile=1&amp;xsdata=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%3D&amp;sdata=VGI3R2ptZ09PdXJUTUZMMTBQcTU0a202RHlmRDBTWUU3dUdCQ1BVYk9LZz0%3D&amp;ovuser=0fe05593-19ac-4f98-adbf-0375fce7f160%2Ca.mohsin%40ecu.edu.au" TargetMode="External"/><Relationship Id="rId88" Type="http://schemas.openxmlformats.org/officeDocument/2006/relationships/hyperlink" Target="https://www.enisa.europa.eu/publications/threat-landscape-for-supply-chain-attacks" TargetMode="External"/><Relationship Id="rId91" Type="http://schemas.openxmlformats.org/officeDocument/2006/relationships/hyperlink" Target="https://fleetevnews.com.au/australias-charging-network-expands-rapidly-exclusive-data-reveals-8-5-growth-in-q2-2025/" TargetMode="External"/><Relationship Id="rId96" Type="http://schemas.openxmlformats.org/officeDocument/2006/relationships/hyperlink" Target="https://www.ejbca.org/download/"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omments" Target="comments.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endnotes" Target="endnotes.xm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8.png"/><Relationship Id="rId78" Type="http://schemas.openxmlformats.org/officeDocument/2006/relationships/image" Target="media/image63.png"/><Relationship Id="rId81" Type="http://schemas.openxmlformats.org/officeDocument/2006/relationships/hyperlink" Target="https://csiroau.sharepoint.com/:b:/r/sites/CSIROG-PSTCoordinationStage52-Topic-9a-PowerSystemCybersecurity/Shared%20Documents/Topic-9-2-PowerSystemCybersecurity/Deliverables/Phase%201%20-%20TR1%20-%20EVSE%20Threat%20Analysis%20Report_V1.5_Final.pdf?csf=1&amp;web=1&amp;e=0wAVUo&amp;isSPOFile=1&amp;xsdata=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%3D&amp;sdata=S3g4TmF1SUkvR2NzcHU5SWM4ektSUG9IZlBnSDhiSWNWN1pSdUpOVXREND0%3D&amp;ovuser=0fe05593-19ac-4f98-adbf-0375fce7f160%2Ca.mohsin%40ecu.edu.au" TargetMode="External"/><Relationship Id="rId86" Type="http://schemas.openxmlformats.org/officeDocument/2006/relationships/hyperlink" Target="https://docs.nrel.gov/docs/fy21osti/75236.pdf" TargetMode="External"/><Relationship Id="rId94" Type="http://schemas.openxmlformats.org/officeDocument/2006/relationships/hyperlink" Target="https://www.epri.com/pages/sa/opendss" TargetMode="External"/><Relationship Id="rId99" Type="http://schemas.openxmlformats.org/officeDocument/2006/relationships/hyperlink" Target="http://www.csiro.au/contact" TargetMode="Externa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csiro.au/contact" TargetMode="External"/><Relationship Id="rId18" Type="http://schemas.microsoft.com/office/2018/08/relationships/commentsExtensible" Target="commentsExtensible.xml"/><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footer" Target="footer1.xml"/><Relationship Id="rId104" Type="http://schemas.microsoft.com/office/2020/10/relationships/intelligence" Target="intelligence2.xml"/><Relationship Id="rId7" Type="http://schemas.openxmlformats.org/officeDocument/2006/relationships/settings" Target="settings.xml"/><Relationship Id="rId71" Type="http://schemas.openxmlformats.org/officeDocument/2006/relationships/image" Target="media/image56.png"/><Relationship Id="rId92" Type="http://schemas.openxmlformats.org/officeDocument/2006/relationships/hyperlink" Target="https://www.aemo.com.au/-/media/files/major-publications/isp/2022/2022-documents/2022-integrated-system-plan-isp.pdf" TargetMode="External"/><Relationship Id="rId2" Type="http://schemas.openxmlformats.org/officeDocument/2006/relationships/customXml" Target="../customXml/item2.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hyperlink" Target="https://openchargealliance.org/protocols/open-charge-point-protocol/" TargetMode="External"/><Relationship Id="rId61" Type="http://schemas.openxmlformats.org/officeDocument/2006/relationships/image" Target="media/image46.png"/><Relationship Id="rId82" Type="http://schemas.openxmlformats.org/officeDocument/2006/relationships/hyperlink" Target="https://csiroau.sharepoint.com/:b:/r/sites/CSIROG-PSTCoordinationStage52-Topic-9a-PowerSystemCybersecurity/Shared%20Documents/Topic-9-2-PowerSystemCybersecurity/Deliverables/Phase%201%20-%20TR2%20-%20TSM%20Reference%20Architecture_V1.5_Final.pdf?csf=1&amp;web=1&amp;e=kAtiOB&amp;isSPOFile=1&amp;xsdata=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%3D&amp;sdata=YUhWTFBjSFU4Y1VNSTM4Y0wxSEJsR1RmZ2dCMkUzUlZaL1lqRzdBK1o2WT0%3D&amp;ovuser=0fe05593-19ac-4f98-adbf-0375fce7f160%2Ca.mohsin%40ecu.edu.au" TargetMode="External"/><Relationship Id="rId19" Type="http://schemas.openxmlformats.org/officeDocument/2006/relationships/image" Target="media/image4.png"/><Relationship Id="rId14" Type="http://schemas.openxmlformats.org/officeDocument/2006/relationships/image" Target="media/image3.png"/><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image" Target="media/image41.png"/><Relationship Id="rId77" Type="http://schemas.openxmlformats.org/officeDocument/2006/relationships/image" Target="media/image62.png"/><Relationship Id="rId100" Type="http://schemas.openxmlformats.org/officeDocument/2006/relationships/hyperlink" Target="http://www.csiro.au" TargetMode="External"/><Relationship Id="rId8" Type="http://schemas.openxmlformats.org/officeDocument/2006/relationships/webSettings" Target="webSettings.xml"/><Relationship Id="rId51" Type="http://schemas.openxmlformats.org/officeDocument/2006/relationships/image" Target="media/image36.png"/><Relationship Id="rId72" Type="http://schemas.openxmlformats.org/officeDocument/2006/relationships/image" Target="media/image57.png"/><Relationship Id="rId93" Type="http://schemas.openxmlformats.org/officeDocument/2006/relationships/hyperlink" Target="https://arxiv.org/abs/2209.07842" TargetMode="External"/><Relationship Id="rId98" Type="http://schemas.openxmlformats.org/officeDocument/2006/relationships/footer" Target="footer2.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267\OneDrive%20-%20CSIRO\Templates\CSIRO\Technical%20Report%20-%20formal.dotx" TargetMode="External"/></Relationship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C8F0020DBE78B4C8349C67EFC5934E6" ma:contentTypeVersion="7" ma:contentTypeDescription="Create a new document." ma:contentTypeScope="" ma:versionID="9d2a0803a7103be9c46bb7db4331ab90">
  <xsd:schema xmlns:xsd="http://www.w3.org/2001/XMLSchema" xmlns:xs="http://www.w3.org/2001/XMLSchema" xmlns:p="http://schemas.microsoft.com/office/2006/metadata/properties" xmlns:ns2="69a31150-de60-4e20-9a89-0763c1545a7b" targetNamespace="http://schemas.microsoft.com/office/2006/metadata/properties" ma:root="true" ma:fieldsID="901e587abc1f0bdb954ed4d31c2ef5b7" ns2:_="">
    <xsd:import namespace="69a31150-de60-4e20-9a89-0763c1545a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31150-de60-4e20-9a89-0763c1545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B46555-8A8A-4F18-817B-73234EC93935}">
  <ds:schemaRefs>
    <ds:schemaRef ds:uri="http://schemas.openxmlformats.org/officeDocument/2006/bibliography"/>
  </ds:schemaRefs>
</ds:datastoreItem>
</file>

<file path=customXml/itemProps2.xml><?xml version="1.0" encoding="utf-8"?>
<ds:datastoreItem xmlns:ds="http://schemas.openxmlformats.org/officeDocument/2006/customXml" ds:itemID="{B4AF5CD7-1C45-42BD-B4FA-FE1F323A6D8E}"/>
</file>

<file path=customXml/itemProps3.xml><?xml version="1.0" encoding="utf-8"?>
<ds:datastoreItem xmlns:ds="http://schemas.openxmlformats.org/officeDocument/2006/customXml" ds:itemID="{C70E51B0-187C-4434-90F5-77FF48EC1CD8}">
  <ds:schemaRefs>
    <ds:schemaRef ds:uri="http://schemas.microsoft.com/office/2006/metadata/properties"/>
    <ds:schemaRef ds:uri="http://schemas.microsoft.com/office/infopath/2007/PartnerControls"/>
    <ds:schemaRef ds:uri="66fbce15-20f0-4634-90a9-c742b0d65d2a"/>
    <ds:schemaRef ds:uri="b5c7bf3f-ad2d-481a-a465-2b2921a165ea"/>
  </ds:schemaRefs>
</ds:datastoreItem>
</file>

<file path=customXml/itemProps4.xml><?xml version="1.0" encoding="utf-8"?>
<ds:datastoreItem xmlns:ds="http://schemas.openxmlformats.org/officeDocument/2006/customXml" ds:itemID="{984216FF-0D3D-4C3B-ACA6-4531AB0B54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Technical Report - formal</Template>
  <TotalTime>23</TotalTime>
  <Pages>116</Pages>
  <Words>38471</Words>
  <Characters>219291</Characters>
  <Application>Microsoft Office Word</Application>
  <DocSecurity>0</DocSecurity>
  <Lines>1827</Lines>
  <Paragraphs>514</Paragraphs>
  <ScaleCrop>false</ScaleCrop>
  <HeadingPairs>
    <vt:vector size="2" baseType="variant">
      <vt:variant>
        <vt:lpstr>Title</vt:lpstr>
      </vt:variant>
      <vt:variant>
        <vt:i4>1</vt:i4>
      </vt:variant>
    </vt:vector>
  </HeadingPairs>
  <TitlesOfParts>
    <vt:vector size="1" baseType="lpstr">
      <vt:lpstr>CSIRO report template</vt:lpstr>
    </vt:vector>
  </TitlesOfParts>
  <Company>CSIRO</Company>
  <LinksUpToDate>false</LinksUpToDate>
  <CharactersWithSpaces>257248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report template</dc:title>
  <dc:subject/>
  <dc:creator>Brinsmead, Thomas (Ze / Zir) (Energy, Newcastle)</dc:creator>
  <cp:keywords/>
  <cp:lastModifiedBy>Ahmad MOHSIN</cp:lastModifiedBy>
  <cp:revision>6</cp:revision>
  <cp:lastPrinted>2026-07-07T02:29:00Z</cp:lastPrinted>
  <dcterms:created xsi:type="dcterms:W3CDTF">2026-07-07T02:08:00Z</dcterms:created>
  <dcterms:modified xsi:type="dcterms:W3CDTF">2026-07-07T02:29:00Z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Report Title</vt:lpwstr>
  </property>
  <property fmtid="{D5CDD505-2E9C-101B-9397-08002B2CF9AE}" pid="3" name="CoverSubtitle">
    <vt:lpwstr>Cover Subtitle</vt:lpwstr>
  </property>
  <property fmtid="{D5CDD505-2E9C-101B-9397-08002B2CF9AE}" pid="4" name="ContentTypeId">
    <vt:lpwstr>0x0101000C8F0020DBE78B4C8349C67EFC5934E6</vt:lpwstr>
  </property>
  <property fmtid="{D5CDD505-2E9C-101B-9397-08002B2CF9AE}" pid="5" name="ClassificationContentMarkingHeaderShapeIds">
    <vt:lpwstr>4f341a1a,4cc1dd5,11174ff2</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MSIP_Label_0ad370f1-5840-4c36-bb65-89acaaf849ca_Enabled">
    <vt:lpwstr>true</vt:lpwstr>
  </property>
  <property fmtid="{D5CDD505-2E9C-101B-9397-08002B2CF9AE}" pid="9" name="MSIP_Label_0ad370f1-5840-4c36-bb65-89acaaf849ca_SetDate">
    <vt:lpwstr>2026-01-21T00:24:13Z</vt:lpwstr>
  </property>
  <property fmtid="{D5CDD505-2E9C-101B-9397-08002B2CF9AE}" pid="10" name="MSIP_Label_0ad370f1-5840-4c36-bb65-89acaaf849ca_Method">
    <vt:lpwstr>Privileged</vt:lpwstr>
  </property>
  <property fmtid="{D5CDD505-2E9C-101B-9397-08002B2CF9AE}" pid="11" name="MSIP_Label_0ad370f1-5840-4c36-bb65-89acaaf849ca_Name">
    <vt:lpwstr>OFFICIAL</vt:lpwstr>
  </property>
  <property fmtid="{D5CDD505-2E9C-101B-9397-08002B2CF9AE}" pid="12" name="MSIP_Label_0ad370f1-5840-4c36-bb65-89acaaf849ca_SiteId">
    <vt:lpwstr>0fe05593-19ac-4f98-adbf-0375fce7f160</vt:lpwstr>
  </property>
  <property fmtid="{D5CDD505-2E9C-101B-9397-08002B2CF9AE}" pid="13" name="MSIP_Label_0ad370f1-5840-4c36-bb65-89acaaf849ca_ActionId">
    <vt:lpwstr>558ba41d-5eb1-4aa8-bdc4-85d7a55ad61c</vt:lpwstr>
  </property>
  <property fmtid="{D5CDD505-2E9C-101B-9397-08002B2CF9AE}" pid="14" name="MSIP_Label_0ad370f1-5840-4c36-bb65-89acaaf849ca_ContentBits">
    <vt:lpwstr>3</vt:lpwstr>
  </property>
  <property fmtid="{D5CDD505-2E9C-101B-9397-08002B2CF9AE}" pid="15" name="MSIP_Label_0ad370f1-5840-4c36-bb65-89acaaf849ca_Tag">
    <vt:lpwstr>10, 0, 1, 1</vt:lpwstr>
  </property>
  <property fmtid="{D5CDD505-2E9C-101B-9397-08002B2CF9AE}" pid="16" name="GrammarlyDocumentId">
    <vt:lpwstr>85ea8f02-9d34-47bb-9a7e-5a62adb4da1e</vt:lpwstr>
  </property>
  <property fmtid="{D5CDD505-2E9C-101B-9397-08002B2CF9AE}" pid="17" name="MediaServiceImageTags">
    <vt:lpwstr/>
  </property>
  <property fmtid="{D5CDD505-2E9C-101B-9397-08002B2CF9AE}" pid="18" name="ClassificationContentMarkingFooterShapeIds">
    <vt:lpwstr>1a665d96,472691f0,6d5e286f</vt:lpwstr>
  </property>
  <property fmtid="{D5CDD505-2E9C-101B-9397-08002B2CF9AE}" pid="19" name="ClassificationContentMarkingFooterFontProps">
    <vt:lpwstr>#000000,13,Aptos</vt:lpwstr>
  </property>
  <property fmtid="{D5CDD505-2E9C-101B-9397-08002B2CF9AE}" pid="20" name="ClassificationContentMarkingFooterText">
    <vt:lpwstr>CONFIDENTIAL - Distribute only if appropriate</vt:lpwstr>
  </property>
  <property fmtid="{D5CDD505-2E9C-101B-9397-08002B2CF9AE}" pid="21" name="MSIP_Label_9f34cb4b-34bf-465d-ab16-2cea60ca881b_Enabled">
    <vt:lpwstr>true</vt:lpwstr>
  </property>
  <property fmtid="{D5CDD505-2E9C-101B-9397-08002B2CF9AE}" pid="22" name="MSIP_Label_9f34cb4b-34bf-465d-ab16-2cea60ca881b_SetDate">
    <vt:lpwstr>2026-05-04T01:25:52Z</vt:lpwstr>
  </property>
  <property fmtid="{D5CDD505-2E9C-101B-9397-08002B2CF9AE}" pid="23" name="MSIP_Label_9f34cb4b-34bf-465d-ab16-2cea60ca881b_Method">
    <vt:lpwstr>Privileged</vt:lpwstr>
  </property>
  <property fmtid="{D5CDD505-2E9C-101B-9397-08002B2CF9AE}" pid="24" name="MSIP_Label_9f34cb4b-34bf-465d-ab16-2cea60ca881b_Name">
    <vt:lpwstr>Public</vt:lpwstr>
  </property>
  <property fmtid="{D5CDD505-2E9C-101B-9397-08002B2CF9AE}" pid="25" name="MSIP_Label_9f34cb4b-34bf-465d-ab16-2cea60ca881b_SiteId">
    <vt:lpwstr>9bcb323d-7fa3-45e7-a36f-6d9cfdbcc272</vt:lpwstr>
  </property>
  <property fmtid="{D5CDD505-2E9C-101B-9397-08002B2CF9AE}" pid="26" name="MSIP_Label_9f34cb4b-34bf-465d-ab16-2cea60ca881b_ActionId">
    <vt:lpwstr>f3e7a318-c2b8-4cf3-be0f-17bfb18e5173</vt:lpwstr>
  </property>
  <property fmtid="{D5CDD505-2E9C-101B-9397-08002B2CF9AE}" pid="27" name="MSIP_Label_9f34cb4b-34bf-465d-ab16-2cea60ca881b_ContentBits">
    <vt:lpwstr>0</vt:lpwstr>
  </property>
  <property fmtid="{D5CDD505-2E9C-101B-9397-08002B2CF9AE}" pid="28" name="MSIP_Label_9f34cb4b-34bf-465d-ab16-2cea60ca881b_Tag">
    <vt:lpwstr>10, 0, 1, 1</vt:lpwstr>
  </property>
</Properties>
</file>