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522" w:rsidRDefault="007C7522" w:rsidP="00024051">
      <w:pPr>
        <w:pStyle w:val="Heading9"/>
      </w:pPr>
    </w:p>
    <w:p w:rsidR="002E48CF" w:rsidRDefault="00217C34" w:rsidP="00024051">
      <w:pPr>
        <w:pStyle w:val="Heading2notnumbered"/>
      </w:pPr>
      <w:bookmarkStart w:id="0" w:name="_Toc375329397"/>
      <w:r>
        <w:t>List of figures</w:t>
      </w:r>
      <w:bookmarkEnd w:id="0"/>
    </w:p>
    <w:p w:rsidR="00E308BF" w:rsidRDefault="00134E64">
      <w:pPr>
        <w:pStyle w:val="TableofFigures"/>
        <w:rPr>
          <w:rFonts w:asciiTheme="minorHAnsi" w:eastAsiaTheme="minorEastAsia" w:hAnsiTheme="minorHAnsi" w:cstheme="minorBidi"/>
          <w:noProof/>
          <w:color w:val="auto"/>
        </w:rPr>
      </w:pPr>
      <w:r>
        <w:fldChar w:fldCharType="begin"/>
      </w:r>
      <w:r w:rsidR="00C81E82">
        <w:instrText xml:space="preserve"> TOC \h \z \c "Figure" </w:instrText>
      </w:r>
      <w:r>
        <w:fldChar w:fldCharType="separate"/>
      </w:r>
      <w:r w:rsidR="00E308BF">
        <w:rPr>
          <w:noProof/>
        </w:rPr>
        <w:t>Figure 1.1 Major dams (greater than 500 GL capacity), large irrigation areas and selected drainage divisions across Australia</w:t>
      </w:r>
      <w:r w:rsidR="00E308BF">
        <w:rPr>
          <w:noProof/>
          <w:webHidden/>
        </w:rPr>
        <w:tab/>
        <w:t>3</w:t>
      </w:r>
    </w:p>
    <w:p w:rsidR="00E308BF" w:rsidRDefault="00E308BF">
      <w:pPr>
        <w:pStyle w:val="TableofFigures"/>
        <w:rPr>
          <w:rFonts w:asciiTheme="minorHAnsi" w:eastAsiaTheme="minorEastAsia" w:hAnsiTheme="minorHAnsi" w:cstheme="minorBidi"/>
          <w:noProof/>
          <w:color w:val="auto"/>
        </w:rPr>
      </w:pPr>
      <w:r>
        <w:rPr>
          <w:noProof/>
        </w:rPr>
        <w:t>Figure 1.2 Schematic diagram of key components and concepts in the establishment of a greenfield irrigation development</w:t>
      </w:r>
      <w:r>
        <w:rPr>
          <w:noProof/>
          <w:webHidden/>
        </w:rPr>
        <w:tab/>
        <w:t>7</w:t>
      </w:r>
    </w:p>
    <w:p w:rsidR="00E308BF" w:rsidRDefault="00E308BF">
      <w:pPr>
        <w:pStyle w:val="TableofFigures"/>
        <w:rPr>
          <w:rFonts w:asciiTheme="minorHAnsi" w:eastAsiaTheme="minorEastAsia" w:hAnsiTheme="minorHAnsi" w:cstheme="minorBidi"/>
          <w:noProof/>
          <w:color w:val="auto"/>
        </w:rPr>
      </w:pPr>
      <w:r>
        <w:rPr>
          <w:noProof/>
        </w:rPr>
        <w:t>Figure 2.1 The Flinders and Gilbert catchments within the Gulf region of northern Australia</w:t>
      </w:r>
      <w:r>
        <w:rPr>
          <w:noProof/>
          <w:webHidden/>
        </w:rPr>
        <w:tab/>
        <w:t>10</w:t>
      </w:r>
    </w:p>
    <w:p w:rsidR="00E308BF" w:rsidRDefault="00E308BF">
      <w:pPr>
        <w:pStyle w:val="TableofFigures"/>
        <w:rPr>
          <w:rFonts w:asciiTheme="minorHAnsi" w:eastAsiaTheme="minorEastAsia" w:hAnsiTheme="minorHAnsi" w:cstheme="minorBidi"/>
          <w:noProof/>
          <w:color w:val="auto"/>
        </w:rPr>
      </w:pPr>
      <w:r>
        <w:rPr>
          <w:noProof/>
        </w:rPr>
        <w:t>Figure 2.2 The Gilbert catchment</w:t>
      </w:r>
      <w:r>
        <w:rPr>
          <w:noProof/>
          <w:webHidden/>
        </w:rPr>
        <w:tab/>
        <w:t>11</w:t>
      </w:r>
    </w:p>
    <w:p w:rsidR="00E308BF" w:rsidRDefault="00E308BF">
      <w:pPr>
        <w:pStyle w:val="TableofFigures"/>
        <w:rPr>
          <w:rFonts w:asciiTheme="minorHAnsi" w:eastAsiaTheme="minorEastAsia" w:hAnsiTheme="minorHAnsi" w:cstheme="minorBidi"/>
          <w:noProof/>
          <w:color w:val="auto"/>
        </w:rPr>
      </w:pPr>
      <w:r>
        <w:rPr>
          <w:noProof/>
        </w:rPr>
        <w:t>Figure 2.3 Soil sampling sites and airborne geophysical survey flight lines of the Gilbert catchment</w:t>
      </w:r>
      <w:r>
        <w:rPr>
          <w:noProof/>
          <w:webHidden/>
        </w:rPr>
        <w:tab/>
        <w:t>14</w:t>
      </w:r>
    </w:p>
    <w:p w:rsidR="00E308BF" w:rsidRDefault="00E308BF">
      <w:pPr>
        <w:pStyle w:val="TableofFigures"/>
        <w:rPr>
          <w:rFonts w:asciiTheme="minorHAnsi" w:eastAsiaTheme="minorEastAsia" w:hAnsiTheme="minorHAnsi" w:cstheme="minorBidi"/>
          <w:noProof/>
          <w:color w:val="auto"/>
        </w:rPr>
      </w:pPr>
      <w:r>
        <w:rPr>
          <w:noProof/>
        </w:rPr>
        <w:t>Figure 2.4 Schematic representation of digital soil mapping method</w:t>
      </w:r>
      <w:r>
        <w:rPr>
          <w:noProof/>
          <w:webHidden/>
        </w:rPr>
        <w:tab/>
        <w:t>15</w:t>
      </w:r>
    </w:p>
    <w:p w:rsidR="00E308BF" w:rsidRDefault="00E308BF">
      <w:pPr>
        <w:pStyle w:val="TableofFigures"/>
        <w:rPr>
          <w:rFonts w:asciiTheme="minorHAnsi" w:eastAsiaTheme="minorEastAsia" w:hAnsiTheme="minorHAnsi" w:cstheme="minorBidi"/>
          <w:noProof/>
          <w:color w:val="auto"/>
        </w:rPr>
      </w:pPr>
      <w:r>
        <w:rPr>
          <w:noProof/>
        </w:rPr>
        <w:t>Figure 2.5 Availability of rainfall data availability in the Gilbert catchment</w:t>
      </w:r>
      <w:r>
        <w:rPr>
          <w:noProof/>
          <w:webHidden/>
        </w:rPr>
        <w:tab/>
        <w:t>16</w:t>
      </w:r>
    </w:p>
    <w:p w:rsidR="00E308BF" w:rsidRDefault="00E308BF">
      <w:pPr>
        <w:pStyle w:val="TableofFigures"/>
        <w:rPr>
          <w:rFonts w:asciiTheme="minorHAnsi" w:eastAsiaTheme="minorEastAsia" w:hAnsiTheme="minorHAnsi" w:cstheme="minorBidi"/>
          <w:noProof/>
          <w:color w:val="auto"/>
        </w:rPr>
      </w:pPr>
      <w:r>
        <w:rPr>
          <w:noProof/>
        </w:rPr>
        <w:t>Figure 2.6 Crop yield (peanuts) and applied irrigation water</w:t>
      </w:r>
      <w:r>
        <w:rPr>
          <w:noProof/>
          <w:webHidden/>
        </w:rPr>
        <w:tab/>
        <w:t>27</w:t>
      </w:r>
    </w:p>
    <w:p w:rsidR="00E308BF" w:rsidRDefault="00E308BF">
      <w:pPr>
        <w:pStyle w:val="TableofFigures"/>
        <w:rPr>
          <w:rFonts w:asciiTheme="minorHAnsi" w:eastAsiaTheme="minorEastAsia" w:hAnsiTheme="minorHAnsi" w:cstheme="minorBidi"/>
          <w:noProof/>
          <w:color w:val="auto"/>
        </w:rPr>
      </w:pPr>
      <w:r>
        <w:rPr>
          <w:noProof/>
        </w:rPr>
        <w:t>Figure 3.1 Schematic diagram of key natural components and concepts in the establishment of a greenfield irrigation development</w:t>
      </w:r>
      <w:r>
        <w:rPr>
          <w:noProof/>
          <w:webHidden/>
        </w:rPr>
        <w:tab/>
        <w:t>34</w:t>
      </w:r>
    </w:p>
    <w:p w:rsidR="00E308BF" w:rsidRDefault="00E308BF">
      <w:pPr>
        <w:pStyle w:val="TableofFigures"/>
        <w:rPr>
          <w:rFonts w:asciiTheme="minorHAnsi" w:eastAsiaTheme="minorEastAsia" w:hAnsiTheme="minorHAnsi" w:cstheme="minorBidi"/>
          <w:noProof/>
          <w:color w:val="auto"/>
        </w:rPr>
      </w:pPr>
      <w:r>
        <w:rPr>
          <w:noProof/>
        </w:rPr>
        <w:t>Figure 3.2 Simplified surface geology of the Gilbert catchment</w:t>
      </w:r>
      <w:r>
        <w:rPr>
          <w:noProof/>
          <w:webHidden/>
        </w:rPr>
        <w:tab/>
        <w:t>37</w:t>
      </w:r>
    </w:p>
    <w:p w:rsidR="00E308BF" w:rsidRDefault="00E308BF">
      <w:pPr>
        <w:pStyle w:val="TableofFigures"/>
        <w:rPr>
          <w:rFonts w:asciiTheme="minorHAnsi" w:eastAsiaTheme="minorEastAsia" w:hAnsiTheme="minorHAnsi" w:cstheme="minorBidi"/>
          <w:noProof/>
          <w:color w:val="auto"/>
        </w:rPr>
      </w:pPr>
      <w:r>
        <w:rPr>
          <w:noProof/>
        </w:rPr>
        <w:t>Figure 3.3 Map of soil generic group (SGG) classes for the Gilbert catchment</w:t>
      </w:r>
      <w:r>
        <w:rPr>
          <w:noProof/>
          <w:webHidden/>
        </w:rPr>
        <w:tab/>
        <w:t>41</w:t>
      </w:r>
    </w:p>
    <w:p w:rsidR="00E308BF" w:rsidRDefault="00E308BF">
      <w:pPr>
        <w:pStyle w:val="TableofFigures"/>
        <w:rPr>
          <w:rFonts w:asciiTheme="minorHAnsi" w:eastAsiaTheme="minorEastAsia" w:hAnsiTheme="minorHAnsi" w:cstheme="minorBidi"/>
          <w:noProof/>
          <w:color w:val="auto"/>
        </w:rPr>
      </w:pPr>
      <w:r>
        <w:rPr>
          <w:noProof/>
        </w:rPr>
        <w:t>Figure 3.4 Surface soil pH of the Gilbert catchment</w:t>
      </w:r>
      <w:r>
        <w:rPr>
          <w:noProof/>
          <w:webHidden/>
        </w:rPr>
        <w:tab/>
        <w:t>43</w:t>
      </w:r>
    </w:p>
    <w:p w:rsidR="00E308BF" w:rsidRDefault="00E308BF">
      <w:pPr>
        <w:pStyle w:val="TableofFigures"/>
        <w:rPr>
          <w:rFonts w:asciiTheme="minorHAnsi" w:eastAsiaTheme="minorEastAsia" w:hAnsiTheme="minorHAnsi" w:cstheme="minorBidi"/>
          <w:noProof/>
          <w:color w:val="auto"/>
        </w:rPr>
      </w:pPr>
      <w:r>
        <w:rPr>
          <w:noProof/>
        </w:rPr>
        <w:t>Figure 3.5 Minimum soil depth of the Gilbert catchment</w:t>
      </w:r>
      <w:r>
        <w:rPr>
          <w:noProof/>
          <w:webHidden/>
        </w:rPr>
        <w:tab/>
        <w:t>43</w:t>
      </w:r>
    </w:p>
    <w:p w:rsidR="00E308BF" w:rsidRDefault="00E308BF">
      <w:pPr>
        <w:pStyle w:val="TableofFigures"/>
        <w:rPr>
          <w:rFonts w:asciiTheme="minorHAnsi" w:eastAsiaTheme="minorEastAsia" w:hAnsiTheme="minorHAnsi" w:cstheme="minorBidi"/>
          <w:noProof/>
          <w:color w:val="auto"/>
        </w:rPr>
      </w:pPr>
      <w:r>
        <w:rPr>
          <w:noProof/>
        </w:rPr>
        <w:t>Figure 3.6 Surface texture of soils in the Gilbert catchment</w:t>
      </w:r>
      <w:r>
        <w:rPr>
          <w:noProof/>
          <w:webHidden/>
        </w:rPr>
        <w:tab/>
        <w:t>44</w:t>
      </w:r>
    </w:p>
    <w:p w:rsidR="00E308BF" w:rsidRDefault="00E308BF">
      <w:pPr>
        <w:pStyle w:val="TableofFigures"/>
        <w:rPr>
          <w:rFonts w:asciiTheme="minorHAnsi" w:eastAsiaTheme="minorEastAsia" w:hAnsiTheme="minorHAnsi" w:cstheme="minorBidi"/>
          <w:noProof/>
          <w:color w:val="auto"/>
        </w:rPr>
      </w:pPr>
      <w:r>
        <w:rPr>
          <w:noProof/>
        </w:rPr>
        <w:t>Figure 3.7 Soil permeability of the Gilbert catchment</w:t>
      </w:r>
      <w:r>
        <w:rPr>
          <w:noProof/>
          <w:webHidden/>
        </w:rPr>
        <w:tab/>
        <w:t>45</w:t>
      </w:r>
    </w:p>
    <w:p w:rsidR="00E308BF" w:rsidRDefault="00E308BF">
      <w:pPr>
        <w:pStyle w:val="TableofFigures"/>
        <w:rPr>
          <w:rFonts w:asciiTheme="minorHAnsi" w:eastAsiaTheme="minorEastAsia" w:hAnsiTheme="minorHAnsi" w:cstheme="minorBidi"/>
          <w:noProof/>
          <w:color w:val="auto"/>
        </w:rPr>
      </w:pPr>
      <w:r>
        <w:rPr>
          <w:noProof/>
        </w:rPr>
        <w:t>Figure 3.8 Plant available water capacity in the Gilbert catchment</w:t>
      </w:r>
      <w:r>
        <w:rPr>
          <w:noProof/>
          <w:webHidden/>
        </w:rPr>
        <w:tab/>
        <w:t>46</w:t>
      </w:r>
    </w:p>
    <w:p w:rsidR="00E308BF" w:rsidRDefault="00E308BF">
      <w:pPr>
        <w:pStyle w:val="TableofFigures"/>
        <w:rPr>
          <w:rFonts w:asciiTheme="minorHAnsi" w:eastAsiaTheme="minorEastAsia" w:hAnsiTheme="minorHAnsi" w:cstheme="minorBidi"/>
          <w:noProof/>
          <w:color w:val="auto"/>
        </w:rPr>
      </w:pPr>
      <w:r>
        <w:rPr>
          <w:noProof/>
        </w:rPr>
        <w:t>Figure 3.9 Electrical conductivity in the top 10 cm of soils of the Gilbert catchment</w:t>
      </w:r>
      <w:r>
        <w:rPr>
          <w:noProof/>
          <w:webHidden/>
        </w:rPr>
        <w:tab/>
        <w:t>47</w:t>
      </w:r>
    </w:p>
    <w:p w:rsidR="00E308BF" w:rsidRDefault="00E308BF">
      <w:pPr>
        <w:pStyle w:val="TableofFigures"/>
        <w:rPr>
          <w:rFonts w:asciiTheme="minorHAnsi" w:eastAsiaTheme="minorEastAsia" w:hAnsiTheme="minorHAnsi" w:cstheme="minorBidi"/>
          <w:noProof/>
          <w:color w:val="auto"/>
        </w:rPr>
      </w:pPr>
      <w:r>
        <w:rPr>
          <w:noProof/>
        </w:rPr>
        <w:t>Figure 3.10 Typical synoptic systems influencing the Gilbert catchment</w:t>
      </w:r>
      <w:r>
        <w:rPr>
          <w:noProof/>
          <w:webHidden/>
        </w:rPr>
        <w:tab/>
        <w:t>48</w:t>
      </w:r>
    </w:p>
    <w:p w:rsidR="00E308BF" w:rsidRDefault="00E308BF">
      <w:pPr>
        <w:pStyle w:val="TableofFigures"/>
        <w:rPr>
          <w:rFonts w:asciiTheme="minorHAnsi" w:eastAsiaTheme="minorEastAsia" w:hAnsiTheme="minorHAnsi" w:cstheme="minorBidi"/>
          <w:noProof/>
          <w:color w:val="auto"/>
        </w:rPr>
      </w:pPr>
      <w:r>
        <w:rPr>
          <w:noProof/>
        </w:rPr>
        <w:t>Figure 3.11 Mean annual rainfall and potential evaporation under Scenario A</w:t>
      </w:r>
      <w:r>
        <w:rPr>
          <w:noProof/>
          <w:webHidden/>
        </w:rPr>
        <w:tab/>
        <w:t>49</w:t>
      </w:r>
    </w:p>
    <w:p w:rsidR="00E308BF" w:rsidRDefault="00E308BF">
      <w:pPr>
        <w:pStyle w:val="TableofFigures"/>
        <w:rPr>
          <w:rFonts w:asciiTheme="minorHAnsi" w:eastAsiaTheme="minorEastAsia" w:hAnsiTheme="minorHAnsi" w:cstheme="minorBidi"/>
          <w:noProof/>
          <w:color w:val="auto"/>
        </w:rPr>
      </w:pPr>
      <w:r>
        <w:rPr>
          <w:noProof/>
        </w:rPr>
        <w:t>Figure 3.12 Potential evaporation under Scenario A for the Gilbert catchment</w:t>
      </w:r>
      <w:r>
        <w:rPr>
          <w:noProof/>
          <w:webHidden/>
        </w:rPr>
        <w:tab/>
        <w:t>50</w:t>
      </w:r>
    </w:p>
    <w:p w:rsidR="00E308BF" w:rsidRDefault="00E308BF">
      <w:pPr>
        <w:pStyle w:val="TableofFigures"/>
        <w:rPr>
          <w:rFonts w:asciiTheme="minorHAnsi" w:eastAsiaTheme="minorEastAsia" w:hAnsiTheme="minorHAnsi" w:cstheme="minorBidi"/>
          <w:noProof/>
          <w:color w:val="auto"/>
        </w:rPr>
      </w:pPr>
      <w:r>
        <w:rPr>
          <w:noProof/>
        </w:rPr>
        <w:t>Figure 3.13 Rainfall under Scenario A for the Gilbert catchment</w:t>
      </w:r>
      <w:r>
        <w:rPr>
          <w:noProof/>
          <w:webHidden/>
        </w:rPr>
        <w:tab/>
        <w:t>50</w:t>
      </w:r>
    </w:p>
    <w:p w:rsidR="00E308BF" w:rsidRDefault="00E308BF">
      <w:pPr>
        <w:pStyle w:val="TableofFigures"/>
        <w:rPr>
          <w:rFonts w:asciiTheme="minorHAnsi" w:eastAsiaTheme="minorEastAsia" w:hAnsiTheme="minorHAnsi" w:cstheme="minorBidi"/>
          <w:noProof/>
          <w:color w:val="auto"/>
        </w:rPr>
      </w:pPr>
      <w:r>
        <w:rPr>
          <w:noProof/>
        </w:rPr>
        <w:t>Figure 3.14 Rainfall deficit under Scenario A for the Gilbert catchment</w:t>
      </w:r>
      <w:r>
        <w:rPr>
          <w:noProof/>
          <w:webHidden/>
        </w:rPr>
        <w:tab/>
        <w:t>50</w:t>
      </w:r>
    </w:p>
    <w:p w:rsidR="00E308BF" w:rsidRDefault="00E308BF">
      <w:pPr>
        <w:pStyle w:val="TableofFigures"/>
        <w:rPr>
          <w:rFonts w:asciiTheme="minorHAnsi" w:eastAsiaTheme="minorEastAsia" w:hAnsiTheme="minorHAnsi" w:cstheme="minorBidi"/>
          <w:noProof/>
          <w:color w:val="auto"/>
        </w:rPr>
      </w:pPr>
      <w:r>
        <w:rPr>
          <w:noProof/>
        </w:rPr>
        <w:t>Figure 3.15 Rainfall and potential evaporation under Scenario A averaged across the Gilbert catchment</w:t>
      </w:r>
      <w:r>
        <w:rPr>
          <w:noProof/>
          <w:webHidden/>
        </w:rPr>
        <w:tab/>
        <w:t>51</w:t>
      </w:r>
    </w:p>
    <w:p w:rsidR="00E308BF" w:rsidRDefault="00E308BF">
      <w:pPr>
        <w:pStyle w:val="TableofFigures"/>
        <w:rPr>
          <w:rFonts w:asciiTheme="minorHAnsi" w:eastAsiaTheme="minorEastAsia" w:hAnsiTheme="minorHAnsi" w:cstheme="minorBidi"/>
          <w:noProof/>
          <w:color w:val="auto"/>
        </w:rPr>
      </w:pPr>
      <w:r>
        <w:rPr>
          <w:noProof/>
        </w:rPr>
        <w:t>Figure 3.16 Mean annual rainfall and potential evaporation averaged over the Gilbert catchment</w:t>
      </w:r>
      <w:r>
        <w:rPr>
          <w:noProof/>
          <w:webHidden/>
        </w:rPr>
        <w:tab/>
        <w:t>52</w:t>
      </w:r>
    </w:p>
    <w:p w:rsidR="00E308BF" w:rsidRDefault="00E308BF">
      <w:pPr>
        <w:pStyle w:val="TableofFigures"/>
        <w:rPr>
          <w:rFonts w:asciiTheme="minorHAnsi" w:eastAsiaTheme="minorEastAsia" w:hAnsiTheme="minorHAnsi" w:cstheme="minorBidi"/>
          <w:noProof/>
          <w:color w:val="auto"/>
        </w:rPr>
      </w:pPr>
      <w:r>
        <w:rPr>
          <w:noProof/>
        </w:rPr>
        <w:t>Figure 3.17 Rainfall variability around Australia under Scenario A</w:t>
      </w:r>
      <w:r>
        <w:rPr>
          <w:noProof/>
          <w:webHidden/>
        </w:rPr>
        <w:tab/>
        <w:t>53</w:t>
      </w:r>
    </w:p>
    <w:p w:rsidR="00E308BF" w:rsidRDefault="00E308BF">
      <w:pPr>
        <w:pStyle w:val="TableofFigures"/>
        <w:rPr>
          <w:rFonts w:asciiTheme="minorHAnsi" w:eastAsiaTheme="minorEastAsia" w:hAnsiTheme="minorHAnsi" w:cstheme="minorBidi"/>
          <w:noProof/>
          <w:color w:val="auto"/>
        </w:rPr>
      </w:pPr>
      <w:r>
        <w:rPr>
          <w:noProof/>
        </w:rPr>
        <w:t>Figure 3.18 Runs of wet and dry years in the Gilbert catchment</w:t>
      </w:r>
      <w:r>
        <w:rPr>
          <w:noProof/>
          <w:webHidden/>
        </w:rPr>
        <w:tab/>
        <w:t>54</w:t>
      </w:r>
    </w:p>
    <w:p w:rsidR="00E308BF" w:rsidRDefault="00E308BF">
      <w:pPr>
        <w:pStyle w:val="TableofFigures"/>
        <w:rPr>
          <w:rFonts w:asciiTheme="minorHAnsi" w:eastAsiaTheme="minorEastAsia" w:hAnsiTheme="minorHAnsi" w:cstheme="minorBidi"/>
          <w:noProof/>
          <w:color w:val="auto"/>
        </w:rPr>
      </w:pPr>
      <w:r>
        <w:rPr>
          <w:noProof/>
        </w:rPr>
        <w:t>Figure 3.19 Percentage change in mean annual rainfall under Scenario C relative to Scenario A</w:t>
      </w:r>
      <w:r>
        <w:rPr>
          <w:noProof/>
          <w:webHidden/>
        </w:rPr>
        <w:tab/>
        <w:t>55</w:t>
      </w:r>
    </w:p>
    <w:p w:rsidR="00E308BF" w:rsidRDefault="00E308BF">
      <w:pPr>
        <w:pStyle w:val="TableofFigures"/>
        <w:rPr>
          <w:rFonts w:asciiTheme="minorHAnsi" w:eastAsiaTheme="minorEastAsia" w:hAnsiTheme="minorHAnsi" w:cstheme="minorBidi"/>
          <w:noProof/>
          <w:color w:val="auto"/>
        </w:rPr>
      </w:pPr>
      <w:r>
        <w:rPr>
          <w:noProof/>
        </w:rPr>
        <w:t>Figure 3.20 Spatial distribution of mean annual rainfall across the Gilbert catchment under scenarios Cwet, Cmid and Cdry</w:t>
      </w:r>
      <w:r>
        <w:rPr>
          <w:noProof/>
          <w:webHidden/>
        </w:rPr>
        <w:tab/>
        <w:t>55</w:t>
      </w:r>
    </w:p>
    <w:p w:rsidR="00E308BF" w:rsidRDefault="00E308BF">
      <w:pPr>
        <w:pStyle w:val="TableofFigures"/>
        <w:rPr>
          <w:rFonts w:asciiTheme="minorHAnsi" w:eastAsiaTheme="minorEastAsia" w:hAnsiTheme="minorHAnsi" w:cstheme="minorBidi"/>
          <w:noProof/>
          <w:color w:val="auto"/>
        </w:rPr>
      </w:pPr>
      <w:r>
        <w:rPr>
          <w:noProof/>
        </w:rPr>
        <w:lastRenderedPageBreak/>
        <w:t>Figure 3.21 Mean monthly rainfall and potential evaporation for the Gilbert catchment under scenarios A and C</w:t>
      </w:r>
      <w:r>
        <w:rPr>
          <w:noProof/>
          <w:webHidden/>
        </w:rPr>
        <w:tab/>
        <w:t>56</w:t>
      </w:r>
    </w:p>
    <w:p w:rsidR="00E308BF" w:rsidRDefault="00E308BF">
      <w:pPr>
        <w:pStyle w:val="TableofFigures"/>
        <w:rPr>
          <w:rFonts w:asciiTheme="minorHAnsi" w:eastAsiaTheme="minorEastAsia" w:hAnsiTheme="minorHAnsi" w:cstheme="minorBidi"/>
          <w:noProof/>
          <w:color w:val="auto"/>
        </w:rPr>
      </w:pPr>
      <w:r>
        <w:rPr>
          <w:noProof/>
        </w:rPr>
        <w:t>Figure 3.22 Schematic diagram of terrestrial water balance in the Gilbert catchment</w:t>
      </w:r>
      <w:r>
        <w:rPr>
          <w:noProof/>
          <w:webHidden/>
        </w:rPr>
        <w:tab/>
        <w:t>57</w:t>
      </w:r>
    </w:p>
    <w:p w:rsidR="00E308BF" w:rsidRDefault="00E308BF">
      <w:pPr>
        <w:pStyle w:val="TableofFigures"/>
        <w:rPr>
          <w:rFonts w:asciiTheme="minorHAnsi" w:eastAsiaTheme="minorEastAsia" w:hAnsiTheme="minorHAnsi" w:cstheme="minorBidi"/>
          <w:noProof/>
          <w:color w:val="auto"/>
        </w:rPr>
      </w:pPr>
      <w:r>
        <w:rPr>
          <w:noProof/>
        </w:rPr>
        <w:t>Figure 3.23 Major aquifers of the Gilbert catchment</w:t>
      </w:r>
      <w:r>
        <w:rPr>
          <w:noProof/>
          <w:webHidden/>
        </w:rPr>
        <w:tab/>
        <w:t>58</w:t>
      </w:r>
    </w:p>
    <w:p w:rsidR="00E308BF" w:rsidRDefault="00E308BF">
      <w:pPr>
        <w:pStyle w:val="TableofFigures"/>
        <w:rPr>
          <w:rFonts w:asciiTheme="minorHAnsi" w:eastAsiaTheme="minorEastAsia" w:hAnsiTheme="minorHAnsi" w:cstheme="minorBidi"/>
          <w:noProof/>
          <w:color w:val="auto"/>
        </w:rPr>
      </w:pPr>
      <w:r>
        <w:rPr>
          <w:noProof/>
        </w:rPr>
        <w:t>Figure 3.24 Schematic cross-section highlighting the connectivity between aquifers of the Carpentaria and Karumba basins of the Great Artesian Basin</w:t>
      </w:r>
      <w:r>
        <w:rPr>
          <w:noProof/>
          <w:webHidden/>
        </w:rPr>
        <w:tab/>
        <w:t>59</w:t>
      </w:r>
    </w:p>
    <w:p w:rsidR="00E308BF" w:rsidRDefault="00E308BF">
      <w:pPr>
        <w:pStyle w:val="TableofFigures"/>
        <w:rPr>
          <w:rFonts w:asciiTheme="minorHAnsi" w:eastAsiaTheme="minorEastAsia" w:hAnsiTheme="minorHAnsi" w:cstheme="minorBidi"/>
          <w:noProof/>
          <w:color w:val="auto"/>
        </w:rPr>
      </w:pPr>
      <w:r>
        <w:rPr>
          <w:noProof/>
        </w:rPr>
        <w:t>Figure 3.25 Groundwater salinity in the Gilbert catchment with the recharge area of the Great Artesian Basin and the location of airborne electromagnetic flight lines shown in Figure 3.26 and Figure 3.27</w:t>
      </w:r>
      <w:r>
        <w:rPr>
          <w:noProof/>
          <w:webHidden/>
        </w:rPr>
        <w:tab/>
        <w:t>60</w:t>
      </w:r>
    </w:p>
    <w:p w:rsidR="00E308BF" w:rsidRDefault="00E308BF">
      <w:pPr>
        <w:pStyle w:val="TableofFigures"/>
        <w:rPr>
          <w:rFonts w:asciiTheme="minorHAnsi" w:eastAsiaTheme="minorEastAsia" w:hAnsiTheme="minorHAnsi" w:cstheme="minorBidi"/>
          <w:noProof/>
          <w:color w:val="auto"/>
        </w:rPr>
      </w:pPr>
      <w:r>
        <w:rPr>
          <w:noProof/>
        </w:rPr>
        <w:t>Figure 3.26 Satellite image and conductivity-depth section for flight line 20070</w:t>
      </w:r>
      <w:r>
        <w:rPr>
          <w:noProof/>
          <w:webHidden/>
        </w:rPr>
        <w:tab/>
        <w:t>61</w:t>
      </w:r>
    </w:p>
    <w:p w:rsidR="00E308BF" w:rsidRDefault="00E308BF">
      <w:pPr>
        <w:pStyle w:val="TableofFigures"/>
        <w:rPr>
          <w:rFonts w:asciiTheme="minorHAnsi" w:eastAsiaTheme="minorEastAsia" w:hAnsiTheme="minorHAnsi" w:cstheme="minorBidi"/>
          <w:noProof/>
          <w:color w:val="auto"/>
        </w:rPr>
      </w:pPr>
      <w:r>
        <w:rPr>
          <w:noProof/>
        </w:rPr>
        <w:t>Figure 3.27 Map of mean annual groundwater recharge in the Gilbert catchment under Scenario A</w:t>
      </w:r>
      <w:r>
        <w:rPr>
          <w:noProof/>
          <w:webHidden/>
        </w:rPr>
        <w:tab/>
        <w:t>63</w:t>
      </w:r>
    </w:p>
    <w:p w:rsidR="00E308BF" w:rsidRDefault="00E308BF">
      <w:pPr>
        <w:pStyle w:val="TableofFigures"/>
        <w:rPr>
          <w:rFonts w:asciiTheme="minorHAnsi" w:eastAsiaTheme="minorEastAsia" w:hAnsiTheme="minorHAnsi" w:cstheme="minorBidi"/>
          <w:noProof/>
          <w:color w:val="auto"/>
        </w:rPr>
      </w:pPr>
      <w:r>
        <w:rPr>
          <w:noProof/>
        </w:rPr>
        <w:t>Figure 3.28 Likelihood of groundwater inflow at river and pool sampling sites in the Gilbert catchment</w:t>
      </w:r>
      <w:r>
        <w:rPr>
          <w:noProof/>
          <w:webHidden/>
        </w:rPr>
        <w:tab/>
        <w:t>65</w:t>
      </w:r>
    </w:p>
    <w:p w:rsidR="00E308BF" w:rsidRDefault="00E308BF">
      <w:pPr>
        <w:pStyle w:val="TableofFigures"/>
        <w:rPr>
          <w:rFonts w:asciiTheme="minorHAnsi" w:eastAsiaTheme="minorEastAsia" w:hAnsiTheme="minorHAnsi" w:cstheme="minorBidi"/>
          <w:noProof/>
          <w:color w:val="auto"/>
        </w:rPr>
      </w:pPr>
      <w:r>
        <w:rPr>
          <w:noProof/>
        </w:rPr>
        <w:t>Figure 3.29 Main rivers and streamflow gauging stations of the Gilbert catchment</w:t>
      </w:r>
      <w:r>
        <w:rPr>
          <w:noProof/>
          <w:webHidden/>
        </w:rPr>
        <w:tab/>
        <w:t>66</w:t>
      </w:r>
    </w:p>
    <w:p w:rsidR="00E308BF" w:rsidRDefault="00E308BF">
      <w:pPr>
        <w:pStyle w:val="TableofFigures"/>
        <w:rPr>
          <w:rFonts w:asciiTheme="minorHAnsi" w:eastAsiaTheme="minorEastAsia" w:hAnsiTheme="minorHAnsi" w:cstheme="minorBidi"/>
          <w:noProof/>
          <w:color w:val="auto"/>
        </w:rPr>
      </w:pPr>
      <w:r>
        <w:rPr>
          <w:noProof/>
        </w:rPr>
        <w:t>Figure 3.30 Change in catchment area along the Gilbert River from Gilberton</w:t>
      </w:r>
      <w:r>
        <w:rPr>
          <w:noProof/>
          <w:webHidden/>
        </w:rPr>
        <w:tab/>
        <w:t>67</w:t>
      </w:r>
    </w:p>
    <w:p w:rsidR="00E308BF" w:rsidRDefault="00E308BF">
      <w:pPr>
        <w:pStyle w:val="TableofFigures"/>
        <w:rPr>
          <w:rFonts w:asciiTheme="minorHAnsi" w:eastAsiaTheme="minorEastAsia" w:hAnsiTheme="minorHAnsi" w:cstheme="minorBidi"/>
          <w:noProof/>
          <w:color w:val="auto"/>
        </w:rPr>
      </w:pPr>
      <w:r>
        <w:rPr>
          <w:noProof/>
        </w:rPr>
        <w:t>Figure 3.31 Change in catchment area along the Einasleigh River from the confluence of the Einasleigh River and Bundock Creek</w:t>
      </w:r>
      <w:r>
        <w:rPr>
          <w:noProof/>
          <w:webHidden/>
        </w:rPr>
        <w:tab/>
        <w:t>67</w:t>
      </w:r>
    </w:p>
    <w:p w:rsidR="00E308BF" w:rsidRDefault="00E308BF">
      <w:pPr>
        <w:pStyle w:val="TableofFigures"/>
        <w:rPr>
          <w:rFonts w:asciiTheme="minorHAnsi" w:eastAsiaTheme="minorEastAsia" w:hAnsiTheme="minorHAnsi" w:cstheme="minorBidi"/>
          <w:noProof/>
          <w:color w:val="auto"/>
        </w:rPr>
      </w:pPr>
      <w:r>
        <w:rPr>
          <w:noProof/>
        </w:rPr>
        <w:t>Figure 3.32 Mean annual rainfall and runoff across the Gilbert catchment under Scenario A</w:t>
      </w:r>
      <w:r>
        <w:rPr>
          <w:noProof/>
          <w:webHidden/>
        </w:rPr>
        <w:tab/>
        <w:t>68</w:t>
      </w:r>
    </w:p>
    <w:p w:rsidR="00E308BF" w:rsidRDefault="00E308BF">
      <w:pPr>
        <w:pStyle w:val="TableofFigures"/>
        <w:rPr>
          <w:rFonts w:asciiTheme="minorHAnsi" w:eastAsiaTheme="minorEastAsia" w:hAnsiTheme="minorHAnsi" w:cstheme="minorBidi"/>
          <w:noProof/>
          <w:color w:val="auto"/>
        </w:rPr>
      </w:pPr>
      <w:r>
        <w:rPr>
          <w:noProof/>
        </w:rPr>
        <w:t>Figure 3.33 Map showing 20%, 50% (median) and 80% exceedance annual runoff across the Gilbert catchment under Scenario A</w:t>
      </w:r>
      <w:r>
        <w:rPr>
          <w:noProof/>
          <w:webHidden/>
        </w:rPr>
        <w:tab/>
        <w:t>68</w:t>
      </w:r>
    </w:p>
    <w:p w:rsidR="00E308BF" w:rsidRDefault="00E308BF">
      <w:pPr>
        <w:pStyle w:val="TableofFigures"/>
        <w:rPr>
          <w:rFonts w:asciiTheme="minorHAnsi" w:eastAsiaTheme="minorEastAsia" w:hAnsiTheme="minorHAnsi" w:cstheme="minorBidi"/>
          <w:noProof/>
          <w:color w:val="auto"/>
        </w:rPr>
      </w:pPr>
      <w:r>
        <w:rPr>
          <w:noProof/>
        </w:rPr>
        <w:t>Figure 3.34 Runoff in the Gilbert catchment under Scenario A</w:t>
      </w:r>
      <w:r>
        <w:rPr>
          <w:noProof/>
          <w:webHidden/>
        </w:rPr>
        <w:tab/>
        <w:t>69</w:t>
      </w:r>
    </w:p>
    <w:p w:rsidR="00E308BF" w:rsidRDefault="00E308BF">
      <w:pPr>
        <w:pStyle w:val="TableofFigures"/>
        <w:rPr>
          <w:rFonts w:asciiTheme="minorHAnsi" w:eastAsiaTheme="minorEastAsia" w:hAnsiTheme="minorHAnsi" w:cstheme="minorBidi"/>
          <w:noProof/>
          <w:color w:val="auto"/>
        </w:rPr>
      </w:pPr>
      <w:r>
        <w:rPr>
          <w:noProof/>
        </w:rPr>
        <w:t>Figure 3.35 Gilbert River downstream of Rockfields streamflow gauging station (October 2012)</w:t>
      </w:r>
      <w:r>
        <w:rPr>
          <w:noProof/>
          <w:webHidden/>
        </w:rPr>
        <w:tab/>
        <w:t>69</w:t>
      </w:r>
    </w:p>
    <w:p w:rsidR="00E308BF" w:rsidRDefault="00E308BF">
      <w:pPr>
        <w:pStyle w:val="TableofFigures"/>
        <w:rPr>
          <w:rFonts w:asciiTheme="minorHAnsi" w:eastAsiaTheme="minorEastAsia" w:hAnsiTheme="minorHAnsi" w:cstheme="minorBidi"/>
          <w:noProof/>
          <w:color w:val="auto"/>
        </w:rPr>
      </w:pPr>
      <w:r>
        <w:rPr>
          <w:noProof/>
        </w:rPr>
        <w:t>Figure 3.36 Median annual streamflow (i.e. 50% exceedance) in the Gilbert catchment</w:t>
      </w:r>
      <w:r>
        <w:rPr>
          <w:noProof/>
          <w:webHidden/>
        </w:rPr>
        <w:tab/>
        <w:t>72</w:t>
      </w:r>
    </w:p>
    <w:p w:rsidR="00E308BF" w:rsidRDefault="00E308BF">
      <w:pPr>
        <w:pStyle w:val="TableofFigures"/>
        <w:rPr>
          <w:rFonts w:asciiTheme="minorHAnsi" w:eastAsiaTheme="minorEastAsia" w:hAnsiTheme="minorHAnsi" w:cstheme="minorBidi"/>
          <w:noProof/>
          <w:color w:val="auto"/>
        </w:rPr>
      </w:pPr>
      <w:r>
        <w:rPr>
          <w:noProof/>
        </w:rPr>
        <w:t>Figure 3.37 20% and 80% exceedance of annual streamflow in the Gilbert catchment</w:t>
      </w:r>
      <w:r>
        <w:rPr>
          <w:noProof/>
          <w:webHidden/>
        </w:rPr>
        <w:tab/>
        <w:t>72</w:t>
      </w:r>
    </w:p>
    <w:p w:rsidR="00E308BF" w:rsidRDefault="00E308BF">
      <w:pPr>
        <w:pStyle w:val="TableofFigures"/>
        <w:rPr>
          <w:rFonts w:asciiTheme="minorHAnsi" w:eastAsiaTheme="minorEastAsia" w:hAnsiTheme="minorHAnsi" w:cstheme="minorBidi"/>
          <w:noProof/>
          <w:color w:val="auto"/>
        </w:rPr>
      </w:pPr>
      <w:r>
        <w:rPr>
          <w:noProof/>
        </w:rPr>
        <w:t>Figure 3.38 Flood inundation map of the Gilbert catchment</w:t>
      </w:r>
      <w:r>
        <w:rPr>
          <w:noProof/>
          <w:webHidden/>
        </w:rPr>
        <w:tab/>
        <w:t>74</w:t>
      </w:r>
    </w:p>
    <w:p w:rsidR="00E308BF" w:rsidRDefault="00E308BF">
      <w:pPr>
        <w:pStyle w:val="TableofFigures"/>
        <w:rPr>
          <w:rFonts w:asciiTheme="minorHAnsi" w:eastAsiaTheme="minorEastAsia" w:hAnsiTheme="minorHAnsi" w:cstheme="minorBidi"/>
          <w:noProof/>
          <w:color w:val="auto"/>
        </w:rPr>
      </w:pPr>
      <w:r>
        <w:rPr>
          <w:noProof/>
        </w:rPr>
        <w:t>Figure 3.39 Spatial extent and temporal variation of inundation during simulated flood events of (a) 2001, (b) 2008, (c) 2009 and (d) 2011</w:t>
      </w:r>
      <w:r>
        <w:rPr>
          <w:noProof/>
          <w:webHidden/>
        </w:rPr>
        <w:tab/>
        <w:t>75</w:t>
      </w:r>
    </w:p>
    <w:p w:rsidR="00E308BF" w:rsidRDefault="00E308BF">
      <w:pPr>
        <w:pStyle w:val="TableofFigures"/>
        <w:rPr>
          <w:rFonts w:asciiTheme="minorHAnsi" w:eastAsiaTheme="minorEastAsia" w:hAnsiTheme="minorHAnsi" w:cstheme="minorBidi"/>
          <w:noProof/>
          <w:color w:val="auto"/>
        </w:rPr>
      </w:pPr>
      <w:r>
        <w:rPr>
          <w:noProof/>
        </w:rPr>
        <w:t>Figure 3.40 Instream waterhole evolution</w:t>
      </w:r>
      <w:r>
        <w:rPr>
          <w:noProof/>
          <w:webHidden/>
        </w:rPr>
        <w:tab/>
        <w:t>76</w:t>
      </w:r>
    </w:p>
    <w:p w:rsidR="00E308BF" w:rsidRDefault="00E308BF">
      <w:pPr>
        <w:pStyle w:val="TableofFigures"/>
        <w:rPr>
          <w:rFonts w:asciiTheme="minorHAnsi" w:eastAsiaTheme="minorEastAsia" w:hAnsiTheme="minorHAnsi" w:cstheme="minorBidi"/>
          <w:noProof/>
          <w:color w:val="auto"/>
        </w:rPr>
      </w:pPr>
      <w:r>
        <w:rPr>
          <w:noProof/>
        </w:rPr>
        <w:t>Figure 3.41 Location of key aquatic refugia identified in the Gilbert catchment</w:t>
      </w:r>
      <w:r>
        <w:rPr>
          <w:noProof/>
          <w:webHidden/>
        </w:rPr>
        <w:tab/>
        <w:t>77</w:t>
      </w:r>
    </w:p>
    <w:p w:rsidR="00E308BF" w:rsidRDefault="00E308BF">
      <w:pPr>
        <w:pStyle w:val="TableofFigures"/>
        <w:rPr>
          <w:rFonts w:asciiTheme="minorHAnsi" w:eastAsiaTheme="minorEastAsia" w:hAnsiTheme="minorHAnsi" w:cstheme="minorBidi"/>
          <w:noProof/>
          <w:color w:val="auto"/>
        </w:rPr>
      </w:pPr>
      <w:r>
        <w:rPr>
          <w:noProof/>
        </w:rPr>
        <w:t>Figure 4.1 Schematic diagram of key components of the living and built environment to be considered in the establishment of a greenfield irrigation development</w:t>
      </w:r>
      <w:r>
        <w:rPr>
          <w:noProof/>
          <w:webHidden/>
        </w:rPr>
        <w:tab/>
        <w:t>80</w:t>
      </w:r>
    </w:p>
    <w:p w:rsidR="00E308BF" w:rsidRDefault="00E308BF">
      <w:pPr>
        <w:pStyle w:val="TableofFigures"/>
        <w:rPr>
          <w:rFonts w:asciiTheme="minorHAnsi" w:eastAsiaTheme="minorEastAsia" w:hAnsiTheme="minorHAnsi" w:cstheme="minorBidi"/>
          <w:noProof/>
          <w:color w:val="auto"/>
        </w:rPr>
      </w:pPr>
      <w:r>
        <w:rPr>
          <w:noProof/>
        </w:rPr>
        <w:t>Figure 4.2 Gilbert River</w:t>
      </w:r>
      <w:r>
        <w:rPr>
          <w:noProof/>
          <w:webHidden/>
        </w:rPr>
        <w:tab/>
        <w:t>83</w:t>
      </w:r>
    </w:p>
    <w:p w:rsidR="00E308BF" w:rsidRDefault="00E308BF">
      <w:pPr>
        <w:pStyle w:val="TableofFigures"/>
        <w:rPr>
          <w:rFonts w:asciiTheme="minorHAnsi" w:eastAsiaTheme="minorEastAsia" w:hAnsiTheme="minorHAnsi" w:cstheme="minorBidi"/>
          <w:noProof/>
          <w:color w:val="auto"/>
        </w:rPr>
      </w:pPr>
      <w:r>
        <w:rPr>
          <w:noProof/>
        </w:rPr>
        <w:t>Figure 4.3 Fish distribution in the Gilbert catchment</w:t>
      </w:r>
      <w:r>
        <w:rPr>
          <w:noProof/>
          <w:webHidden/>
        </w:rPr>
        <w:tab/>
        <w:t>85</w:t>
      </w:r>
    </w:p>
    <w:p w:rsidR="00E308BF" w:rsidRDefault="00E308BF">
      <w:pPr>
        <w:pStyle w:val="TableofFigures"/>
        <w:rPr>
          <w:rFonts w:asciiTheme="minorHAnsi" w:eastAsiaTheme="minorEastAsia" w:hAnsiTheme="minorHAnsi" w:cstheme="minorBidi"/>
          <w:noProof/>
          <w:color w:val="auto"/>
        </w:rPr>
      </w:pPr>
      <w:r>
        <w:rPr>
          <w:noProof/>
        </w:rPr>
        <w:t>Figure 4.4 Saw-shelled turtle captured in the Gilbert catchment</w:t>
      </w:r>
      <w:r>
        <w:rPr>
          <w:noProof/>
          <w:webHidden/>
        </w:rPr>
        <w:tab/>
        <w:t>86</w:t>
      </w:r>
    </w:p>
    <w:p w:rsidR="00E308BF" w:rsidRDefault="00E308BF">
      <w:pPr>
        <w:pStyle w:val="TableofFigures"/>
        <w:rPr>
          <w:rFonts w:asciiTheme="minorHAnsi" w:eastAsiaTheme="minorEastAsia" w:hAnsiTheme="minorHAnsi" w:cstheme="minorBidi"/>
          <w:noProof/>
          <w:color w:val="auto"/>
        </w:rPr>
      </w:pPr>
      <w:r>
        <w:rPr>
          <w:noProof/>
        </w:rPr>
        <w:t>Figure 4.5 Example of a typically clear waterhole in the Einasleigh River, Gilbert catchment</w:t>
      </w:r>
      <w:r>
        <w:rPr>
          <w:noProof/>
          <w:webHidden/>
        </w:rPr>
        <w:tab/>
        <w:t>88</w:t>
      </w:r>
    </w:p>
    <w:p w:rsidR="00E308BF" w:rsidRDefault="00E308BF">
      <w:pPr>
        <w:pStyle w:val="TableofFigures"/>
        <w:rPr>
          <w:rFonts w:asciiTheme="minorHAnsi" w:eastAsiaTheme="minorEastAsia" w:hAnsiTheme="minorHAnsi" w:cstheme="minorBidi"/>
          <w:noProof/>
          <w:color w:val="auto"/>
        </w:rPr>
      </w:pPr>
      <w:r>
        <w:rPr>
          <w:noProof/>
        </w:rPr>
        <w:t>Figure 4.6 Status of regional ecosystem biodiversity for the Gilbert catchment</w:t>
      </w:r>
      <w:r>
        <w:rPr>
          <w:noProof/>
          <w:webHidden/>
        </w:rPr>
        <w:tab/>
        <w:t>91</w:t>
      </w:r>
    </w:p>
    <w:p w:rsidR="00E308BF" w:rsidRDefault="00E308BF">
      <w:pPr>
        <w:pStyle w:val="TableofFigures"/>
        <w:rPr>
          <w:rFonts w:asciiTheme="minorHAnsi" w:eastAsiaTheme="minorEastAsia" w:hAnsiTheme="minorHAnsi" w:cstheme="minorBidi"/>
          <w:noProof/>
          <w:color w:val="auto"/>
        </w:rPr>
      </w:pPr>
      <w:r>
        <w:rPr>
          <w:noProof/>
        </w:rPr>
        <w:t>Figure 4.7 Spatial representation of important ecological assets across the Gilbert catchment</w:t>
      </w:r>
      <w:r>
        <w:rPr>
          <w:noProof/>
          <w:webHidden/>
        </w:rPr>
        <w:tab/>
        <w:t>93</w:t>
      </w:r>
    </w:p>
    <w:p w:rsidR="00E308BF" w:rsidRDefault="00E308BF">
      <w:pPr>
        <w:pStyle w:val="TableofFigures"/>
        <w:rPr>
          <w:rFonts w:asciiTheme="minorHAnsi" w:eastAsiaTheme="minorEastAsia" w:hAnsiTheme="minorHAnsi" w:cstheme="minorBidi"/>
          <w:noProof/>
          <w:color w:val="auto"/>
        </w:rPr>
      </w:pPr>
      <w:r>
        <w:rPr>
          <w:noProof/>
        </w:rPr>
        <w:t>Figure 4.8 Photographic collage of early colonial mining on the Etheridge goldfields (Lees, 1899)</w:t>
      </w:r>
      <w:r>
        <w:rPr>
          <w:noProof/>
          <w:webHidden/>
        </w:rPr>
        <w:tab/>
        <w:t>96</w:t>
      </w:r>
    </w:p>
    <w:p w:rsidR="00E308BF" w:rsidRDefault="00E308BF">
      <w:pPr>
        <w:pStyle w:val="TableofFigures"/>
        <w:rPr>
          <w:rFonts w:asciiTheme="minorHAnsi" w:eastAsiaTheme="minorEastAsia" w:hAnsiTheme="minorHAnsi" w:cstheme="minorBidi"/>
          <w:noProof/>
          <w:color w:val="auto"/>
        </w:rPr>
      </w:pPr>
      <w:r>
        <w:rPr>
          <w:noProof/>
        </w:rPr>
        <w:t>Figure 4.9 Current native title determinations and applications in the Gilbert catchment</w:t>
      </w:r>
      <w:r>
        <w:rPr>
          <w:noProof/>
          <w:webHidden/>
        </w:rPr>
        <w:tab/>
        <w:t>98</w:t>
      </w:r>
    </w:p>
    <w:p w:rsidR="00E308BF" w:rsidRDefault="00E308BF">
      <w:pPr>
        <w:pStyle w:val="TableofFigures"/>
        <w:rPr>
          <w:rFonts w:asciiTheme="minorHAnsi" w:eastAsiaTheme="minorEastAsia" w:hAnsiTheme="minorHAnsi" w:cstheme="minorBidi"/>
          <w:noProof/>
          <w:color w:val="auto"/>
        </w:rPr>
      </w:pPr>
      <w:r>
        <w:rPr>
          <w:noProof/>
        </w:rPr>
        <w:t>Figure 4.10 Indigenous land use agreements and Indigenous-controlled pastoral leases in the Gilbert catchment</w:t>
      </w:r>
      <w:r>
        <w:rPr>
          <w:noProof/>
          <w:webHidden/>
        </w:rPr>
        <w:tab/>
        <w:t>99</w:t>
      </w:r>
    </w:p>
    <w:p w:rsidR="00E308BF" w:rsidRDefault="00E308BF">
      <w:pPr>
        <w:pStyle w:val="TableofFigures"/>
        <w:rPr>
          <w:rFonts w:asciiTheme="minorHAnsi" w:eastAsiaTheme="minorEastAsia" w:hAnsiTheme="minorHAnsi" w:cstheme="minorBidi"/>
          <w:noProof/>
          <w:color w:val="auto"/>
        </w:rPr>
      </w:pPr>
      <w:r>
        <w:rPr>
          <w:noProof/>
        </w:rPr>
        <w:t>Figure 4.11 Total live cattle export from Australia, September 1992 to September 2012</w:t>
      </w:r>
      <w:r>
        <w:rPr>
          <w:noProof/>
          <w:webHidden/>
        </w:rPr>
        <w:tab/>
        <w:t>112</w:t>
      </w:r>
    </w:p>
    <w:p w:rsidR="00E308BF" w:rsidRDefault="00E308BF">
      <w:pPr>
        <w:pStyle w:val="TableofFigures"/>
        <w:rPr>
          <w:rFonts w:asciiTheme="minorHAnsi" w:eastAsiaTheme="minorEastAsia" w:hAnsiTheme="minorHAnsi" w:cstheme="minorBidi"/>
          <w:noProof/>
          <w:color w:val="auto"/>
        </w:rPr>
      </w:pPr>
      <w:r>
        <w:rPr>
          <w:noProof/>
        </w:rPr>
        <w:lastRenderedPageBreak/>
        <w:t>Figure 4.12 Current mining and mineral exploration and development leases in the Gilbert catchment</w:t>
      </w:r>
      <w:r>
        <w:rPr>
          <w:noProof/>
          <w:webHidden/>
        </w:rPr>
        <w:tab/>
        <w:t>113</w:t>
      </w:r>
    </w:p>
    <w:p w:rsidR="00E308BF" w:rsidRDefault="00E308BF">
      <w:pPr>
        <w:pStyle w:val="TableofFigures"/>
        <w:rPr>
          <w:rFonts w:asciiTheme="minorHAnsi" w:eastAsiaTheme="minorEastAsia" w:hAnsiTheme="minorHAnsi" w:cstheme="minorBidi"/>
          <w:noProof/>
          <w:color w:val="auto"/>
        </w:rPr>
      </w:pPr>
      <w:r>
        <w:rPr>
          <w:noProof/>
        </w:rPr>
        <w:t>Figure 4.13 Petroleum, geothermal and coal exploration licences in the Gilbert catchment</w:t>
      </w:r>
      <w:r>
        <w:rPr>
          <w:noProof/>
          <w:webHidden/>
        </w:rPr>
        <w:tab/>
        <w:t>114</w:t>
      </w:r>
    </w:p>
    <w:p w:rsidR="00E308BF" w:rsidRDefault="00E308BF">
      <w:pPr>
        <w:pStyle w:val="TableofFigures"/>
        <w:rPr>
          <w:rFonts w:asciiTheme="minorHAnsi" w:eastAsiaTheme="minorEastAsia" w:hAnsiTheme="minorHAnsi" w:cstheme="minorBidi"/>
          <w:noProof/>
          <w:color w:val="auto"/>
        </w:rPr>
      </w:pPr>
      <w:r>
        <w:rPr>
          <w:noProof/>
        </w:rPr>
        <w:t>Figure 4.14 Downstream face of Kidston Dam (officially known as Copperfield River Gorge Dam) on the Copperfield River</w:t>
      </w:r>
      <w:r>
        <w:rPr>
          <w:noProof/>
          <w:webHidden/>
        </w:rPr>
        <w:tab/>
        <w:t>115</w:t>
      </w:r>
    </w:p>
    <w:p w:rsidR="00E308BF" w:rsidRDefault="00E308BF">
      <w:pPr>
        <w:pStyle w:val="TableofFigures"/>
        <w:rPr>
          <w:rFonts w:asciiTheme="minorHAnsi" w:eastAsiaTheme="minorEastAsia" w:hAnsiTheme="minorHAnsi" w:cstheme="minorBidi"/>
          <w:noProof/>
          <w:color w:val="auto"/>
        </w:rPr>
      </w:pPr>
      <w:r>
        <w:rPr>
          <w:noProof/>
        </w:rPr>
        <w:t>Figure 4.15 Multi-combination vehicles</w:t>
      </w:r>
      <w:r>
        <w:rPr>
          <w:noProof/>
          <w:webHidden/>
        </w:rPr>
        <w:tab/>
        <w:t>116</w:t>
      </w:r>
    </w:p>
    <w:p w:rsidR="00E308BF" w:rsidRDefault="00E308BF">
      <w:pPr>
        <w:pStyle w:val="TableofFigures"/>
        <w:rPr>
          <w:rFonts w:asciiTheme="minorHAnsi" w:eastAsiaTheme="minorEastAsia" w:hAnsiTheme="minorHAnsi" w:cstheme="minorBidi"/>
          <w:noProof/>
          <w:color w:val="auto"/>
        </w:rPr>
      </w:pPr>
      <w:r>
        <w:rPr>
          <w:noProof/>
        </w:rPr>
        <w:t>Figure 4.16 Queensland infrastructure map showing accessibility of heavy vehicles, ports and railways in Queensland and the Gilbert catchment</w:t>
      </w:r>
      <w:r>
        <w:rPr>
          <w:noProof/>
          <w:webHidden/>
        </w:rPr>
        <w:tab/>
        <w:t>117</w:t>
      </w:r>
    </w:p>
    <w:p w:rsidR="00E308BF" w:rsidRDefault="00E308BF">
      <w:pPr>
        <w:pStyle w:val="TableofFigures"/>
        <w:rPr>
          <w:rFonts w:asciiTheme="minorHAnsi" w:eastAsiaTheme="minorEastAsia" w:hAnsiTheme="minorHAnsi" w:cstheme="minorBidi"/>
          <w:noProof/>
          <w:color w:val="auto"/>
        </w:rPr>
      </w:pPr>
      <w:r>
        <w:rPr>
          <w:noProof/>
        </w:rPr>
        <w:t>Figure 4.17 Gilbert catchment infrastructure map showing accessibility of heavy vehicles, ports, railways and high voltage powerlines</w:t>
      </w:r>
      <w:r>
        <w:rPr>
          <w:noProof/>
          <w:webHidden/>
        </w:rPr>
        <w:tab/>
        <w:t>118</w:t>
      </w:r>
    </w:p>
    <w:p w:rsidR="00E308BF" w:rsidRDefault="00E308BF">
      <w:pPr>
        <w:pStyle w:val="TableofFigures"/>
        <w:rPr>
          <w:rFonts w:asciiTheme="minorHAnsi" w:eastAsiaTheme="minorEastAsia" w:hAnsiTheme="minorHAnsi" w:cstheme="minorBidi"/>
          <w:noProof/>
          <w:color w:val="auto"/>
        </w:rPr>
      </w:pPr>
      <w:r>
        <w:rPr>
          <w:noProof/>
        </w:rPr>
        <w:t>Figure 5.1 Schematic diagram of key engineering and agricultural components to be considered in the establishment of a greenfield irrigation development</w:t>
      </w:r>
      <w:r>
        <w:rPr>
          <w:noProof/>
          <w:webHidden/>
        </w:rPr>
        <w:tab/>
        <w:t>128</w:t>
      </w:r>
    </w:p>
    <w:p w:rsidR="00E308BF" w:rsidRDefault="00E308BF">
      <w:pPr>
        <w:pStyle w:val="TableofFigures"/>
        <w:rPr>
          <w:rFonts w:asciiTheme="minorHAnsi" w:eastAsiaTheme="minorEastAsia" w:hAnsiTheme="minorHAnsi" w:cstheme="minorBidi"/>
          <w:noProof/>
          <w:color w:val="auto"/>
        </w:rPr>
      </w:pPr>
      <w:r>
        <w:rPr>
          <w:noProof/>
        </w:rPr>
        <w:t>Figure 5.2 Schematic diagram of an embankment dam</w:t>
      </w:r>
      <w:r>
        <w:rPr>
          <w:noProof/>
          <w:webHidden/>
        </w:rPr>
        <w:tab/>
        <w:t>131</w:t>
      </w:r>
    </w:p>
    <w:p w:rsidR="00E308BF" w:rsidRDefault="00E308BF">
      <w:pPr>
        <w:pStyle w:val="TableofFigures"/>
        <w:rPr>
          <w:rFonts w:asciiTheme="minorHAnsi" w:eastAsiaTheme="minorEastAsia" w:hAnsiTheme="minorHAnsi" w:cstheme="minorBidi"/>
          <w:noProof/>
          <w:color w:val="auto"/>
        </w:rPr>
      </w:pPr>
      <w:r>
        <w:rPr>
          <w:noProof/>
        </w:rPr>
        <w:t>Figure 5.3 DamSite model results for the Gilbert catchment overlain on transparent geology and shaded relief map</w:t>
      </w:r>
      <w:r>
        <w:rPr>
          <w:noProof/>
          <w:webHidden/>
        </w:rPr>
        <w:tab/>
        <w:t>134</w:t>
      </w:r>
    </w:p>
    <w:p w:rsidR="00E308BF" w:rsidRDefault="00E308BF">
      <w:pPr>
        <w:pStyle w:val="TableofFigures"/>
        <w:rPr>
          <w:rFonts w:asciiTheme="minorHAnsi" w:eastAsiaTheme="minorEastAsia" w:hAnsiTheme="minorHAnsi" w:cstheme="minorBidi"/>
          <w:noProof/>
          <w:color w:val="auto"/>
        </w:rPr>
      </w:pPr>
      <w:r>
        <w:rPr>
          <w:noProof/>
        </w:rPr>
        <w:t>Figure 5.4 Mount Noble range looking upstream along Einasleigh River</w:t>
      </w:r>
      <w:r>
        <w:rPr>
          <w:noProof/>
          <w:webHidden/>
        </w:rPr>
        <w:tab/>
        <w:t>138</w:t>
      </w:r>
    </w:p>
    <w:p w:rsidR="00E308BF" w:rsidRDefault="00E308BF">
      <w:pPr>
        <w:pStyle w:val="TableofFigures"/>
        <w:rPr>
          <w:rFonts w:asciiTheme="minorHAnsi" w:eastAsiaTheme="minorEastAsia" w:hAnsiTheme="minorHAnsi" w:cstheme="minorBidi"/>
          <w:noProof/>
          <w:color w:val="auto"/>
        </w:rPr>
      </w:pPr>
      <w:r>
        <w:rPr>
          <w:noProof/>
        </w:rPr>
        <w:t>Figure 5.5 Cost of water in $/ML versus cumulative divertible yield at 85% annual time reliability</w:t>
      </w:r>
      <w:r>
        <w:rPr>
          <w:noProof/>
          <w:webHidden/>
        </w:rPr>
        <w:tab/>
        <w:t>139</w:t>
      </w:r>
    </w:p>
    <w:p w:rsidR="00E308BF" w:rsidRDefault="00E308BF">
      <w:pPr>
        <w:pStyle w:val="TableofFigures"/>
        <w:rPr>
          <w:rFonts w:asciiTheme="minorHAnsi" w:eastAsiaTheme="minorEastAsia" w:hAnsiTheme="minorHAnsi" w:cstheme="minorBidi"/>
          <w:noProof/>
          <w:color w:val="auto"/>
        </w:rPr>
      </w:pPr>
      <w:r>
        <w:rPr>
          <w:noProof/>
        </w:rPr>
        <w:t>Figure 5.6 Kidston Dam looking upstream</w:t>
      </w:r>
      <w:r>
        <w:rPr>
          <w:noProof/>
          <w:webHidden/>
        </w:rPr>
        <w:tab/>
        <w:t>141</w:t>
      </w:r>
    </w:p>
    <w:p w:rsidR="00E308BF" w:rsidRDefault="00E308BF">
      <w:pPr>
        <w:pStyle w:val="TableofFigures"/>
        <w:rPr>
          <w:rFonts w:asciiTheme="minorHAnsi" w:eastAsiaTheme="minorEastAsia" w:hAnsiTheme="minorHAnsi" w:cstheme="minorBidi"/>
          <w:noProof/>
          <w:color w:val="auto"/>
        </w:rPr>
      </w:pPr>
      <w:r>
        <w:rPr>
          <w:noProof/>
        </w:rPr>
        <w:t>Figure 5.7 Dam cross-section, height, volume and reservoir surface area for Kidston Dam</w:t>
      </w:r>
      <w:r>
        <w:rPr>
          <w:noProof/>
          <w:webHidden/>
        </w:rPr>
        <w:tab/>
        <w:t>141</w:t>
      </w:r>
    </w:p>
    <w:p w:rsidR="00E308BF" w:rsidRDefault="00E308BF">
      <w:pPr>
        <w:pStyle w:val="TableofFigures"/>
        <w:rPr>
          <w:rFonts w:asciiTheme="minorHAnsi" w:eastAsiaTheme="minorEastAsia" w:hAnsiTheme="minorHAnsi" w:cstheme="minorBidi"/>
          <w:noProof/>
          <w:color w:val="auto"/>
        </w:rPr>
      </w:pPr>
      <w:r>
        <w:rPr>
          <w:noProof/>
        </w:rPr>
        <w:t>Figure 5.8 Raised Kidston Dam extent of inundation and property boundaries (indicated by coloured shading)</w:t>
      </w:r>
      <w:r>
        <w:rPr>
          <w:noProof/>
          <w:webHidden/>
        </w:rPr>
        <w:tab/>
        <w:t>142</w:t>
      </w:r>
    </w:p>
    <w:p w:rsidR="00E308BF" w:rsidRDefault="00E308BF">
      <w:pPr>
        <w:pStyle w:val="TableofFigures"/>
        <w:rPr>
          <w:rFonts w:asciiTheme="minorHAnsi" w:eastAsiaTheme="minorEastAsia" w:hAnsiTheme="minorHAnsi" w:cstheme="minorBidi"/>
          <w:noProof/>
          <w:color w:val="auto"/>
        </w:rPr>
      </w:pPr>
      <w:r>
        <w:rPr>
          <w:noProof/>
        </w:rPr>
        <w:t>Figure 5.9 Annual time reliability and volumetric reliability for Kidston Dam under scenarios A and C</w:t>
      </w:r>
      <w:r>
        <w:rPr>
          <w:noProof/>
          <w:webHidden/>
        </w:rPr>
        <w:tab/>
        <w:t>143</w:t>
      </w:r>
    </w:p>
    <w:p w:rsidR="00E308BF" w:rsidRDefault="00E308BF">
      <w:pPr>
        <w:pStyle w:val="TableofFigures"/>
        <w:rPr>
          <w:rFonts w:asciiTheme="minorHAnsi" w:eastAsiaTheme="minorEastAsia" w:hAnsiTheme="minorHAnsi" w:cstheme="minorBidi"/>
          <w:noProof/>
          <w:color w:val="auto"/>
        </w:rPr>
      </w:pPr>
      <w:r>
        <w:rPr>
          <w:noProof/>
        </w:rPr>
        <w:t>Figure 5.10 Comparisons of inundated area with and without the raising of Kidston Dam under Scenario A</w:t>
      </w:r>
      <w:r>
        <w:rPr>
          <w:noProof/>
          <w:webHidden/>
        </w:rPr>
        <w:tab/>
        <w:t>143</w:t>
      </w:r>
    </w:p>
    <w:p w:rsidR="00E308BF" w:rsidRDefault="00E308BF">
      <w:pPr>
        <w:pStyle w:val="TableofFigures"/>
        <w:rPr>
          <w:rFonts w:asciiTheme="minorHAnsi" w:eastAsiaTheme="minorEastAsia" w:hAnsiTheme="minorHAnsi" w:cstheme="minorBidi"/>
          <w:noProof/>
          <w:color w:val="auto"/>
        </w:rPr>
      </w:pPr>
      <w:r>
        <w:rPr>
          <w:noProof/>
        </w:rPr>
        <w:t>Figure 5.11 Regional ecosystems inundated by the raised Kidston Dam reservoir at full supply level</w:t>
      </w:r>
      <w:r>
        <w:rPr>
          <w:noProof/>
          <w:webHidden/>
        </w:rPr>
        <w:tab/>
        <w:t>144</w:t>
      </w:r>
    </w:p>
    <w:p w:rsidR="00E308BF" w:rsidRDefault="00E308BF">
      <w:pPr>
        <w:pStyle w:val="TableofFigures"/>
        <w:rPr>
          <w:rFonts w:asciiTheme="minorHAnsi" w:eastAsiaTheme="minorEastAsia" w:hAnsiTheme="minorHAnsi" w:cstheme="minorBidi"/>
          <w:noProof/>
          <w:color w:val="auto"/>
        </w:rPr>
      </w:pPr>
      <w:r>
        <w:rPr>
          <w:noProof/>
        </w:rPr>
        <w:t>Figure 5.12 Dagworth potential dam site, looking upstream</w:t>
      </w:r>
      <w:r>
        <w:rPr>
          <w:noProof/>
          <w:webHidden/>
        </w:rPr>
        <w:tab/>
        <w:t>145</w:t>
      </w:r>
    </w:p>
    <w:p w:rsidR="00E308BF" w:rsidRDefault="00E308BF">
      <w:pPr>
        <w:pStyle w:val="TableofFigures"/>
        <w:rPr>
          <w:rFonts w:asciiTheme="minorHAnsi" w:eastAsiaTheme="minorEastAsia" w:hAnsiTheme="minorHAnsi" w:cstheme="minorBidi"/>
          <w:noProof/>
          <w:color w:val="auto"/>
        </w:rPr>
      </w:pPr>
      <w:r>
        <w:rPr>
          <w:noProof/>
        </w:rPr>
        <w:t>Figure 5.13 Dam cross-section, height, volume and reservoir surface area for Dagworth dam site</w:t>
      </w:r>
      <w:r>
        <w:rPr>
          <w:noProof/>
          <w:webHidden/>
        </w:rPr>
        <w:tab/>
        <w:t>146</w:t>
      </w:r>
    </w:p>
    <w:p w:rsidR="00E308BF" w:rsidRDefault="00E308BF">
      <w:pPr>
        <w:pStyle w:val="TableofFigures"/>
        <w:rPr>
          <w:rFonts w:asciiTheme="minorHAnsi" w:eastAsiaTheme="minorEastAsia" w:hAnsiTheme="minorHAnsi" w:cstheme="minorBidi"/>
          <w:noProof/>
          <w:color w:val="auto"/>
        </w:rPr>
      </w:pPr>
      <w:r>
        <w:rPr>
          <w:noProof/>
        </w:rPr>
        <w:t>Figure 5.14 Dagworth dam depth of inundation and property boundaries (indicated by coloured shading)</w:t>
      </w:r>
      <w:r>
        <w:rPr>
          <w:noProof/>
          <w:webHidden/>
        </w:rPr>
        <w:tab/>
        <w:t>146</w:t>
      </w:r>
    </w:p>
    <w:p w:rsidR="00E308BF" w:rsidRDefault="00E308BF">
      <w:pPr>
        <w:pStyle w:val="TableofFigures"/>
        <w:rPr>
          <w:rFonts w:asciiTheme="minorHAnsi" w:eastAsiaTheme="minorEastAsia" w:hAnsiTheme="minorHAnsi" w:cstheme="minorBidi"/>
          <w:noProof/>
          <w:color w:val="auto"/>
        </w:rPr>
      </w:pPr>
      <w:r>
        <w:rPr>
          <w:noProof/>
        </w:rPr>
        <w:t>Figure 5.15 Annual time reliability and volumetric reliability for Dagworth dam under scenarios A and C</w:t>
      </w:r>
      <w:r>
        <w:rPr>
          <w:noProof/>
          <w:webHidden/>
        </w:rPr>
        <w:tab/>
        <w:t>147</w:t>
      </w:r>
    </w:p>
    <w:p w:rsidR="00E308BF" w:rsidRDefault="00E308BF">
      <w:pPr>
        <w:pStyle w:val="TableofFigures"/>
        <w:rPr>
          <w:rFonts w:asciiTheme="minorHAnsi" w:eastAsiaTheme="minorEastAsia" w:hAnsiTheme="minorHAnsi" w:cstheme="minorBidi"/>
          <w:noProof/>
          <w:color w:val="auto"/>
        </w:rPr>
      </w:pPr>
      <w:r>
        <w:rPr>
          <w:noProof/>
        </w:rPr>
        <w:t>Figure 5.16 Comparisons of inundated area with and without the construction of Dagworth dam under Scenario A</w:t>
      </w:r>
      <w:r>
        <w:rPr>
          <w:noProof/>
          <w:webHidden/>
        </w:rPr>
        <w:tab/>
        <w:t>147</w:t>
      </w:r>
    </w:p>
    <w:p w:rsidR="00E308BF" w:rsidRDefault="00E308BF">
      <w:pPr>
        <w:pStyle w:val="TableofFigures"/>
        <w:rPr>
          <w:rFonts w:asciiTheme="minorHAnsi" w:eastAsiaTheme="minorEastAsia" w:hAnsiTheme="minorHAnsi" w:cstheme="minorBidi"/>
          <w:noProof/>
          <w:color w:val="auto"/>
        </w:rPr>
      </w:pPr>
      <w:r>
        <w:rPr>
          <w:noProof/>
        </w:rPr>
        <w:t>Figure 5.17 Regional ecosystems inundated by the potential Dagworth dam reservoir at full supply level</w:t>
      </w:r>
      <w:r>
        <w:rPr>
          <w:noProof/>
          <w:webHidden/>
        </w:rPr>
        <w:tab/>
        <w:t>148</w:t>
      </w:r>
    </w:p>
    <w:p w:rsidR="00E308BF" w:rsidRDefault="00E308BF">
      <w:pPr>
        <w:pStyle w:val="TableofFigures"/>
        <w:rPr>
          <w:rFonts w:asciiTheme="minorHAnsi" w:eastAsiaTheme="minorEastAsia" w:hAnsiTheme="minorHAnsi" w:cstheme="minorBidi"/>
          <w:noProof/>
          <w:color w:val="auto"/>
        </w:rPr>
      </w:pPr>
      <w:r>
        <w:rPr>
          <w:noProof/>
        </w:rPr>
        <w:t>Figure 5.18 Green Hills upstream potential dam site, looking upstream</w:t>
      </w:r>
      <w:r>
        <w:rPr>
          <w:noProof/>
          <w:webHidden/>
        </w:rPr>
        <w:tab/>
        <w:t>149</w:t>
      </w:r>
    </w:p>
    <w:p w:rsidR="00E308BF" w:rsidRDefault="00E308BF">
      <w:pPr>
        <w:pStyle w:val="TableofFigures"/>
        <w:rPr>
          <w:rFonts w:asciiTheme="minorHAnsi" w:eastAsiaTheme="minorEastAsia" w:hAnsiTheme="minorHAnsi" w:cstheme="minorBidi"/>
          <w:noProof/>
          <w:color w:val="auto"/>
        </w:rPr>
      </w:pPr>
      <w:r>
        <w:rPr>
          <w:noProof/>
        </w:rPr>
        <w:t>Figure 5.19 Dam cross-section, height, volume and reservoir surface area for Green Hills potential dam site</w:t>
      </w:r>
      <w:r>
        <w:rPr>
          <w:noProof/>
          <w:webHidden/>
        </w:rPr>
        <w:tab/>
        <w:t>150</w:t>
      </w:r>
    </w:p>
    <w:p w:rsidR="00E308BF" w:rsidRDefault="00E308BF">
      <w:pPr>
        <w:pStyle w:val="TableofFigures"/>
        <w:rPr>
          <w:rFonts w:asciiTheme="minorHAnsi" w:eastAsiaTheme="minorEastAsia" w:hAnsiTheme="minorHAnsi" w:cstheme="minorBidi"/>
          <w:noProof/>
          <w:color w:val="auto"/>
        </w:rPr>
      </w:pPr>
      <w:r>
        <w:rPr>
          <w:noProof/>
        </w:rPr>
        <w:t>Figure 5.20 Green Hills upstream potential dam depth of inundation and property boundaries (indicated by coloured shading)</w:t>
      </w:r>
      <w:r>
        <w:rPr>
          <w:noProof/>
          <w:webHidden/>
        </w:rPr>
        <w:tab/>
        <w:t>150</w:t>
      </w:r>
    </w:p>
    <w:p w:rsidR="00E308BF" w:rsidRDefault="00E308BF">
      <w:pPr>
        <w:pStyle w:val="TableofFigures"/>
        <w:rPr>
          <w:rFonts w:asciiTheme="minorHAnsi" w:eastAsiaTheme="minorEastAsia" w:hAnsiTheme="minorHAnsi" w:cstheme="minorBidi"/>
          <w:noProof/>
          <w:color w:val="auto"/>
        </w:rPr>
      </w:pPr>
      <w:r>
        <w:rPr>
          <w:noProof/>
        </w:rPr>
        <w:t>Figure 5.21 Annual time reliability and volumetric reliability for Green Hills dam under scenarios A and C</w:t>
      </w:r>
      <w:r>
        <w:rPr>
          <w:noProof/>
          <w:webHidden/>
        </w:rPr>
        <w:tab/>
        <w:t>151</w:t>
      </w:r>
    </w:p>
    <w:p w:rsidR="00E308BF" w:rsidRDefault="00E308BF">
      <w:pPr>
        <w:pStyle w:val="TableofFigures"/>
        <w:rPr>
          <w:rFonts w:asciiTheme="minorHAnsi" w:eastAsiaTheme="minorEastAsia" w:hAnsiTheme="minorHAnsi" w:cstheme="minorBidi"/>
          <w:noProof/>
          <w:color w:val="auto"/>
        </w:rPr>
      </w:pPr>
      <w:r>
        <w:rPr>
          <w:noProof/>
        </w:rPr>
        <w:t>Figure 5.22 Comparisons of inundated area with and without construction of Green Hills dam under Scenario A</w:t>
      </w:r>
      <w:r>
        <w:rPr>
          <w:noProof/>
          <w:webHidden/>
        </w:rPr>
        <w:tab/>
        <w:t>152</w:t>
      </w:r>
    </w:p>
    <w:p w:rsidR="00E308BF" w:rsidRDefault="00E308BF">
      <w:pPr>
        <w:pStyle w:val="TableofFigures"/>
        <w:rPr>
          <w:rFonts w:asciiTheme="minorHAnsi" w:eastAsiaTheme="minorEastAsia" w:hAnsiTheme="minorHAnsi" w:cstheme="minorBidi"/>
          <w:noProof/>
          <w:color w:val="auto"/>
        </w:rPr>
      </w:pPr>
      <w:r>
        <w:rPr>
          <w:noProof/>
        </w:rPr>
        <w:t>Figure 5.23 Regional ecosystem inundated by the potential Green Hills dam reservoir at full supply level</w:t>
      </w:r>
      <w:r>
        <w:rPr>
          <w:noProof/>
          <w:webHidden/>
        </w:rPr>
        <w:tab/>
        <w:t>152</w:t>
      </w:r>
    </w:p>
    <w:p w:rsidR="00E308BF" w:rsidRDefault="00E308BF">
      <w:pPr>
        <w:pStyle w:val="TableofFigures"/>
        <w:rPr>
          <w:rFonts w:asciiTheme="minorHAnsi" w:eastAsiaTheme="minorEastAsia" w:hAnsiTheme="minorHAnsi" w:cstheme="minorBidi"/>
          <w:noProof/>
          <w:color w:val="auto"/>
        </w:rPr>
      </w:pPr>
      <w:r>
        <w:rPr>
          <w:noProof/>
        </w:rPr>
        <w:t>Figure 5.24 Schematic diagram of sheet piling weir</w:t>
      </w:r>
      <w:r>
        <w:rPr>
          <w:noProof/>
          <w:webHidden/>
        </w:rPr>
        <w:tab/>
        <w:t>153</w:t>
      </w:r>
    </w:p>
    <w:p w:rsidR="00E308BF" w:rsidRDefault="00E308BF">
      <w:pPr>
        <w:pStyle w:val="TableofFigures"/>
        <w:rPr>
          <w:rFonts w:asciiTheme="minorHAnsi" w:eastAsiaTheme="minorEastAsia" w:hAnsiTheme="minorHAnsi" w:cstheme="minorBidi"/>
          <w:noProof/>
          <w:color w:val="auto"/>
        </w:rPr>
      </w:pPr>
      <w:r>
        <w:rPr>
          <w:noProof/>
        </w:rPr>
        <w:lastRenderedPageBreak/>
        <w:t>Figure 5.25 Ring tank in the Flinders catchment</w:t>
      </w:r>
      <w:r>
        <w:rPr>
          <w:noProof/>
          <w:webHidden/>
        </w:rPr>
        <w:tab/>
        <w:t>156</w:t>
      </w:r>
    </w:p>
    <w:p w:rsidR="00E308BF" w:rsidRDefault="00E308BF">
      <w:pPr>
        <w:pStyle w:val="TableofFigures"/>
        <w:rPr>
          <w:rFonts w:asciiTheme="minorHAnsi" w:eastAsiaTheme="minorEastAsia" w:hAnsiTheme="minorHAnsi" w:cstheme="minorBidi"/>
          <w:noProof/>
          <w:color w:val="auto"/>
        </w:rPr>
      </w:pPr>
      <w:r>
        <w:rPr>
          <w:noProof/>
        </w:rPr>
        <w:t>Figure 5.26 Annual volume of streamflow extracted versus annual time reliability for streamflow gauge 917111A</w:t>
      </w:r>
      <w:r>
        <w:rPr>
          <w:noProof/>
          <w:webHidden/>
        </w:rPr>
        <w:tab/>
        <w:t>157</w:t>
      </w:r>
    </w:p>
    <w:p w:rsidR="00E308BF" w:rsidRDefault="00E308BF">
      <w:pPr>
        <w:pStyle w:val="TableofFigures"/>
        <w:rPr>
          <w:rFonts w:asciiTheme="minorHAnsi" w:eastAsiaTheme="minorEastAsia" w:hAnsiTheme="minorHAnsi" w:cstheme="minorBidi"/>
          <w:noProof/>
          <w:color w:val="auto"/>
        </w:rPr>
      </w:pPr>
      <w:r>
        <w:rPr>
          <w:noProof/>
        </w:rPr>
        <w:t>Figure 5.27 Annual volume of streamflow extracted versus annual time reliability for streamflow gauge 917001D</w:t>
      </w:r>
      <w:r>
        <w:rPr>
          <w:noProof/>
          <w:webHidden/>
        </w:rPr>
        <w:tab/>
        <w:t>157</w:t>
      </w:r>
    </w:p>
    <w:p w:rsidR="00E308BF" w:rsidRDefault="00E308BF">
      <w:pPr>
        <w:pStyle w:val="TableofFigures"/>
        <w:rPr>
          <w:rFonts w:asciiTheme="minorHAnsi" w:eastAsiaTheme="minorEastAsia" w:hAnsiTheme="minorHAnsi" w:cstheme="minorBidi"/>
          <w:noProof/>
          <w:color w:val="auto"/>
        </w:rPr>
      </w:pPr>
      <w:r>
        <w:rPr>
          <w:noProof/>
        </w:rPr>
        <w:t>Figure 5.28 Annual volume of streamflow extracted versus annual time reliability for streamflow gauge 917102A</w:t>
      </w:r>
      <w:r>
        <w:rPr>
          <w:noProof/>
          <w:webHidden/>
        </w:rPr>
        <w:tab/>
        <w:t>158</w:t>
      </w:r>
    </w:p>
    <w:p w:rsidR="00E308BF" w:rsidRDefault="00E308BF">
      <w:pPr>
        <w:pStyle w:val="TableofFigures"/>
        <w:rPr>
          <w:rFonts w:asciiTheme="minorHAnsi" w:eastAsiaTheme="minorEastAsia" w:hAnsiTheme="minorHAnsi" w:cstheme="minorBidi"/>
          <w:noProof/>
          <w:color w:val="auto"/>
        </w:rPr>
      </w:pPr>
      <w:r>
        <w:rPr>
          <w:noProof/>
        </w:rPr>
        <w:t>Figure 5.29 Annual volume of streamflow extracted versus annual time reliability for streamflow gauge 917107A</w:t>
      </w:r>
      <w:r>
        <w:rPr>
          <w:noProof/>
          <w:webHidden/>
        </w:rPr>
        <w:tab/>
        <w:t>158</w:t>
      </w:r>
    </w:p>
    <w:p w:rsidR="00E308BF" w:rsidRDefault="00E308BF">
      <w:pPr>
        <w:pStyle w:val="TableofFigures"/>
        <w:rPr>
          <w:rFonts w:asciiTheme="minorHAnsi" w:eastAsiaTheme="minorEastAsia" w:hAnsiTheme="minorHAnsi" w:cstheme="minorBidi"/>
          <w:noProof/>
          <w:color w:val="auto"/>
        </w:rPr>
      </w:pPr>
      <w:r>
        <w:rPr>
          <w:noProof/>
        </w:rPr>
        <w:t>Figure 5.30 Land suitability map for offstream water storages in the Gilbert catchment</w:t>
      </w:r>
      <w:r>
        <w:rPr>
          <w:noProof/>
          <w:webHidden/>
        </w:rPr>
        <w:tab/>
        <w:t>160</w:t>
      </w:r>
    </w:p>
    <w:p w:rsidR="00E308BF" w:rsidRDefault="00E308BF">
      <w:pPr>
        <w:pStyle w:val="TableofFigures"/>
        <w:rPr>
          <w:rFonts w:asciiTheme="minorHAnsi" w:eastAsiaTheme="minorEastAsia" w:hAnsiTheme="minorHAnsi" w:cstheme="minorBidi"/>
          <w:noProof/>
          <w:color w:val="auto"/>
        </w:rPr>
      </w:pPr>
      <w:r>
        <w:rPr>
          <w:noProof/>
        </w:rPr>
        <w:t>Figure 5.31 Reported conveyance losses from irrigation systems across Australia (ANCID, 2001)</w:t>
      </w:r>
      <w:r>
        <w:rPr>
          <w:noProof/>
          <w:webHidden/>
        </w:rPr>
        <w:tab/>
        <w:t>165</w:t>
      </w:r>
    </w:p>
    <w:p w:rsidR="00E308BF" w:rsidRDefault="00E308BF">
      <w:pPr>
        <w:pStyle w:val="TableofFigures"/>
        <w:rPr>
          <w:rFonts w:asciiTheme="minorHAnsi" w:eastAsiaTheme="minorEastAsia" w:hAnsiTheme="minorHAnsi" w:cstheme="minorBidi"/>
          <w:noProof/>
          <w:color w:val="auto"/>
        </w:rPr>
      </w:pPr>
      <w:r>
        <w:rPr>
          <w:noProof/>
        </w:rPr>
        <w:t>Figure 5.32 Efficiency of different types of irrigation systems</w:t>
      </w:r>
      <w:r>
        <w:rPr>
          <w:noProof/>
          <w:webHidden/>
        </w:rPr>
        <w:tab/>
        <w:t>166</w:t>
      </w:r>
    </w:p>
    <w:p w:rsidR="00E308BF" w:rsidRDefault="00E308BF">
      <w:pPr>
        <w:pStyle w:val="TableofFigures"/>
        <w:rPr>
          <w:rFonts w:asciiTheme="minorHAnsi" w:eastAsiaTheme="minorEastAsia" w:hAnsiTheme="minorHAnsi" w:cstheme="minorBidi"/>
          <w:noProof/>
          <w:color w:val="auto"/>
        </w:rPr>
      </w:pPr>
      <w:r>
        <w:rPr>
          <w:noProof/>
        </w:rPr>
        <w:t>Figure 5.33 Probability of crop yield potential for dryland and fully irrigated mungbean sown in Georgetown climate on 15 February</w:t>
      </w:r>
      <w:r>
        <w:rPr>
          <w:noProof/>
          <w:webHidden/>
        </w:rPr>
        <w:tab/>
        <w:t>176</w:t>
      </w:r>
    </w:p>
    <w:p w:rsidR="00E308BF" w:rsidRDefault="00E308BF">
      <w:pPr>
        <w:pStyle w:val="TableofFigures"/>
        <w:rPr>
          <w:rFonts w:asciiTheme="minorHAnsi" w:eastAsiaTheme="minorEastAsia" w:hAnsiTheme="minorHAnsi" w:cstheme="minorBidi"/>
          <w:noProof/>
          <w:color w:val="auto"/>
        </w:rPr>
      </w:pPr>
      <w:r>
        <w:rPr>
          <w:noProof/>
        </w:rPr>
        <w:t>Figure 5.34 Probability of crop yield potential for dryland and fully irrigated sorghum (grain) sown in Georgetown climate on 15 January</w:t>
      </w:r>
      <w:r>
        <w:rPr>
          <w:noProof/>
          <w:webHidden/>
        </w:rPr>
        <w:tab/>
        <w:t>176</w:t>
      </w:r>
    </w:p>
    <w:p w:rsidR="00E308BF" w:rsidRDefault="00E308BF">
      <w:pPr>
        <w:pStyle w:val="TableofFigures"/>
        <w:rPr>
          <w:rFonts w:asciiTheme="minorHAnsi" w:eastAsiaTheme="minorEastAsia" w:hAnsiTheme="minorHAnsi" w:cstheme="minorBidi"/>
          <w:noProof/>
          <w:color w:val="auto"/>
        </w:rPr>
      </w:pPr>
      <w:r>
        <w:rPr>
          <w:noProof/>
        </w:rPr>
        <w:t>Figure 5.35 Probability of crop yield potential for dryland and fully irrigated cotton sown in Georgetown climate on 15 January</w:t>
      </w:r>
      <w:r>
        <w:rPr>
          <w:noProof/>
          <w:webHidden/>
        </w:rPr>
        <w:tab/>
        <w:t>176</w:t>
      </w:r>
    </w:p>
    <w:p w:rsidR="00E308BF" w:rsidRDefault="00E308BF">
      <w:pPr>
        <w:pStyle w:val="TableofFigures"/>
        <w:rPr>
          <w:rFonts w:asciiTheme="minorHAnsi" w:eastAsiaTheme="minorEastAsia" w:hAnsiTheme="minorHAnsi" w:cstheme="minorBidi"/>
          <w:noProof/>
          <w:color w:val="auto"/>
        </w:rPr>
      </w:pPr>
      <w:r>
        <w:rPr>
          <w:noProof/>
        </w:rPr>
        <w:t>Figure 5.36 Crop yield plotted against applied irrigation water in Georgetown climate</w:t>
      </w:r>
      <w:r>
        <w:rPr>
          <w:noProof/>
          <w:webHidden/>
        </w:rPr>
        <w:tab/>
        <w:t>178</w:t>
      </w:r>
    </w:p>
    <w:p w:rsidR="00E308BF" w:rsidRDefault="00E308BF">
      <w:pPr>
        <w:pStyle w:val="TableofFigures"/>
        <w:rPr>
          <w:rFonts w:asciiTheme="minorHAnsi" w:eastAsiaTheme="minorEastAsia" w:hAnsiTheme="minorHAnsi" w:cstheme="minorBidi"/>
          <w:noProof/>
          <w:color w:val="auto"/>
        </w:rPr>
      </w:pPr>
      <w:r>
        <w:rPr>
          <w:noProof/>
        </w:rPr>
        <w:t>Figure 5.37 Applied irrigation water for planting on the 15th day of each month for sorghum (grain) at Georgetown</w:t>
      </w:r>
      <w:r>
        <w:rPr>
          <w:noProof/>
          <w:webHidden/>
        </w:rPr>
        <w:tab/>
        <w:t>182</w:t>
      </w:r>
    </w:p>
    <w:p w:rsidR="00E308BF" w:rsidRDefault="00E308BF">
      <w:pPr>
        <w:pStyle w:val="TableofFigures"/>
        <w:rPr>
          <w:rFonts w:asciiTheme="minorHAnsi" w:eastAsiaTheme="minorEastAsia" w:hAnsiTheme="minorHAnsi" w:cstheme="minorBidi"/>
          <w:noProof/>
          <w:color w:val="auto"/>
        </w:rPr>
      </w:pPr>
      <w:r>
        <w:rPr>
          <w:noProof/>
        </w:rPr>
        <w:t>Figure 5.38 Crop yield for planting on the 15th day of each month for sorghum (grain) at Georgetown</w:t>
      </w:r>
      <w:r>
        <w:rPr>
          <w:noProof/>
          <w:webHidden/>
        </w:rPr>
        <w:tab/>
        <w:t>183</w:t>
      </w:r>
    </w:p>
    <w:p w:rsidR="00E308BF" w:rsidRDefault="00E308BF">
      <w:pPr>
        <w:pStyle w:val="TableofFigures"/>
        <w:rPr>
          <w:rFonts w:asciiTheme="minorHAnsi" w:eastAsiaTheme="minorEastAsia" w:hAnsiTheme="minorHAnsi" w:cstheme="minorBidi"/>
          <w:noProof/>
          <w:color w:val="auto"/>
        </w:rPr>
      </w:pPr>
      <w:r>
        <w:rPr>
          <w:noProof/>
        </w:rPr>
        <w:t>Figure 5.39 The area associated with each land suitability class for a selection of 14 crops in the Gilbert catchment</w:t>
      </w:r>
      <w:r>
        <w:rPr>
          <w:noProof/>
          <w:webHidden/>
        </w:rPr>
        <w:tab/>
        <w:t>186</w:t>
      </w:r>
    </w:p>
    <w:p w:rsidR="00E308BF" w:rsidRDefault="00E308BF">
      <w:pPr>
        <w:pStyle w:val="TableofFigures"/>
        <w:rPr>
          <w:rFonts w:asciiTheme="minorHAnsi" w:eastAsiaTheme="minorEastAsia" w:hAnsiTheme="minorHAnsi" w:cstheme="minorBidi"/>
          <w:noProof/>
          <w:color w:val="auto"/>
        </w:rPr>
      </w:pPr>
      <w:r>
        <w:rPr>
          <w:noProof/>
        </w:rPr>
        <w:t>Figure 5.40 Modelled land suitability for sorghum (grain). Note that this land suitability map does not take into consideration flooding, risk of secondary salinisation or availability of water</w:t>
      </w:r>
      <w:r>
        <w:rPr>
          <w:noProof/>
          <w:webHidden/>
        </w:rPr>
        <w:tab/>
        <w:t>188</w:t>
      </w:r>
    </w:p>
    <w:p w:rsidR="00E308BF" w:rsidRDefault="00E308BF">
      <w:pPr>
        <w:pStyle w:val="TableofFigures"/>
        <w:rPr>
          <w:rFonts w:asciiTheme="minorHAnsi" w:eastAsiaTheme="minorEastAsia" w:hAnsiTheme="minorHAnsi" w:cstheme="minorBidi"/>
          <w:noProof/>
          <w:color w:val="auto"/>
        </w:rPr>
      </w:pPr>
      <w:r>
        <w:rPr>
          <w:noProof/>
        </w:rPr>
        <w:t>Figure 5.41 Sorghum (grain)</w:t>
      </w:r>
      <w:r>
        <w:rPr>
          <w:noProof/>
          <w:webHidden/>
        </w:rPr>
        <w:tab/>
        <w:t>188</w:t>
      </w:r>
    </w:p>
    <w:p w:rsidR="00E308BF" w:rsidRDefault="00E308BF">
      <w:pPr>
        <w:pStyle w:val="TableofFigures"/>
        <w:rPr>
          <w:rFonts w:asciiTheme="minorHAnsi" w:eastAsiaTheme="minorEastAsia" w:hAnsiTheme="minorHAnsi" w:cstheme="minorBidi"/>
          <w:noProof/>
          <w:color w:val="auto"/>
        </w:rPr>
      </w:pPr>
      <w:r>
        <w:rPr>
          <w:noProof/>
        </w:rPr>
        <w:t>Figure 5.42 Modelled land suitability for mungbean. Note that this land suitability map does not take into consideration flooding, risk of secondary salinisation or availability of water</w:t>
      </w:r>
      <w:r>
        <w:rPr>
          <w:noProof/>
          <w:webHidden/>
        </w:rPr>
        <w:tab/>
        <w:t>191</w:t>
      </w:r>
    </w:p>
    <w:p w:rsidR="00E308BF" w:rsidRDefault="00E308BF">
      <w:pPr>
        <w:pStyle w:val="TableofFigures"/>
        <w:rPr>
          <w:rFonts w:asciiTheme="minorHAnsi" w:eastAsiaTheme="minorEastAsia" w:hAnsiTheme="minorHAnsi" w:cstheme="minorBidi"/>
          <w:noProof/>
          <w:color w:val="auto"/>
        </w:rPr>
      </w:pPr>
      <w:r>
        <w:rPr>
          <w:noProof/>
        </w:rPr>
        <w:t>Figure 5.43 Mungbean</w:t>
      </w:r>
      <w:r>
        <w:rPr>
          <w:noProof/>
          <w:webHidden/>
        </w:rPr>
        <w:tab/>
        <w:t>191</w:t>
      </w:r>
    </w:p>
    <w:p w:rsidR="00E308BF" w:rsidRDefault="00E308BF">
      <w:pPr>
        <w:pStyle w:val="TableofFigures"/>
        <w:rPr>
          <w:rFonts w:asciiTheme="minorHAnsi" w:eastAsiaTheme="minorEastAsia" w:hAnsiTheme="minorHAnsi" w:cstheme="minorBidi"/>
          <w:noProof/>
          <w:color w:val="auto"/>
        </w:rPr>
      </w:pPr>
      <w:r>
        <w:rPr>
          <w:noProof/>
        </w:rPr>
        <w:t>Figure 5.44 Modelled land suitability for Rhodes grass and sorghum (forage). Note that this land suitability map does not take into consideration flooding, risk of secondary salinisation or availability of water</w:t>
      </w:r>
      <w:r>
        <w:rPr>
          <w:noProof/>
          <w:webHidden/>
        </w:rPr>
        <w:tab/>
        <w:t>195</w:t>
      </w:r>
    </w:p>
    <w:p w:rsidR="00E308BF" w:rsidRDefault="00E308BF">
      <w:pPr>
        <w:pStyle w:val="TableofFigures"/>
        <w:rPr>
          <w:rFonts w:asciiTheme="minorHAnsi" w:eastAsiaTheme="minorEastAsia" w:hAnsiTheme="minorHAnsi" w:cstheme="minorBidi"/>
          <w:noProof/>
          <w:color w:val="auto"/>
        </w:rPr>
      </w:pPr>
      <w:r>
        <w:rPr>
          <w:noProof/>
        </w:rPr>
        <w:t>Figure 5.45 Bambatsi</w:t>
      </w:r>
      <w:r>
        <w:rPr>
          <w:noProof/>
          <w:webHidden/>
        </w:rPr>
        <w:tab/>
        <w:t>195</w:t>
      </w:r>
    </w:p>
    <w:p w:rsidR="00E308BF" w:rsidRDefault="00E308BF">
      <w:pPr>
        <w:pStyle w:val="TableofFigures"/>
        <w:rPr>
          <w:rFonts w:asciiTheme="minorHAnsi" w:eastAsiaTheme="minorEastAsia" w:hAnsiTheme="minorHAnsi" w:cstheme="minorBidi"/>
          <w:noProof/>
          <w:color w:val="auto"/>
        </w:rPr>
      </w:pPr>
      <w:r>
        <w:rPr>
          <w:noProof/>
        </w:rPr>
        <w:t>Figure 5.46 Modelled land suitability for lablab and lucerne. Note that this land suitability map does not take into consideration flooding, risk of secondary salinisation or availability of water</w:t>
      </w:r>
      <w:r>
        <w:rPr>
          <w:noProof/>
          <w:webHidden/>
        </w:rPr>
        <w:tab/>
        <w:t>198</w:t>
      </w:r>
    </w:p>
    <w:p w:rsidR="00E308BF" w:rsidRDefault="00E308BF">
      <w:pPr>
        <w:pStyle w:val="TableofFigures"/>
        <w:rPr>
          <w:rFonts w:asciiTheme="minorHAnsi" w:eastAsiaTheme="minorEastAsia" w:hAnsiTheme="minorHAnsi" w:cstheme="minorBidi"/>
          <w:noProof/>
          <w:color w:val="auto"/>
        </w:rPr>
      </w:pPr>
      <w:r>
        <w:rPr>
          <w:noProof/>
        </w:rPr>
        <w:t>Figure 5.47 Lablab</w:t>
      </w:r>
      <w:r>
        <w:rPr>
          <w:noProof/>
          <w:webHidden/>
        </w:rPr>
        <w:tab/>
        <w:t>198</w:t>
      </w:r>
    </w:p>
    <w:p w:rsidR="00E308BF" w:rsidRDefault="00E308BF">
      <w:pPr>
        <w:pStyle w:val="TableofFigures"/>
        <w:rPr>
          <w:rFonts w:asciiTheme="minorHAnsi" w:eastAsiaTheme="minorEastAsia" w:hAnsiTheme="minorHAnsi" w:cstheme="minorBidi"/>
          <w:noProof/>
          <w:color w:val="auto"/>
        </w:rPr>
      </w:pPr>
      <w:r>
        <w:rPr>
          <w:noProof/>
        </w:rPr>
        <w:t>Figure 5.48 Modelled land suitability for cotton. Note that this land suitability map does not take into consideration flooding, risk of secondary salinisation or availability of water</w:t>
      </w:r>
      <w:r>
        <w:rPr>
          <w:noProof/>
          <w:webHidden/>
        </w:rPr>
        <w:tab/>
        <w:t>202</w:t>
      </w:r>
    </w:p>
    <w:p w:rsidR="00E308BF" w:rsidRDefault="00E308BF">
      <w:pPr>
        <w:pStyle w:val="TableofFigures"/>
        <w:rPr>
          <w:rFonts w:asciiTheme="minorHAnsi" w:eastAsiaTheme="minorEastAsia" w:hAnsiTheme="minorHAnsi" w:cstheme="minorBidi"/>
          <w:noProof/>
          <w:color w:val="auto"/>
        </w:rPr>
      </w:pPr>
      <w:r>
        <w:rPr>
          <w:noProof/>
        </w:rPr>
        <w:t>Figure 5.49 Cotton</w:t>
      </w:r>
      <w:r>
        <w:rPr>
          <w:noProof/>
          <w:webHidden/>
        </w:rPr>
        <w:tab/>
        <w:t>202</w:t>
      </w:r>
    </w:p>
    <w:p w:rsidR="00E308BF" w:rsidRDefault="00E308BF">
      <w:pPr>
        <w:pStyle w:val="TableofFigures"/>
        <w:rPr>
          <w:rFonts w:asciiTheme="minorHAnsi" w:eastAsiaTheme="minorEastAsia" w:hAnsiTheme="minorHAnsi" w:cstheme="minorBidi"/>
          <w:noProof/>
          <w:color w:val="auto"/>
        </w:rPr>
      </w:pPr>
      <w:r>
        <w:rPr>
          <w:noProof/>
        </w:rPr>
        <w:t>Figure 5.50 Modelled land suitability for sugarcane. Note that this land suitability map does not take into consideration flooding, risk of secondary salinisation or availability of water</w:t>
      </w:r>
      <w:r>
        <w:rPr>
          <w:noProof/>
          <w:webHidden/>
        </w:rPr>
        <w:tab/>
        <w:t>205</w:t>
      </w:r>
    </w:p>
    <w:p w:rsidR="00E308BF" w:rsidRDefault="00E308BF">
      <w:pPr>
        <w:pStyle w:val="TableofFigures"/>
        <w:rPr>
          <w:rFonts w:asciiTheme="minorHAnsi" w:eastAsiaTheme="minorEastAsia" w:hAnsiTheme="minorHAnsi" w:cstheme="minorBidi"/>
          <w:noProof/>
          <w:color w:val="auto"/>
        </w:rPr>
      </w:pPr>
      <w:r>
        <w:rPr>
          <w:noProof/>
        </w:rPr>
        <w:lastRenderedPageBreak/>
        <w:t>Figure 5.51 Sugarcane</w:t>
      </w:r>
      <w:r>
        <w:rPr>
          <w:noProof/>
          <w:webHidden/>
        </w:rPr>
        <w:tab/>
        <w:t>205</w:t>
      </w:r>
    </w:p>
    <w:p w:rsidR="00E308BF" w:rsidRDefault="00E308BF">
      <w:pPr>
        <w:pStyle w:val="TableofFigures"/>
        <w:rPr>
          <w:rFonts w:asciiTheme="minorHAnsi" w:eastAsiaTheme="minorEastAsia" w:hAnsiTheme="minorHAnsi" w:cstheme="minorBidi"/>
          <w:noProof/>
          <w:color w:val="auto"/>
        </w:rPr>
      </w:pPr>
      <w:r>
        <w:rPr>
          <w:noProof/>
        </w:rPr>
        <w:t>Figure 5.52 Modelled land suitability for sweet corn and tomato. Note that this land suitability map does not take into consideration flooding, risk of secondary salinisation or availability of water</w:t>
      </w:r>
      <w:r>
        <w:rPr>
          <w:noProof/>
          <w:webHidden/>
        </w:rPr>
        <w:tab/>
        <w:t>208</w:t>
      </w:r>
    </w:p>
    <w:p w:rsidR="00E308BF" w:rsidRDefault="00E308BF">
      <w:pPr>
        <w:pStyle w:val="TableofFigures"/>
        <w:rPr>
          <w:rFonts w:asciiTheme="minorHAnsi" w:eastAsiaTheme="minorEastAsia" w:hAnsiTheme="minorHAnsi" w:cstheme="minorBidi"/>
          <w:noProof/>
          <w:color w:val="auto"/>
        </w:rPr>
      </w:pPr>
      <w:r>
        <w:rPr>
          <w:noProof/>
        </w:rPr>
        <w:t>Figure 5.53 Sweet corn</w:t>
      </w:r>
      <w:r>
        <w:rPr>
          <w:noProof/>
          <w:webHidden/>
        </w:rPr>
        <w:tab/>
        <w:t>208</w:t>
      </w:r>
    </w:p>
    <w:p w:rsidR="00E308BF" w:rsidRDefault="00E308BF">
      <w:pPr>
        <w:pStyle w:val="TableofFigures"/>
        <w:rPr>
          <w:rFonts w:asciiTheme="minorHAnsi" w:eastAsiaTheme="minorEastAsia" w:hAnsiTheme="minorHAnsi" w:cstheme="minorBidi"/>
          <w:noProof/>
          <w:color w:val="auto"/>
        </w:rPr>
      </w:pPr>
      <w:r>
        <w:rPr>
          <w:noProof/>
        </w:rPr>
        <w:t>Figure 5.54 Modelled land suitability for cassava and peanuts. Note that this land suitability map does not take into consideration flooding, risk of secondary salinisation or availability of water</w:t>
      </w:r>
      <w:r>
        <w:rPr>
          <w:noProof/>
          <w:webHidden/>
        </w:rPr>
        <w:tab/>
        <w:t>211</w:t>
      </w:r>
    </w:p>
    <w:p w:rsidR="00E308BF" w:rsidRDefault="00E308BF">
      <w:pPr>
        <w:pStyle w:val="TableofFigures"/>
        <w:rPr>
          <w:rFonts w:asciiTheme="minorHAnsi" w:eastAsiaTheme="minorEastAsia" w:hAnsiTheme="minorHAnsi" w:cstheme="minorBidi"/>
          <w:noProof/>
          <w:color w:val="auto"/>
        </w:rPr>
      </w:pPr>
      <w:r>
        <w:rPr>
          <w:noProof/>
        </w:rPr>
        <w:t>Figure 5.55 Peanuts</w:t>
      </w:r>
      <w:r>
        <w:rPr>
          <w:noProof/>
          <w:webHidden/>
        </w:rPr>
        <w:tab/>
        <w:t>211</w:t>
      </w:r>
    </w:p>
    <w:p w:rsidR="00E308BF" w:rsidRDefault="00E308BF">
      <w:pPr>
        <w:pStyle w:val="TableofFigures"/>
        <w:rPr>
          <w:rFonts w:asciiTheme="minorHAnsi" w:eastAsiaTheme="minorEastAsia" w:hAnsiTheme="minorHAnsi" w:cstheme="minorBidi"/>
          <w:noProof/>
          <w:color w:val="auto"/>
        </w:rPr>
      </w:pPr>
      <w:r>
        <w:rPr>
          <w:noProof/>
        </w:rPr>
        <w:t>Figure 5.56 Modelled land suitability for mango and Indian sandalwood. Note that this land suitability map does not take into consideration flooding, risk of secondary salinisation or availability of water</w:t>
      </w:r>
      <w:r>
        <w:rPr>
          <w:noProof/>
          <w:webHidden/>
        </w:rPr>
        <w:tab/>
        <w:t>214</w:t>
      </w:r>
    </w:p>
    <w:p w:rsidR="00E308BF" w:rsidRDefault="00E308BF">
      <w:pPr>
        <w:pStyle w:val="TableofFigures"/>
        <w:rPr>
          <w:rFonts w:asciiTheme="minorHAnsi" w:eastAsiaTheme="minorEastAsia" w:hAnsiTheme="minorHAnsi" w:cstheme="minorBidi"/>
          <w:noProof/>
          <w:color w:val="auto"/>
        </w:rPr>
      </w:pPr>
      <w:r>
        <w:rPr>
          <w:noProof/>
        </w:rPr>
        <w:t>Figure 5.57 Indian sandalwood</w:t>
      </w:r>
      <w:r>
        <w:rPr>
          <w:noProof/>
          <w:webHidden/>
        </w:rPr>
        <w:tab/>
        <w:t>214</w:t>
      </w:r>
    </w:p>
    <w:p w:rsidR="00E308BF" w:rsidRDefault="00E308BF">
      <w:pPr>
        <w:pStyle w:val="TableofFigures"/>
        <w:rPr>
          <w:rFonts w:asciiTheme="minorHAnsi" w:eastAsiaTheme="minorEastAsia" w:hAnsiTheme="minorHAnsi" w:cstheme="minorBidi"/>
          <w:noProof/>
          <w:color w:val="auto"/>
        </w:rPr>
      </w:pPr>
      <w:r>
        <w:rPr>
          <w:noProof/>
        </w:rPr>
        <w:t>Figure 5.58 Modelled land suitability for mango and Indian sandalwood. Note that this land suitability map does not take into consideration flooding, risk of secondary salinisation or availability of water</w:t>
      </w:r>
      <w:r>
        <w:rPr>
          <w:noProof/>
          <w:webHidden/>
        </w:rPr>
        <w:tab/>
        <w:t>218</w:t>
      </w:r>
    </w:p>
    <w:p w:rsidR="00E308BF" w:rsidRDefault="00E308BF">
      <w:pPr>
        <w:pStyle w:val="TableofFigures"/>
        <w:rPr>
          <w:rFonts w:asciiTheme="minorHAnsi" w:eastAsiaTheme="minorEastAsia" w:hAnsiTheme="minorHAnsi" w:cstheme="minorBidi"/>
          <w:noProof/>
          <w:color w:val="auto"/>
        </w:rPr>
      </w:pPr>
      <w:r>
        <w:rPr>
          <w:noProof/>
        </w:rPr>
        <w:t>Figure 5.59 Mangoes</w:t>
      </w:r>
      <w:r>
        <w:rPr>
          <w:noProof/>
          <w:webHidden/>
        </w:rPr>
        <w:tab/>
        <w:t>218</w:t>
      </w:r>
    </w:p>
    <w:p w:rsidR="00E308BF" w:rsidRDefault="00E308BF">
      <w:pPr>
        <w:pStyle w:val="TableofFigures"/>
        <w:rPr>
          <w:rFonts w:asciiTheme="minorHAnsi" w:eastAsiaTheme="minorEastAsia" w:hAnsiTheme="minorHAnsi" w:cstheme="minorBidi"/>
          <w:noProof/>
          <w:color w:val="auto"/>
        </w:rPr>
      </w:pPr>
      <w:r>
        <w:rPr>
          <w:noProof/>
        </w:rPr>
        <w:t>Figure 6.1 Schematic diagram of key components and concepts in the establishment of a greenfield irrigation development</w:t>
      </w:r>
      <w:r>
        <w:rPr>
          <w:noProof/>
          <w:webHidden/>
        </w:rPr>
        <w:tab/>
        <w:t>226</w:t>
      </w:r>
    </w:p>
    <w:p w:rsidR="00E308BF" w:rsidRDefault="00E308BF">
      <w:pPr>
        <w:pStyle w:val="TableofFigures"/>
        <w:rPr>
          <w:rFonts w:asciiTheme="minorHAnsi" w:eastAsiaTheme="minorEastAsia" w:hAnsiTheme="minorHAnsi" w:cstheme="minorBidi"/>
          <w:noProof/>
          <w:color w:val="auto"/>
        </w:rPr>
      </w:pPr>
      <w:r>
        <w:rPr>
          <w:noProof/>
        </w:rPr>
        <w:t>Figure 6.2 Growth patterns of beef cattle in northern Australia</w:t>
      </w:r>
      <w:r>
        <w:rPr>
          <w:noProof/>
          <w:webHidden/>
        </w:rPr>
        <w:tab/>
        <w:t>229</w:t>
      </w:r>
    </w:p>
    <w:p w:rsidR="00E308BF" w:rsidRDefault="00E308BF">
      <w:pPr>
        <w:pStyle w:val="TableofFigures"/>
        <w:rPr>
          <w:rFonts w:asciiTheme="minorHAnsi" w:eastAsiaTheme="minorEastAsia" w:hAnsiTheme="minorHAnsi" w:cstheme="minorBidi"/>
          <w:noProof/>
          <w:color w:val="auto"/>
        </w:rPr>
      </w:pPr>
      <w:r>
        <w:rPr>
          <w:noProof/>
        </w:rPr>
        <w:t>Figure 6.3 Land tenure in the Gilbert catchment</w:t>
      </w:r>
      <w:r>
        <w:rPr>
          <w:noProof/>
          <w:webHidden/>
        </w:rPr>
        <w:tab/>
        <w:t>248</w:t>
      </w:r>
    </w:p>
    <w:p w:rsidR="00E308BF" w:rsidRDefault="00E308BF">
      <w:pPr>
        <w:pStyle w:val="TableofFigures"/>
        <w:rPr>
          <w:rFonts w:asciiTheme="minorHAnsi" w:eastAsiaTheme="minorEastAsia" w:hAnsiTheme="minorHAnsi" w:cstheme="minorBidi"/>
          <w:noProof/>
          <w:color w:val="auto"/>
        </w:rPr>
      </w:pPr>
      <w:r>
        <w:rPr>
          <w:noProof/>
        </w:rPr>
        <w:t>Figure 7.1 Schematic diagram of key components and concepts in the establishment of a greenfield irrigation development</w:t>
      </w:r>
      <w:r>
        <w:rPr>
          <w:noProof/>
          <w:webHidden/>
        </w:rPr>
        <w:tab/>
        <w:t>252</w:t>
      </w:r>
    </w:p>
    <w:p w:rsidR="00E308BF" w:rsidRDefault="00E308BF">
      <w:pPr>
        <w:pStyle w:val="TableofFigures"/>
        <w:rPr>
          <w:rFonts w:asciiTheme="minorHAnsi" w:eastAsiaTheme="minorEastAsia" w:hAnsiTheme="minorHAnsi" w:cstheme="minorBidi"/>
          <w:noProof/>
          <w:color w:val="auto"/>
        </w:rPr>
      </w:pPr>
      <w:r>
        <w:rPr>
          <w:noProof/>
        </w:rPr>
        <w:t>Figure 7.2 Steady-state watertable level for (a) various recharge rates and hydraulic conductivities (K) and (b) an irrigation area of 100 ha, at varying distances to the river</w:t>
      </w:r>
      <w:r>
        <w:rPr>
          <w:noProof/>
          <w:webHidden/>
        </w:rPr>
        <w:tab/>
        <w:t>258</w:t>
      </w:r>
    </w:p>
    <w:p w:rsidR="00E308BF" w:rsidRDefault="00E308BF">
      <w:pPr>
        <w:pStyle w:val="TableofFigures"/>
        <w:rPr>
          <w:rFonts w:asciiTheme="minorHAnsi" w:eastAsiaTheme="minorEastAsia" w:hAnsiTheme="minorHAnsi" w:cstheme="minorBidi"/>
          <w:noProof/>
          <w:color w:val="auto"/>
        </w:rPr>
      </w:pPr>
      <w:r>
        <w:rPr>
          <w:noProof/>
        </w:rPr>
        <w:t>Figure 7.3 Steady-state watertable level for an irrigation area of 1000 ha, plotted against distance to the river</w:t>
      </w:r>
      <w:r>
        <w:rPr>
          <w:noProof/>
          <w:webHidden/>
        </w:rPr>
        <w:tab/>
        <w:t>258</w:t>
      </w:r>
    </w:p>
    <w:p w:rsidR="00E308BF" w:rsidRDefault="00E308BF">
      <w:pPr>
        <w:pStyle w:val="TableofFigures"/>
        <w:rPr>
          <w:rFonts w:asciiTheme="minorHAnsi" w:eastAsiaTheme="minorEastAsia" w:hAnsiTheme="minorHAnsi" w:cstheme="minorBidi"/>
          <w:noProof/>
          <w:color w:val="auto"/>
        </w:rPr>
      </w:pPr>
      <w:r>
        <w:rPr>
          <w:noProof/>
        </w:rPr>
        <w:t>Figure 7.4 Steady-state watertable level at varying distances to the river for an irrigation area of (a) 250 ha and (b) 500 ha</w:t>
      </w:r>
      <w:r>
        <w:rPr>
          <w:noProof/>
          <w:webHidden/>
        </w:rPr>
        <w:tab/>
        <w:t>258</w:t>
      </w:r>
    </w:p>
    <w:p w:rsidR="00E308BF" w:rsidRDefault="00E308BF">
      <w:pPr>
        <w:pStyle w:val="TableofFigures"/>
        <w:rPr>
          <w:rFonts w:asciiTheme="minorHAnsi" w:eastAsiaTheme="minorEastAsia" w:hAnsiTheme="minorHAnsi" w:cstheme="minorBidi"/>
          <w:noProof/>
          <w:color w:val="auto"/>
        </w:rPr>
      </w:pPr>
      <w:r>
        <w:rPr>
          <w:noProof/>
        </w:rPr>
        <w:t>Figure 7.5 Steady-state watertable level at varying distances (d) to the river for (a) an irrigation area of 1000 ha and (b) various irrigation area and distance combinations</w:t>
      </w:r>
      <w:r>
        <w:rPr>
          <w:noProof/>
          <w:webHidden/>
        </w:rPr>
        <w:tab/>
        <w:t>259</w:t>
      </w:r>
    </w:p>
    <w:p w:rsidR="00E308BF" w:rsidRDefault="00E308BF">
      <w:pPr>
        <w:pStyle w:val="TableofFigures"/>
        <w:rPr>
          <w:rFonts w:asciiTheme="minorHAnsi" w:eastAsiaTheme="minorEastAsia" w:hAnsiTheme="minorHAnsi" w:cstheme="minorBidi"/>
          <w:noProof/>
          <w:color w:val="auto"/>
        </w:rPr>
      </w:pPr>
      <w:r>
        <w:rPr>
          <w:noProof/>
        </w:rPr>
        <w:t>Figure 7.6 Watertable level for various aquifer diffusivities (D) and distances to river (d), for an irrigation area of 100 ha and recharge rate of 100 mm/year</w:t>
      </w:r>
      <w:r>
        <w:rPr>
          <w:noProof/>
          <w:webHidden/>
        </w:rPr>
        <w:tab/>
        <w:t>259</w:t>
      </w:r>
    </w:p>
    <w:p w:rsidR="00E308BF" w:rsidRDefault="00E308BF">
      <w:pPr>
        <w:pStyle w:val="TableofFigures"/>
        <w:rPr>
          <w:rFonts w:asciiTheme="minorHAnsi" w:eastAsiaTheme="minorEastAsia" w:hAnsiTheme="minorHAnsi" w:cstheme="minorBidi"/>
          <w:noProof/>
          <w:color w:val="auto"/>
        </w:rPr>
      </w:pPr>
      <w:r>
        <w:rPr>
          <w:noProof/>
        </w:rPr>
        <w:t xml:space="preserve">Figure 7.7 </w:t>
      </w:r>
      <w:r w:rsidRPr="00F02814">
        <w:rPr>
          <w:noProof/>
          <w:lang w:val="en-US"/>
        </w:rPr>
        <w:t>Flux response for different aquifer diffusivities, for different hydraulic conductivities (K), specify yields (Sy) and distances to river (d)</w:t>
      </w:r>
      <w:r>
        <w:rPr>
          <w:noProof/>
          <w:webHidden/>
        </w:rPr>
        <w:tab/>
        <w:t>260</w:t>
      </w:r>
    </w:p>
    <w:p w:rsidR="00E308BF" w:rsidRDefault="00E308BF">
      <w:pPr>
        <w:pStyle w:val="TableofFigures"/>
        <w:rPr>
          <w:rFonts w:asciiTheme="minorHAnsi" w:eastAsiaTheme="minorEastAsia" w:hAnsiTheme="minorHAnsi" w:cstheme="minorBidi"/>
          <w:noProof/>
          <w:color w:val="auto"/>
        </w:rPr>
      </w:pPr>
      <w:r>
        <w:rPr>
          <w:noProof/>
        </w:rPr>
        <w:t>Figure 7.8 Variation in watertable level beneath two neighbouring 500-ha irrigation developments at different distances of separation</w:t>
      </w:r>
      <w:r>
        <w:rPr>
          <w:noProof/>
          <w:webHidden/>
        </w:rPr>
        <w:tab/>
        <w:t>261</w:t>
      </w:r>
    </w:p>
    <w:p w:rsidR="00E308BF" w:rsidRDefault="00E308BF">
      <w:pPr>
        <w:pStyle w:val="TableofFigures"/>
        <w:rPr>
          <w:rFonts w:asciiTheme="minorHAnsi" w:eastAsiaTheme="minorEastAsia" w:hAnsiTheme="minorHAnsi" w:cstheme="minorBidi"/>
          <w:noProof/>
          <w:color w:val="auto"/>
        </w:rPr>
      </w:pPr>
      <w:r>
        <w:rPr>
          <w:noProof/>
        </w:rPr>
        <w:t>Figure 7.9 Conductivity–depth section (lower panel) for flight line 10090. Location of flight line on a satellite image is shown in upper panel. This flight line transects the Gilbert River and Etheridge River downstream of Georgetown</w:t>
      </w:r>
      <w:r>
        <w:rPr>
          <w:noProof/>
          <w:webHidden/>
        </w:rPr>
        <w:tab/>
        <w:t>262</w:t>
      </w:r>
    </w:p>
    <w:p w:rsidR="00E308BF" w:rsidRDefault="00E308BF">
      <w:pPr>
        <w:pStyle w:val="TableofFigures"/>
        <w:rPr>
          <w:rFonts w:asciiTheme="minorHAnsi" w:eastAsiaTheme="minorEastAsia" w:hAnsiTheme="minorHAnsi" w:cstheme="minorBidi"/>
          <w:noProof/>
          <w:color w:val="auto"/>
        </w:rPr>
      </w:pPr>
      <w:r>
        <w:rPr>
          <w:noProof/>
        </w:rPr>
        <w:t>Figure 8.1 Schematic diagram illustrating the components of the case study for a dam and irrigation development near Green Hills station</w:t>
      </w:r>
      <w:r>
        <w:rPr>
          <w:noProof/>
          <w:webHidden/>
        </w:rPr>
        <w:tab/>
        <w:t>273</w:t>
      </w:r>
    </w:p>
    <w:p w:rsidR="00E308BF" w:rsidRDefault="00E308BF">
      <w:pPr>
        <w:pStyle w:val="TableofFigures"/>
        <w:rPr>
          <w:rFonts w:asciiTheme="minorHAnsi" w:eastAsiaTheme="minorEastAsia" w:hAnsiTheme="minorHAnsi" w:cstheme="minorBidi"/>
          <w:noProof/>
          <w:color w:val="auto"/>
        </w:rPr>
      </w:pPr>
      <w:r>
        <w:rPr>
          <w:noProof/>
        </w:rPr>
        <w:t>Figure 8.2 (a) Satellite map and (b) relief and flood map of the area surrounding Green Hills dam</w:t>
      </w:r>
      <w:r>
        <w:rPr>
          <w:noProof/>
          <w:webHidden/>
        </w:rPr>
        <w:tab/>
        <w:t>276</w:t>
      </w:r>
    </w:p>
    <w:p w:rsidR="00E308BF" w:rsidRDefault="00E308BF">
      <w:pPr>
        <w:pStyle w:val="TableofFigures"/>
        <w:rPr>
          <w:rFonts w:asciiTheme="minorHAnsi" w:eastAsiaTheme="minorEastAsia" w:hAnsiTheme="minorHAnsi" w:cstheme="minorBidi"/>
          <w:noProof/>
          <w:color w:val="auto"/>
        </w:rPr>
      </w:pPr>
      <w:r>
        <w:rPr>
          <w:noProof/>
        </w:rPr>
        <w:t>Figure 8.3 (a) Soil generic group map and (b) land suitability map of the area surrounding the Green Hills site for spray-irrigated cotton</w:t>
      </w:r>
      <w:r>
        <w:rPr>
          <w:noProof/>
          <w:webHidden/>
        </w:rPr>
        <w:tab/>
        <w:t>278</w:t>
      </w:r>
    </w:p>
    <w:p w:rsidR="00E308BF" w:rsidRDefault="00E308BF">
      <w:pPr>
        <w:pStyle w:val="TableofFigures"/>
        <w:rPr>
          <w:rFonts w:asciiTheme="minorHAnsi" w:eastAsiaTheme="minorEastAsia" w:hAnsiTheme="minorHAnsi" w:cstheme="minorBidi"/>
          <w:noProof/>
          <w:color w:val="auto"/>
        </w:rPr>
      </w:pPr>
      <w:r>
        <w:rPr>
          <w:noProof/>
        </w:rPr>
        <w:t>Figure 8.4 Landscape near the potential Green Hills dam irrigation development</w:t>
      </w:r>
      <w:r>
        <w:rPr>
          <w:noProof/>
          <w:webHidden/>
        </w:rPr>
        <w:tab/>
        <w:t>279</w:t>
      </w:r>
    </w:p>
    <w:p w:rsidR="00E308BF" w:rsidRDefault="00E308BF">
      <w:pPr>
        <w:pStyle w:val="TableofFigures"/>
        <w:rPr>
          <w:rFonts w:asciiTheme="minorHAnsi" w:eastAsiaTheme="minorEastAsia" w:hAnsiTheme="minorHAnsi" w:cstheme="minorBidi"/>
          <w:noProof/>
          <w:color w:val="auto"/>
        </w:rPr>
      </w:pPr>
      <w:r>
        <w:rPr>
          <w:noProof/>
        </w:rPr>
        <w:t>Figure 8.5 (a) Monthly rainfall and (b) monthly potential evaporation under Scenario A at Green Hills</w:t>
      </w:r>
      <w:r>
        <w:rPr>
          <w:noProof/>
          <w:webHidden/>
        </w:rPr>
        <w:tab/>
        <w:t>280</w:t>
      </w:r>
    </w:p>
    <w:p w:rsidR="00E308BF" w:rsidRDefault="00E308BF">
      <w:pPr>
        <w:pStyle w:val="TableofFigures"/>
        <w:rPr>
          <w:rFonts w:asciiTheme="minorHAnsi" w:eastAsiaTheme="minorEastAsia" w:hAnsiTheme="minorHAnsi" w:cstheme="minorBidi"/>
          <w:noProof/>
          <w:color w:val="auto"/>
        </w:rPr>
      </w:pPr>
      <w:r>
        <w:rPr>
          <w:noProof/>
        </w:rPr>
        <w:lastRenderedPageBreak/>
        <w:t>Figure 8.6 (a) Maximum monthly temperature and (b) minimum monthly temperature under Scenario A at Green Hills</w:t>
      </w:r>
      <w:r>
        <w:rPr>
          <w:noProof/>
          <w:webHidden/>
        </w:rPr>
        <w:tab/>
        <w:t>280</w:t>
      </w:r>
    </w:p>
    <w:p w:rsidR="00E308BF" w:rsidRDefault="00E308BF">
      <w:pPr>
        <w:pStyle w:val="TableofFigures"/>
        <w:rPr>
          <w:rFonts w:asciiTheme="minorHAnsi" w:eastAsiaTheme="minorEastAsia" w:hAnsiTheme="minorHAnsi" w:cstheme="minorBidi"/>
          <w:noProof/>
          <w:color w:val="auto"/>
        </w:rPr>
      </w:pPr>
      <w:r>
        <w:rPr>
          <w:noProof/>
        </w:rPr>
        <w:t>Figure 8.7 Annual streamflow on the Gilbert River at the Green Hills dam site under Scenario A</w:t>
      </w:r>
      <w:r>
        <w:rPr>
          <w:noProof/>
          <w:webHidden/>
        </w:rPr>
        <w:tab/>
        <w:t>281</w:t>
      </w:r>
    </w:p>
    <w:p w:rsidR="00E308BF" w:rsidRDefault="00E308BF">
      <w:pPr>
        <w:pStyle w:val="TableofFigures"/>
        <w:rPr>
          <w:rFonts w:asciiTheme="minorHAnsi" w:eastAsiaTheme="minorEastAsia" w:hAnsiTheme="minorHAnsi" w:cstheme="minorBidi"/>
          <w:noProof/>
          <w:color w:val="auto"/>
        </w:rPr>
      </w:pPr>
      <w:r>
        <w:rPr>
          <w:noProof/>
        </w:rPr>
        <w:t>Figure 8.8 Crop yield versus applied irrigation water under Scenario A for (a) cotton, (b) peanuts and (c) sorghum (forage)</w:t>
      </w:r>
      <w:r>
        <w:rPr>
          <w:noProof/>
          <w:webHidden/>
        </w:rPr>
        <w:tab/>
        <w:t>286</w:t>
      </w:r>
    </w:p>
    <w:p w:rsidR="00E308BF" w:rsidRDefault="00E308BF">
      <w:pPr>
        <w:pStyle w:val="TableofFigures"/>
        <w:rPr>
          <w:rFonts w:asciiTheme="minorHAnsi" w:eastAsiaTheme="minorEastAsia" w:hAnsiTheme="minorHAnsi" w:cstheme="minorBidi"/>
          <w:noProof/>
          <w:color w:val="auto"/>
        </w:rPr>
      </w:pPr>
      <w:r>
        <w:rPr>
          <w:noProof/>
        </w:rPr>
        <w:t>Figure 8.9 Mean annual applied irrigation water supplied to the field in (a) cotton, (c) peanuts and (e) sorghum (forage) in ML, and (b) cotton, (d) peanuts and (f) sorghum (forage) in ML/ha, under Scenario B for the irrigation development associated with the Green Hills dam</w:t>
      </w:r>
      <w:r>
        <w:rPr>
          <w:noProof/>
          <w:webHidden/>
        </w:rPr>
        <w:tab/>
        <w:t>289</w:t>
      </w:r>
    </w:p>
    <w:p w:rsidR="00E308BF" w:rsidRDefault="00E308BF">
      <w:pPr>
        <w:pStyle w:val="TableofFigures"/>
        <w:rPr>
          <w:rFonts w:asciiTheme="minorHAnsi" w:eastAsiaTheme="minorEastAsia" w:hAnsiTheme="minorHAnsi" w:cstheme="minorBidi"/>
          <w:noProof/>
          <w:color w:val="auto"/>
        </w:rPr>
      </w:pPr>
      <w:r>
        <w:rPr>
          <w:noProof/>
        </w:rPr>
        <w:t>Figure 8.10 (a) Median annual applied irrigation water supplied to the field and (b) percentage of years that the maximum area is planted under Scenario B for the irrigation development associated with the Green Hills dam</w:t>
      </w:r>
      <w:r>
        <w:rPr>
          <w:noProof/>
          <w:webHidden/>
        </w:rPr>
        <w:tab/>
        <w:t>290</w:t>
      </w:r>
    </w:p>
    <w:p w:rsidR="00E308BF" w:rsidRDefault="00E308BF">
      <w:pPr>
        <w:pStyle w:val="TableofFigures"/>
        <w:rPr>
          <w:rFonts w:asciiTheme="minorHAnsi" w:eastAsiaTheme="minorEastAsia" w:hAnsiTheme="minorHAnsi" w:cstheme="minorBidi"/>
          <w:noProof/>
          <w:color w:val="auto"/>
        </w:rPr>
      </w:pPr>
      <w:r>
        <w:rPr>
          <w:noProof/>
        </w:rPr>
        <w:t>Figure 8.11 (a) Ratio of evaporation from the reservoir to the applied irrigation water and (b) percentage of time the volume of the reservoir is less than 20% of the full supply level volume under Scenario B for the irrigation development associated with the Green Hills dam</w:t>
      </w:r>
      <w:r>
        <w:rPr>
          <w:noProof/>
          <w:webHidden/>
        </w:rPr>
        <w:tab/>
        <w:t>291</w:t>
      </w:r>
    </w:p>
    <w:p w:rsidR="00E308BF" w:rsidRDefault="00E308BF">
      <w:pPr>
        <w:pStyle w:val="TableofFigures"/>
        <w:rPr>
          <w:rFonts w:asciiTheme="minorHAnsi" w:eastAsiaTheme="minorEastAsia" w:hAnsiTheme="minorHAnsi" w:cstheme="minorBidi"/>
          <w:noProof/>
          <w:color w:val="auto"/>
        </w:rPr>
      </w:pPr>
      <w:r>
        <w:rPr>
          <w:noProof/>
        </w:rPr>
        <w:t>Figure 8.12 Median annual streamflow quotient at (a) gauge 917001D and (b) gauge 917009A for the irrigation development associated with the Green Hills dam</w:t>
      </w:r>
      <w:r>
        <w:rPr>
          <w:noProof/>
          <w:webHidden/>
        </w:rPr>
        <w:tab/>
        <w:t>292</w:t>
      </w:r>
    </w:p>
    <w:p w:rsidR="00E308BF" w:rsidRDefault="00E308BF">
      <w:pPr>
        <w:pStyle w:val="TableofFigures"/>
        <w:rPr>
          <w:rFonts w:asciiTheme="minorHAnsi" w:eastAsiaTheme="minorEastAsia" w:hAnsiTheme="minorHAnsi" w:cstheme="minorBidi"/>
          <w:noProof/>
          <w:color w:val="auto"/>
        </w:rPr>
      </w:pPr>
      <w:r>
        <w:rPr>
          <w:noProof/>
        </w:rPr>
        <w:t>Figure 8.13 (a) Cotton, (c) peanuts and (e) sorghum (forage) median of the 30-year mean (M30M) values for crop yield, and (b) cotton, (d) peanuts and (f) sorghum (forage) M30M values for specific yield, under Scenario B for the irrigation development associated with the Green Hills dam</w:t>
      </w:r>
      <w:r>
        <w:rPr>
          <w:noProof/>
          <w:webHidden/>
        </w:rPr>
        <w:tab/>
        <w:t>293</w:t>
      </w:r>
    </w:p>
    <w:p w:rsidR="00E308BF" w:rsidRDefault="00E308BF">
      <w:pPr>
        <w:pStyle w:val="TableofFigures"/>
        <w:rPr>
          <w:rFonts w:asciiTheme="minorHAnsi" w:eastAsiaTheme="minorEastAsia" w:hAnsiTheme="minorHAnsi" w:cstheme="minorBidi"/>
          <w:noProof/>
          <w:color w:val="auto"/>
        </w:rPr>
      </w:pPr>
      <w:r>
        <w:rPr>
          <w:noProof/>
        </w:rPr>
        <w:t>Figure 8.14 (a) Median of the 30-year mean (M30M) values for gross margin and (b) M30M values for gross margin per hectare under Scenario B for the irrigation development associated with the Green Hills dam</w:t>
      </w:r>
      <w:r>
        <w:rPr>
          <w:noProof/>
          <w:webHidden/>
        </w:rPr>
        <w:tab/>
        <w:t>295</w:t>
      </w:r>
    </w:p>
    <w:p w:rsidR="00E308BF" w:rsidRDefault="00E308BF">
      <w:pPr>
        <w:pStyle w:val="TableofFigures"/>
        <w:rPr>
          <w:rFonts w:asciiTheme="minorHAnsi" w:eastAsiaTheme="minorEastAsia" w:hAnsiTheme="minorHAnsi" w:cstheme="minorBidi"/>
          <w:noProof/>
          <w:color w:val="auto"/>
        </w:rPr>
      </w:pPr>
      <w:r>
        <w:rPr>
          <w:noProof/>
        </w:rPr>
        <w:t>Figure 8.15 (a) Median of the 30-year net present values and (b) standard deviation of the 30-year net present values under Scenario B for the irrigation development associated with the Green Hills dam</w:t>
      </w:r>
      <w:r>
        <w:rPr>
          <w:noProof/>
          <w:webHidden/>
        </w:rPr>
        <w:tab/>
        <w:t>296</w:t>
      </w:r>
    </w:p>
    <w:p w:rsidR="00E308BF" w:rsidRDefault="00E308BF">
      <w:pPr>
        <w:pStyle w:val="TableofFigures"/>
        <w:rPr>
          <w:rFonts w:asciiTheme="minorHAnsi" w:eastAsiaTheme="minorEastAsia" w:hAnsiTheme="minorHAnsi" w:cstheme="minorBidi"/>
          <w:noProof/>
          <w:color w:val="auto"/>
        </w:rPr>
      </w:pPr>
      <w:r>
        <w:rPr>
          <w:noProof/>
        </w:rPr>
        <w:t>Figure 8.16 (a) Median of the 30-year farm-scale net present values and (b) standard deviation of the 30-year farm-scale net present values under Scenario B for the irrigation development associated with the Green Hills dam</w:t>
      </w:r>
      <w:r>
        <w:rPr>
          <w:noProof/>
          <w:webHidden/>
        </w:rPr>
        <w:tab/>
        <w:t>297</w:t>
      </w:r>
    </w:p>
    <w:p w:rsidR="00E308BF" w:rsidRDefault="00E308BF">
      <w:pPr>
        <w:pStyle w:val="TableofFigures"/>
        <w:rPr>
          <w:rFonts w:asciiTheme="minorHAnsi" w:eastAsiaTheme="minorEastAsia" w:hAnsiTheme="minorHAnsi" w:cstheme="minorBidi"/>
          <w:noProof/>
          <w:color w:val="auto"/>
        </w:rPr>
      </w:pPr>
      <w:r>
        <w:rPr>
          <w:noProof/>
        </w:rPr>
        <w:t>Figure 8.17 Gross margins for cotton under Scenario B for the irrigation development associated with the Green Hills dam, with a scheme area of 12,000 ha and crop area decision of 4 ML/ha: (a) time series and (b) box plot</w:t>
      </w:r>
      <w:r>
        <w:rPr>
          <w:noProof/>
          <w:webHidden/>
        </w:rPr>
        <w:tab/>
        <w:t>298</w:t>
      </w:r>
    </w:p>
    <w:p w:rsidR="00E308BF" w:rsidRDefault="00E308BF">
      <w:pPr>
        <w:pStyle w:val="TableofFigures"/>
        <w:rPr>
          <w:rFonts w:asciiTheme="minorHAnsi" w:eastAsiaTheme="minorEastAsia" w:hAnsiTheme="minorHAnsi" w:cstheme="minorBidi"/>
          <w:noProof/>
          <w:color w:val="auto"/>
        </w:rPr>
      </w:pPr>
      <w:r>
        <w:rPr>
          <w:noProof/>
        </w:rPr>
        <w:t>Figure 8.18 Gross margins for peanuts under Scenario B for the irrigation development associated with the Green Hills dam, with a scheme area of 12,000 ha and crop area decision of 4 ML/ha: (a) time series and (b) box plot</w:t>
      </w:r>
      <w:r>
        <w:rPr>
          <w:noProof/>
          <w:webHidden/>
        </w:rPr>
        <w:tab/>
        <w:t>298</w:t>
      </w:r>
    </w:p>
    <w:p w:rsidR="00E308BF" w:rsidRDefault="00E308BF">
      <w:pPr>
        <w:pStyle w:val="TableofFigures"/>
        <w:rPr>
          <w:rFonts w:asciiTheme="minorHAnsi" w:eastAsiaTheme="minorEastAsia" w:hAnsiTheme="minorHAnsi" w:cstheme="minorBidi"/>
          <w:noProof/>
          <w:color w:val="auto"/>
        </w:rPr>
      </w:pPr>
      <w:r>
        <w:rPr>
          <w:noProof/>
        </w:rPr>
        <w:t>Figure 8.19 Gross margins for sorghum (forage) under Scenario B for the irrigation development associated with the Green Hills dam, with a scheme area of 12,000 ha and crop area decision of 4 ML/ha: (a) time series and (b) box plot</w:t>
      </w:r>
      <w:r>
        <w:rPr>
          <w:noProof/>
          <w:webHidden/>
        </w:rPr>
        <w:tab/>
        <w:t>299</w:t>
      </w:r>
    </w:p>
    <w:p w:rsidR="00E308BF" w:rsidRDefault="00E308BF">
      <w:pPr>
        <w:pStyle w:val="TableofFigures"/>
        <w:rPr>
          <w:rFonts w:asciiTheme="minorHAnsi" w:eastAsiaTheme="minorEastAsia" w:hAnsiTheme="minorHAnsi" w:cstheme="minorBidi"/>
          <w:noProof/>
          <w:color w:val="auto"/>
        </w:rPr>
      </w:pPr>
      <w:r>
        <w:rPr>
          <w:noProof/>
        </w:rPr>
        <w:t>Figure 8.20 Combined gross margins for cotton, peanuts and sorghum (forage) under Scenario B for the irrigation development associated with the Green Hills dam, with a scheme area of 12,000 ha and crop area decision of 4 ML/ha: (a) time series and (b) box plot</w:t>
      </w:r>
      <w:r>
        <w:rPr>
          <w:noProof/>
          <w:webHidden/>
        </w:rPr>
        <w:tab/>
        <w:t>300</w:t>
      </w:r>
    </w:p>
    <w:p w:rsidR="00E308BF" w:rsidRDefault="00E308BF">
      <w:pPr>
        <w:pStyle w:val="TableofFigures"/>
        <w:rPr>
          <w:rFonts w:asciiTheme="minorHAnsi" w:eastAsiaTheme="minorEastAsia" w:hAnsiTheme="minorHAnsi" w:cstheme="minorBidi"/>
          <w:noProof/>
          <w:color w:val="auto"/>
        </w:rPr>
      </w:pPr>
      <w:r>
        <w:rPr>
          <w:noProof/>
        </w:rPr>
        <w:t>Figure 8.21 Percentage exceedance plots of (a) net present value and (b) internal rate of return under Scenario B for the scheme-scale 12,000-ha irrigation development associated with the Green Hills dam</w:t>
      </w:r>
      <w:r>
        <w:rPr>
          <w:noProof/>
          <w:webHidden/>
        </w:rPr>
        <w:tab/>
        <w:t>301</w:t>
      </w:r>
    </w:p>
    <w:p w:rsidR="00E308BF" w:rsidRDefault="00E308BF">
      <w:pPr>
        <w:pStyle w:val="TableofFigures"/>
        <w:rPr>
          <w:rFonts w:asciiTheme="minorHAnsi" w:eastAsiaTheme="minorEastAsia" w:hAnsiTheme="minorHAnsi" w:cstheme="minorBidi"/>
          <w:noProof/>
          <w:color w:val="auto"/>
        </w:rPr>
      </w:pPr>
      <w:r>
        <w:rPr>
          <w:noProof/>
        </w:rPr>
        <w:t>Figure 8.22 Percentage exceedance plots of (a) net present value and (b) internal rate of return under Scenario B for the farm-scale 12,000-ha irrigation development associated with the Green Hills dam</w:t>
      </w:r>
      <w:r>
        <w:rPr>
          <w:noProof/>
          <w:webHidden/>
        </w:rPr>
        <w:tab/>
        <w:t>302</w:t>
      </w:r>
    </w:p>
    <w:p w:rsidR="00E308BF" w:rsidRDefault="00E308BF">
      <w:pPr>
        <w:pStyle w:val="TableofFigures"/>
        <w:rPr>
          <w:rFonts w:asciiTheme="minorHAnsi" w:eastAsiaTheme="minorEastAsia" w:hAnsiTheme="minorHAnsi" w:cstheme="minorBidi"/>
          <w:noProof/>
          <w:color w:val="auto"/>
        </w:rPr>
      </w:pPr>
      <w:r>
        <w:rPr>
          <w:noProof/>
        </w:rPr>
        <w:t>Figure 8.23 Change in depth to watertable for different values of saturated hydraulic conductivity (K): (a) lower recharge rate of 120 mm/year and (b) higher recharge rate of 200 mm/year</w:t>
      </w:r>
      <w:r>
        <w:rPr>
          <w:noProof/>
          <w:webHidden/>
        </w:rPr>
        <w:tab/>
        <w:t>304</w:t>
      </w:r>
    </w:p>
    <w:p w:rsidR="00E308BF" w:rsidRDefault="00E308BF">
      <w:pPr>
        <w:pStyle w:val="TableofFigures"/>
        <w:rPr>
          <w:rFonts w:asciiTheme="minorHAnsi" w:eastAsiaTheme="minorEastAsia" w:hAnsiTheme="minorHAnsi" w:cstheme="minorBidi"/>
          <w:noProof/>
          <w:color w:val="auto"/>
        </w:rPr>
      </w:pPr>
      <w:r>
        <w:rPr>
          <w:noProof/>
        </w:rPr>
        <w:lastRenderedPageBreak/>
        <w:t>Figure 9.1 Schematic diagram illustrating the components of the case study for the irrigation developments associated with Green Hills and Dagworth dams</w:t>
      </w:r>
      <w:r>
        <w:rPr>
          <w:noProof/>
          <w:webHidden/>
        </w:rPr>
        <w:tab/>
        <w:t>311</w:t>
      </w:r>
    </w:p>
    <w:p w:rsidR="00E308BF" w:rsidRDefault="00E308BF">
      <w:pPr>
        <w:pStyle w:val="TableofFigures"/>
        <w:rPr>
          <w:rFonts w:asciiTheme="minorHAnsi" w:eastAsiaTheme="minorEastAsia" w:hAnsiTheme="minorHAnsi" w:cstheme="minorBidi"/>
          <w:noProof/>
          <w:color w:val="auto"/>
        </w:rPr>
      </w:pPr>
      <w:r>
        <w:rPr>
          <w:noProof/>
        </w:rPr>
        <w:t>Figure 9.2 (a) Satellite image and (b) relief map area surrounding Green Hills and Dagworth dams</w:t>
      </w:r>
      <w:r>
        <w:rPr>
          <w:noProof/>
          <w:webHidden/>
        </w:rPr>
        <w:tab/>
        <w:t>314</w:t>
      </w:r>
    </w:p>
    <w:p w:rsidR="00E308BF" w:rsidRDefault="00E308BF">
      <w:pPr>
        <w:pStyle w:val="TableofFigures"/>
        <w:rPr>
          <w:rFonts w:asciiTheme="minorHAnsi" w:eastAsiaTheme="minorEastAsia" w:hAnsiTheme="minorHAnsi" w:cstheme="minorBidi"/>
          <w:noProof/>
          <w:color w:val="auto"/>
        </w:rPr>
      </w:pPr>
      <w:r>
        <w:rPr>
          <w:noProof/>
        </w:rPr>
        <w:t>Figure 9.3 Photo of the landscape near the potential Green Hills dam irrigation development</w:t>
      </w:r>
      <w:r>
        <w:rPr>
          <w:noProof/>
          <w:webHidden/>
        </w:rPr>
        <w:tab/>
        <w:t>317</w:t>
      </w:r>
    </w:p>
    <w:p w:rsidR="00E308BF" w:rsidRDefault="00E308BF">
      <w:pPr>
        <w:pStyle w:val="TableofFigures"/>
        <w:rPr>
          <w:rFonts w:asciiTheme="minorHAnsi" w:eastAsiaTheme="minorEastAsia" w:hAnsiTheme="minorHAnsi" w:cstheme="minorBidi"/>
          <w:noProof/>
          <w:color w:val="auto"/>
        </w:rPr>
      </w:pPr>
      <w:r>
        <w:rPr>
          <w:noProof/>
        </w:rPr>
        <w:t>Figure 9.4 (a) Soil generic group map and (b) land suitability map for the middle reaches of the Gilbert and Einasleigh rivers for spray-irrigated sugarcane</w:t>
      </w:r>
      <w:r>
        <w:rPr>
          <w:noProof/>
          <w:webHidden/>
        </w:rPr>
        <w:tab/>
        <w:t>318</w:t>
      </w:r>
    </w:p>
    <w:p w:rsidR="00E308BF" w:rsidRDefault="00E308BF">
      <w:pPr>
        <w:pStyle w:val="TableofFigures"/>
        <w:rPr>
          <w:rFonts w:asciiTheme="minorHAnsi" w:eastAsiaTheme="minorEastAsia" w:hAnsiTheme="minorHAnsi" w:cstheme="minorBidi"/>
          <w:noProof/>
          <w:color w:val="auto"/>
        </w:rPr>
      </w:pPr>
      <w:r>
        <w:rPr>
          <w:noProof/>
        </w:rPr>
        <w:t>Figure 9.5 (a) Monthly rainfall and (b) monthly potential evaporation, under Scenario A at Dagworth</w:t>
      </w:r>
      <w:r>
        <w:rPr>
          <w:noProof/>
          <w:webHidden/>
        </w:rPr>
        <w:tab/>
        <w:t>319</w:t>
      </w:r>
    </w:p>
    <w:p w:rsidR="00E308BF" w:rsidRDefault="00E308BF">
      <w:pPr>
        <w:pStyle w:val="TableofFigures"/>
        <w:rPr>
          <w:rFonts w:asciiTheme="minorHAnsi" w:eastAsiaTheme="minorEastAsia" w:hAnsiTheme="minorHAnsi" w:cstheme="minorBidi"/>
          <w:noProof/>
          <w:color w:val="auto"/>
        </w:rPr>
      </w:pPr>
      <w:r>
        <w:rPr>
          <w:noProof/>
        </w:rPr>
        <w:t>Figure 9.6 (a) Maximum monthly temperature and (b) minimum monthly temperature, under Scenario A at Dagworth</w:t>
      </w:r>
      <w:r>
        <w:rPr>
          <w:noProof/>
          <w:webHidden/>
        </w:rPr>
        <w:tab/>
        <w:t>319</w:t>
      </w:r>
    </w:p>
    <w:p w:rsidR="00E308BF" w:rsidRDefault="00E308BF">
      <w:pPr>
        <w:pStyle w:val="TableofFigures"/>
        <w:rPr>
          <w:rFonts w:asciiTheme="minorHAnsi" w:eastAsiaTheme="minorEastAsia" w:hAnsiTheme="minorHAnsi" w:cstheme="minorBidi"/>
          <w:noProof/>
          <w:color w:val="auto"/>
        </w:rPr>
      </w:pPr>
      <w:r>
        <w:rPr>
          <w:noProof/>
        </w:rPr>
        <w:t>Figure 9.7 Annual streamflow on the Gilbert River at the Green Hills dam site under Scenario A</w:t>
      </w:r>
      <w:r>
        <w:rPr>
          <w:noProof/>
          <w:webHidden/>
        </w:rPr>
        <w:tab/>
        <w:t>320</w:t>
      </w:r>
    </w:p>
    <w:p w:rsidR="00E308BF" w:rsidRDefault="00E308BF">
      <w:pPr>
        <w:pStyle w:val="TableofFigures"/>
        <w:rPr>
          <w:rFonts w:asciiTheme="minorHAnsi" w:eastAsiaTheme="minorEastAsia" w:hAnsiTheme="minorHAnsi" w:cstheme="minorBidi"/>
          <w:noProof/>
          <w:color w:val="auto"/>
        </w:rPr>
      </w:pPr>
      <w:r>
        <w:rPr>
          <w:noProof/>
        </w:rPr>
        <w:t>Figure 9.8 Annual streamflow on the Einasleigh River at the Dagworth dam site under Scenario A</w:t>
      </w:r>
      <w:r>
        <w:rPr>
          <w:noProof/>
          <w:webHidden/>
        </w:rPr>
        <w:tab/>
        <w:t>321</w:t>
      </w:r>
    </w:p>
    <w:p w:rsidR="00E308BF" w:rsidRDefault="00E308BF">
      <w:pPr>
        <w:pStyle w:val="TableofFigures"/>
        <w:rPr>
          <w:rFonts w:asciiTheme="minorHAnsi" w:eastAsiaTheme="minorEastAsia" w:hAnsiTheme="minorHAnsi" w:cstheme="minorBidi"/>
          <w:noProof/>
          <w:color w:val="auto"/>
        </w:rPr>
      </w:pPr>
      <w:r>
        <w:rPr>
          <w:noProof/>
        </w:rPr>
        <w:t>Figure 9.9 Crop yield versus applied irrigation water under Scenario A for sugarcane for a sand or loam over relatively friable clay subsoil</w:t>
      </w:r>
      <w:r>
        <w:rPr>
          <w:noProof/>
          <w:webHidden/>
        </w:rPr>
        <w:tab/>
        <w:t>327</w:t>
      </w:r>
    </w:p>
    <w:p w:rsidR="00E308BF" w:rsidRDefault="00E308BF">
      <w:pPr>
        <w:pStyle w:val="TableofFigures"/>
        <w:rPr>
          <w:rFonts w:asciiTheme="minorHAnsi" w:eastAsiaTheme="minorEastAsia" w:hAnsiTheme="minorHAnsi" w:cstheme="minorBidi"/>
          <w:noProof/>
          <w:color w:val="auto"/>
        </w:rPr>
      </w:pPr>
      <w:r>
        <w:rPr>
          <w:noProof/>
        </w:rPr>
        <w:t>Figure 9.10 (a) Mean annual total applied irrigation water supplied to the field (ML) and (b) ML applied per hectare under Scenario B for the irrigation developments associated with Green Hills and Dagworth dams</w:t>
      </w:r>
      <w:r>
        <w:rPr>
          <w:noProof/>
          <w:webHidden/>
        </w:rPr>
        <w:tab/>
        <w:t>329</w:t>
      </w:r>
    </w:p>
    <w:p w:rsidR="00E308BF" w:rsidRDefault="00E308BF">
      <w:pPr>
        <w:pStyle w:val="TableofFigures"/>
        <w:rPr>
          <w:rFonts w:asciiTheme="minorHAnsi" w:eastAsiaTheme="minorEastAsia" w:hAnsiTheme="minorHAnsi" w:cstheme="minorBidi"/>
          <w:noProof/>
          <w:color w:val="auto"/>
        </w:rPr>
      </w:pPr>
      <w:r>
        <w:rPr>
          <w:noProof/>
        </w:rPr>
        <w:t>Figure 9.11 Ratio of evaporation from the reservoir to the applied irrigation water under Scenario B for (a) Green Hills dam and (b) Dagworth dam</w:t>
      </w:r>
      <w:r>
        <w:rPr>
          <w:noProof/>
          <w:webHidden/>
        </w:rPr>
        <w:tab/>
        <w:t>330</w:t>
      </w:r>
    </w:p>
    <w:p w:rsidR="00E308BF" w:rsidRDefault="00E308BF">
      <w:pPr>
        <w:pStyle w:val="TableofFigures"/>
        <w:rPr>
          <w:rFonts w:asciiTheme="minorHAnsi" w:eastAsiaTheme="minorEastAsia" w:hAnsiTheme="minorHAnsi" w:cstheme="minorBidi"/>
          <w:noProof/>
          <w:color w:val="auto"/>
        </w:rPr>
      </w:pPr>
      <w:r>
        <w:rPr>
          <w:noProof/>
        </w:rPr>
        <w:t>Figure 9.12 Percentage of time the volume of the reservoir is less than 20% of the full supply level volume under Scenario B for (a) Green Hills dam and (b) Dagworth dam</w:t>
      </w:r>
      <w:r>
        <w:rPr>
          <w:noProof/>
          <w:webHidden/>
        </w:rPr>
        <w:tab/>
        <w:t>330</w:t>
      </w:r>
    </w:p>
    <w:p w:rsidR="00E308BF" w:rsidRDefault="00E308BF">
      <w:pPr>
        <w:pStyle w:val="TableofFigures"/>
        <w:rPr>
          <w:rFonts w:asciiTheme="minorHAnsi" w:eastAsiaTheme="minorEastAsia" w:hAnsiTheme="minorHAnsi" w:cstheme="minorBidi"/>
          <w:noProof/>
          <w:color w:val="auto"/>
        </w:rPr>
      </w:pPr>
      <w:r>
        <w:rPr>
          <w:noProof/>
        </w:rPr>
        <w:t>Figure 9.13 Median streamflow quotient at (a) Green Hills dam (gauge 917001D) and (b) Dagworth dam (virtual gauge 355)</w:t>
      </w:r>
      <w:r>
        <w:rPr>
          <w:noProof/>
          <w:webHidden/>
        </w:rPr>
        <w:tab/>
        <w:t>331</w:t>
      </w:r>
    </w:p>
    <w:p w:rsidR="00E308BF" w:rsidRDefault="00E308BF">
      <w:pPr>
        <w:pStyle w:val="TableofFigures"/>
        <w:rPr>
          <w:rFonts w:asciiTheme="minorHAnsi" w:eastAsiaTheme="minorEastAsia" w:hAnsiTheme="minorHAnsi" w:cstheme="minorBidi"/>
          <w:noProof/>
          <w:color w:val="auto"/>
        </w:rPr>
      </w:pPr>
      <w:r>
        <w:rPr>
          <w:noProof/>
        </w:rPr>
        <w:t>Figure 9.14 (a) Median of the 30-year mean (M30M) values for crop yield and (b) standard deviation of the 30-year mean values (S30M) for crop yield, under Scenario B for the irrigation development associated with the Green Hills and Dagworth dams. Circles in (a) correspond with lines in Figure 9.15</w:t>
      </w:r>
      <w:r>
        <w:rPr>
          <w:noProof/>
          <w:webHidden/>
        </w:rPr>
        <w:tab/>
        <w:t>331</w:t>
      </w:r>
    </w:p>
    <w:p w:rsidR="00E308BF" w:rsidRDefault="00E308BF">
      <w:pPr>
        <w:pStyle w:val="TableofFigures"/>
        <w:rPr>
          <w:rFonts w:asciiTheme="minorHAnsi" w:eastAsiaTheme="minorEastAsia" w:hAnsiTheme="minorHAnsi" w:cstheme="minorBidi"/>
          <w:noProof/>
          <w:color w:val="auto"/>
        </w:rPr>
      </w:pPr>
      <w:r>
        <w:rPr>
          <w:noProof/>
        </w:rPr>
        <w:t>Figure 9.15 Crop yield from the combined scheme area under Scenario B for three different scheme areas marked in Figure 9.14a</w:t>
      </w:r>
      <w:r>
        <w:rPr>
          <w:noProof/>
          <w:webHidden/>
        </w:rPr>
        <w:tab/>
        <w:t>332</w:t>
      </w:r>
    </w:p>
    <w:p w:rsidR="00E308BF" w:rsidRDefault="00E308BF">
      <w:pPr>
        <w:pStyle w:val="TableofFigures"/>
        <w:rPr>
          <w:rFonts w:asciiTheme="minorHAnsi" w:eastAsiaTheme="minorEastAsia" w:hAnsiTheme="minorHAnsi" w:cstheme="minorBidi"/>
          <w:noProof/>
          <w:color w:val="auto"/>
        </w:rPr>
      </w:pPr>
      <w:r>
        <w:rPr>
          <w:noProof/>
        </w:rPr>
        <w:t>Figure 9.16 (a) Median of the 30-year mean values (M30M) for specific yield and (b) percentage of time 2 million t of sugarcane is exceeded under Scenario B for the irrigation developments associated with the Green Hills and Dagworth dams</w:t>
      </w:r>
      <w:r>
        <w:rPr>
          <w:noProof/>
          <w:webHidden/>
        </w:rPr>
        <w:tab/>
        <w:t>333</w:t>
      </w:r>
    </w:p>
    <w:p w:rsidR="00E308BF" w:rsidRDefault="00E308BF">
      <w:pPr>
        <w:pStyle w:val="TableofFigures"/>
        <w:rPr>
          <w:rFonts w:asciiTheme="minorHAnsi" w:eastAsiaTheme="minorEastAsia" w:hAnsiTheme="minorHAnsi" w:cstheme="minorBidi"/>
          <w:noProof/>
          <w:color w:val="auto"/>
        </w:rPr>
      </w:pPr>
      <w:r>
        <w:rPr>
          <w:noProof/>
        </w:rPr>
        <w:t>Figure 9.17 (a) Median of the 30-year mean (M30M) values for crop gross margin and (b) M30M values for gross margin per hectare under Scenario B for the irrigation developments associated with the Green Hills and Dagworth dams</w:t>
      </w:r>
      <w:r>
        <w:rPr>
          <w:noProof/>
          <w:webHidden/>
        </w:rPr>
        <w:tab/>
        <w:t>334</w:t>
      </w:r>
    </w:p>
    <w:p w:rsidR="00E308BF" w:rsidRDefault="00E308BF">
      <w:pPr>
        <w:pStyle w:val="TableofFigures"/>
        <w:rPr>
          <w:rFonts w:asciiTheme="minorHAnsi" w:eastAsiaTheme="minorEastAsia" w:hAnsiTheme="minorHAnsi" w:cstheme="minorBidi"/>
          <w:noProof/>
          <w:color w:val="auto"/>
        </w:rPr>
      </w:pPr>
      <w:r>
        <w:rPr>
          <w:noProof/>
        </w:rPr>
        <w:t>Figure 9.18 a) Median of the 30-year mean (M30M) values for scheme-scale net present value and (b) standard deviation of the 30-year mean (S30M) values for scheme-scale net present value under Scenario B for the irrigation developments associated with the Green Hills and Dagworth dams</w:t>
      </w:r>
      <w:r>
        <w:rPr>
          <w:noProof/>
          <w:webHidden/>
        </w:rPr>
        <w:tab/>
        <w:t>335</w:t>
      </w:r>
    </w:p>
    <w:p w:rsidR="00E308BF" w:rsidRDefault="00E308BF">
      <w:pPr>
        <w:pStyle w:val="TableofFigures"/>
        <w:rPr>
          <w:rFonts w:asciiTheme="minorHAnsi" w:eastAsiaTheme="minorEastAsia" w:hAnsiTheme="minorHAnsi" w:cstheme="minorBidi"/>
          <w:noProof/>
          <w:color w:val="auto"/>
        </w:rPr>
      </w:pPr>
      <w:r>
        <w:rPr>
          <w:noProof/>
        </w:rPr>
        <w:t>Figure 9.19 Median of the 30-year mean values for farm-scale net present values and (b) standard deviation of the 30-year mean values for farm-scale net present value, under Scenario B for the irrigation developments associated with the Green Hills and Dagworth dams</w:t>
      </w:r>
      <w:r>
        <w:rPr>
          <w:noProof/>
          <w:webHidden/>
        </w:rPr>
        <w:tab/>
        <w:t>336</w:t>
      </w:r>
    </w:p>
    <w:p w:rsidR="00E308BF" w:rsidRDefault="00E308BF">
      <w:pPr>
        <w:pStyle w:val="TableofFigures"/>
        <w:rPr>
          <w:rFonts w:asciiTheme="minorHAnsi" w:eastAsiaTheme="minorEastAsia" w:hAnsiTheme="minorHAnsi" w:cstheme="minorBidi"/>
          <w:noProof/>
          <w:color w:val="auto"/>
        </w:rPr>
      </w:pPr>
      <w:r>
        <w:rPr>
          <w:noProof/>
        </w:rPr>
        <w:t>Figure 9.20 Gross margins for sugarcane ($/ha) under Scenario B for the irrigation development associated with Green Hills dam: (a) time series and (b) box plot</w:t>
      </w:r>
      <w:r>
        <w:rPr>
          <w:noProof/>
          <w:webHidden/>
        </w:rPr>
        <w:tab/>
        <w:t>337</w:t>
      </w:r>
    </w:p>
    <w:p w:rsidR="00E308BF" w:rsidRDefault="00E308BF">
      <w:pPr>
        <w:pStyle w:val="TableofFigures"/>
        <w:rPr>
          <w:rFonts w:asciiTheme="minorHAnsi" w:eastAsiaTheme="minorEastAsia" w:hAnsiTheme="minorHAnsi" w:cstheme="minorBidi"/>
          <w:noProof/>
          <w:color w:val="auto"/>
        </w:rPr>
      </w:pPr>
      <w:r>
        <w:rPr>
          <w:noProof/>
        </w:rPr>
        <w:t>Figure 9.21 Gross margins for sugarcane ($/ha) under Scenario B for the irrigation development associated with Dagworth dam: (a) time series and (b) box plot</w:t>
      </w:r>
      <w:r>
        <w:rPr>
          <w:noProof/>
          <w:webHidden/>
        </w:rPr>
        <w:tab/>
        <w:t>337</w:t>
      </w:r>
    </w:p>
    <w:p w:rsidR="00E308BF" w:rsidRDefault="00E308BF">
      <w:pPr>
        <w:pStyle w:val="TableofFigures"/>
        <w:rPr>
          <w:rFonts w:asciiTheme="minorHAnsi" w:eastAsiaTheme="minorEastAsia" w:hAnsiTheme="minorHAnsi" w:cstheme="minorBidi"/>
          <w:noProof/>
          <w:color w:val="auto"/>
        </w:rPr>
      </w:pPr>
      <w:r>
        <w:rPr>
          <w:noProof/>
        </w:rPr>
        <w:lastRenderedPageBreak/>
        <w:t>Figure 9.22 Percentage exceedance plots of (a) net present value and (b) internal rate of return under Scenario B for the scheme-scale irrigation development of 16,000 ha associated with the Green Hills dam</w:t>
      </w:r>
      <w:r>
        <w:rPr>
          <w:noProof/>
          <w:webHidden/>
        </w:rPr>
        <w:tab/>
        <w:t>338</w:t>
      </w:r>
    </w:p>
    <w:p w:rsidR="00E308BF" w:rsidRDefault="00E308BF">
      <w:pPr>
        <w:pStyle w:val="TableofFigures"/>
        <w:rPr>
          <w:rFonts w:asciiTheme="minorHAnsi" w:eastAsiaTheme="minorEastAsia" w:hAnsiTheme="minorHAnsi" w:cstheme="minorBidi"/>
          <w:noProof/>
          <w:color w:val="auto"/>
        </w:rPr>
      </w:pPr>
      <w:r>
        <w:rPr>
          <w:noProof/>
        </w:rPr>
        <w:t>Figure 9.23 Percentage exceedance plots of net present value, under Scenario B for the scheme-scale irrigation development of 16,000 ha associated with the Dagworth dam</w:t>
      </w:r>
      <w:r>
        <w:rPr>
          <w:noProof/>
          <w:webHidden/>
        </w:rPr>
        <w:tab/>
        <w:t>339</w:t>
      </w:r>
    </w:p>
    <w:p w:rsidR="00E308BF" w:rsidRDefault="00E308BF">
      <w:pPr>
        <w:pStyle w:val="TableofFigures"/>
        <w:rPr>
          <w:rFonts w:asciiTheme="minorHAnsi" w:eastAsiaTheme="minorEastAsia" w:hAnsiTheme="minorHAnsi" w:cstheme="minorBidi"/>
          <w:noProof/>
          <w:color w:val="auto"/>
        </w:rPr>
      </w:pPr>
      <w:r>
        <w:rPr>
          <w:noProof/>
        </w:rPr>
        <w:t>Figure 9.24 Percentage exceedance plots of (a) net present value and (b) internal rate of return under Scenario B for the farm-scale irrigation development of 16,000 ha associated with the Green Hills dam</w:t>
      </w:r>
      <w:r>
        <w:rPr>
          <w:noProof/>
          <w:webHidden/>
        </w:rPr>
        <w:tab/>
        <w:t>340</w:t>
      </w:r>
    </w:p>
    <w:p w:rsidR="00E308BF" w:rsidRDefault="00E308BF">
      <w:pPr>
        <w:pStyle w:val="TableofFigures"/>
        <w:rPr>
          <w:rFonts w:asciiTheme="minorHAnsi" w:eastAsiaTheme="minorEastAsia" w:hAnsiTheme="minorHAnsi" w:cstheme="minorBidi"/>
          <w:noProof/>
          <w:color w:val="auto"/>
        </w:rPr>
      </w:pPr>
      <w:r>
        <w:rPr>
          <w:noProof/>
        </w:rPr>
        <w:t>Figure 9.25 Percentage exceedance plots of (a) net present value and (b) internal rate of return under Scenario B for the farm-scale irrigation development of 16,000 ha associated with the Dagworth dam</w:t>
      </w:r>
      <w:r>
        <w:rPr>
          <w:noProof/>
          <w:webHidden/>
        </w:rPr>
        <w:tab/>
        <w:t>340</w:t>
      </w:r>
    </w:p>
    <w:p w:rsidR="00E308BF" w:rsidRDefault="00E308BF">
      <w:pPr>
        <w:pStyle w:val="TableofFigures"/>
        <w:rPr>
          <w:rFonts w:asciiTheme="minorHAnsi" w:eastAsiaTheme="minorEastAsia" w:hAnsiTheme="minorHAnsi" w:cstheme="minorBidi"/>
          <w:noProof/>
          <w:color w:val="auto"/>
        </w:rPr>
      </w:pPr>
      <w:r>
        <w:rPr>
          <w:noProof/>
        </w:rPr>
        <w:t>Figure 9.26 Change in depth to watertable for different values of saturated hydraulic conductivity (K): (a) low recharge rate 130 mm/year and (b) high recharge rate of 215 mm/year</w:t>
      </w:r>
      <w:r>
        <w:rPr>
          <w:noProof/>
          <w:webHidden/>
        </w:rPr>
        <w:tab/>
        <w:t>343</w:t>
      </w:r>
    </w:p>
    <w:p w:rsidR="00E308BF" w:rsidRDefault="00E308BF">
      <w:pPr>
        <w:pStyle w:val="TableofFigures"/>
        <w:rPr>
          <w:rFonts w:asciiTheme="minorHAnsi" w:eastAsiaTheme="minorEastAsia" w:hAnsiTheme="minorHAnsi" w:cstheme="minorBidi"/>
          <w:noProof/>
          <w:color w:val="auto"/>
        </w:rPr>
      </w:pPr>
      <w:r>
        <w:rPr>
          <w:noProof/>
        </w:rPr>
        <w:t>Figure 10.1 Schematic diagram illustrating the components of the case study for an irrigation development associated with Kidston Dam</w:t>
      </w:r>
      <w:r>
        <w:rPr>
          <w:noProof/>
          <w:webHidden/>
        </w:rPr>
        <w:tab/>
        <w:t>349</w:t>
      </w:r>
    </w:p>
    <w:p w:rsidR="00E308BF" w:rsidRDefault="00E308BF">
      <w:pPr>
        <w:pStyle w:val="TableofFigures"/>
        <w:rPr>
          <w:rFonts w:asciiTheme="minorHAnsi" w:eastAsiaTheme="minorEastAsia" w:hAnsiTheme="minorHAnsi" w:cstheme="minorBidi"/>
          <w:noProof/>
          <w:color w:val="auto"/>
        </w:rPr>
      </w:pPr>
      <w:r>
        <w:rPr>
          <w:noProof/>
        </w:rPr>
        <w:t>Figure 10.2 (a) Satellite image and (b) relief map of the area surrounding Kidston Dam</w:t>
      </w:r>
      <w:r>
        <w:rPr>
          <w:noProof/>
          <w:webHidden/>
        </w:rPr>
        <w:tab/>
        <w:t>352</w:t>
      </w:r>
    </w:p>
    <w:p w:rsidR="00E308BF" w:rsidRDefault="00E308BF">
      <w:pPr>
        <w:pStyle w:val="TableofFigures"/>
        <w:rPr>
          <w:rFonts w:asciiTheme="minorHAnsi" w:eastAsiaTheme="minorEastAsia" w:hAnsiTheme="minorHAnsi" w:cstheme="minorBidi"/>
          <w:noProof/>
          <w:color w:val="auto"/>
        </w:rPr>
      </w:pPr>
      <w:r>
        <w:rPr>
          <w:noProof/>
        </w:rPr>
        <w:t>Figure 10.3 (a) Soil generic group map and (b) land suitability map of the area surrounding Kidston Dam for spray-irrigated Rhodes grass</w:t>
      </w:r>
      <w:r>
        <w:rPr>
          <w:noProof/>
          <w:webHidden/>
        </w:rPr>
        <w:tab/>
        <w:t>354</w:t>
      </w:r>
    </w:p>
    <w:p w:rsidR="00E308BF" w:rsidRDefault="00E308BF">
      <w:pPr>
        <w:pStyle w:val="TableofFigures"/>
        <w:rPr>
          <w:rFonts w:asciiTheme="minorHAnsi" w:eastAsiaTheme="minorEastAsia" w:hAnsiTheme="minorHAnsi" w:cstheme="minorBidi"/>
          <w:noProof/>
          <w:color w:val="auto"/>
        </w:rPr>
      </w:pPr>
      <w:r>
        <w:rPr>
          <w:noProof/>
        </w:rPr>
        <w:t>Figure 10.4 Landscape of the potential Kidston Dam irrigation development</w:t>
      </w:r>
      <w:r>
        <w:rPr>
          <w:noProof/>
          <w:webHidden/>
        </w:rPr>
        <w:tab/>
        <w:t>355</w:t>
      </w:r>
    </w:p>
    <w:p w:rsidR="00E308BF" w:rsidRDefault="00E308BF">
      <w:pPr>
        <w:pStyle w:val="TableofFigures"/>
        <w:rPr>
          <w:rFonts w:asciiTheme="minorHAnsi" w:eastAsiaTheme="minorEastAsia" w:hAnsiTheme="minorHAnsi" w:cstheme="minorBidi"/>
          <w:noProof/>
          <w:color w:val="auto"/>
        </w:rPr>
      </w:pPr>
      <w:r>
        <w:rPr>
          <w:noProof/>
        </w:rPr>
        <w:t>Figure 10.5 Conductivity–depth section (lower panel) for flight line 20060</w:t>
      </w:r>
      <w:r>
        <w:rPr>
          <w:noProof/>
          <w:webHidden/>
        </w:rPr>
        <w:tab/>
        <w:t>356</w:t>
      </w:r>
    </w:p>
    <w:p w:rsidR="00E308BF" w:rsidRDefault="00E308BF">
      <w:pPr>
        <w:pStyle w:val="TableofFigures"/>
        <w:rPr>
          <w:rFonts w:asciiTheme="minorHAnsi" w:eastAsiaTheme="minorEastAsia" w:hAnsiTheme="minorHAnsi" w:cstheme="minorBidi"/>
          <w:noProof/>
          <w:color w:val="auto"/>
        </w:rPr>
      </w:pPr>
      <w:r>
        <w:rPr>
          <w:noProof/>
        </w:rPr>
        <w:t>Figure 10.6 Conductivity–depth section (lower panel) for flight line 20070</w:t>
      </w:r>
      <w:r>
        <w:rPr>
          <w:noProof/>
          <w:webHidden/>
        </w:rPr>
        <w:tab/>
        <w:t>356</w:t>
      </w:r>
    </w:p>
    <w:p w:rsidR="00E308BF" w:rsidRDefault="00E308BF">
      <w:pPr>
        <w:pStyle w:val="TableofFigures"/>
        <w:rPr>
          <w:rFonts w:asciiTheme="minorHAnsi" w:eastAsiaTheme="minorEastAsia" w:hAnsiTheme="minorHAnsi" w:cstheme="minorBidi"/>
          <w:noProof/>
          <w:color w:val="auto"/>
        </w:rPr>
      </w:pPr>
      <w:r>
        <w:rPr>
          <w:noProof/>
        </w:rPr>
        <w:t>Figure 10.7 (a) Monthly rainfall and (b) monthly potential evaporation under Scenario A at Einasleigh</w:t>
      </w:r>
      <w:r>
        <w:rPr>
          <w:noProof/>
          <w:webHidden/>
        </w:rPr>
        <w:tab/>
        <w:t>357</w:t>
      </w:r>
    </w:p>
    <w:p w:rsidR="00E308BF" w:rsidRDefault="00E308BF">
      <w:pPr>
        <w:pStyle w:val="TableofFigures"/>
        <w:rPr>
          <w:rFonts w:asciiTheme="minorHAnsi" w:eastAsiaTheme="minorEastAsia" w:hAnsiTheme="minorHAnsi" w:cstheme="minorBidi"/>
          <w:noProof/>
          <w:color w:val="auto"/>
        </w:rPr>
      </w:pPr>
      <w:r>
        <w:rPr>
          <w:noProof/>
        </w:rPr>
        <w:t>Figure 10.8 (a) Maximum monthly temperature and (b) minimum monthly temperature under Scenario A at Einasleigh</w:t>
      </w:r>
      <w:r>
        <w:rPr>
          <w:noProof/>
          <w:webHidden/>
        </w:rPr>
        <w:tab/>
        <w:t>358</w:t>
      </w:r>
    </w:p>
    <w:p w:rsidR="00E308BF" w:rsidRDefault="00E308BF">
      <w:pPr>
        <w:pStyle w:val="TableofFigures"/>
        <w:rPr>
          <w:rFonts w:asciiTheme="minorHAnsi" w:eastAsiaTheme="minorEastAsia" w:hAnsiTheme="minorHAnsi" w:cstheme="minorBidi"/>
          <w:noProof/>
          <w:color w:val="auto"/>
        </w:rPr>
      </w:pPr>
      <w:r>
        <w:rPr>
          <w:noProof/>
        </w:rPr>
        <w:t>Figure 10.9 Annual streamflow at the Kidston Dam under Scenario A</w:t>
      </w:r>
      <w:r>
        <w:rPr>
          <w:noProof/>
          <w:webHidden/>
        </w:rPr>
        <w:tab/>
        <w:t>359</w:t>
      </w:r>
    </w:p>
    <w:p w:rsidR="00E308BF" w:rsidRDefault="00E308BF">
      <w:pPr>
        <w:pStyle w:val="TableofFigures"/>
        <w:rPr>
          <w:rFonts w:asciiTheme="minorHAnsi" w:eastAsiaTheme="minorEastAsia" w:hAnsiTheme="minorHAnsi" w:cstheme="minorBidi"/>
          <w:noProof/>
          <w:color w:val="auto"/>
        </w:rPr>
      </w:pPr>
      <w:r>
        <w:rPr>
          <w:noProof/>
        </w:rPr>
        <w:t>Figure 10.10 Crop yield versus applied irrigation water under Scenario A for Rhodes grass hay in the Einasleigh area</w:t>
      </w:r>
      <w:r>
        <w:rPr>
          <w:noProof/>
          <w:webHidden/>
        </w:rPr>
        <w:tab/>
        <w:t>363</w:t>
      </w:r>
    </w:p>
    <w:p w:rsidR="00E308BF" w:rsidRDefault="00E308BF">
      <w:pPr>
        <w:pStyle w:val="TableofFigures"/>
        <w:rPr>
          <w:rFonts w:asciiTheme="minorHAnsi" w:eastAsiaTheme="minorEastAsia" w:hAnsiTheme="minorHAnsi" w:cstheme="minorBidi"/>
          <w:noProof/>
          <w:color w:val="auto"/>
        </w:rPr>
      </w:pPr>
      <w:r>
        <w:rPr>
          <w:noProof/>
        </w:rPr>
        <w:t>Figure 10.11 Mean annual applied irrigation water supplied to the crop in (a) ML and (b) ML/ha equivalent under Scenario B for the irrigation development associated with the Kidston Dam</w:t>
      </w:r>
      <w:r>
        <w:rPr>
          <w:noProof/>
          <w:webHidden/>
        </w:rPr>
        <w:tab/>
        <w:t>364</w:t>
      </w:r>
    </w:p>
    <w:p w:rsidR="00E308BF" w:rsidRDefault="00E308BF">
      <w:pPr>
        <w:pStyle w:val="TableofFigures"/>
        <w:rPr>
          <w:rFonts w:asciiTheme="minorHAnsi" w:eastAsiaTheme="minorEastAsia" w:hAnsiTheme="minorHAnsi" w:cstheme="minorBidi"/>
          <w:noProof/>
          <w:color w:val="auto"/>
        </w:rPr>
      </w:pPr>
      <w:r>
        <w:rPr>
          <w:noProof/>
        </w:rPr>
        <w:t>Figure 10.12 Median annual applied irrigation water supplied to the crop under Scenario B for the irrigation development associated with the Kidston Dam</w:t>
      </w:r>
      <w:r>
        <w:rPr>
          <w:noProof/>
          <w:webHidden/>
        </w:rPr>
        <w:tab/>
        <w:t>365</w:t>
      </w:r>
    </w:p>
    <w:p w:rsidR="00E308BF" w:rsidRDefault="00E308BF">
      <w:pPr>
        <w:pStyle w:val="TableofFigures"/>
        <w:rPr>
          <w:rFonts w:asciiTheme="minorHAnsi" w:eastAsiaTheme="minorEastAsia" w:hAnsiTheme="minorHAnsi" w:cstheme="minorBidi"/>
          <w:noProof/>
          <w:color w:val="auto"/>
        </w:rPr>
      </w:pPr>
      <w:r>
        <w:rPr>
          <w:noProof/>
        </w:rPr>
        <w:t>Figure 10.13 (a) Ratio of evaporation from the reservoir to the applied irrigation water and (b) percentage of time the volume of the reservoir is less than 20% of the full supply level volume under Scenario B for the irrigation development associated with the Kidston Dam</w:t>
      </w:r>
      <w:r>
        <w:rPr>
          <w:noProof/>
          <w:webHidden/>
        </w:rPr>
        <w:tab/>
        <w:t>365</w:t>
      </w:r>
    </w:p>
    <w:p w:rsidR="00E308BF" w:rsidRDefault="00E308BF">
      <w:pPr>
        <w:pStyle w:val="TableofFigures"/>
        <w:rPr>
          <w:rFonts w:asciiTheme="minorHAnsi" w:eastAsiaTheme="minorEastAsia" w:hAnsiTheme="minorHAnsi" w:cstheme="minorBidi"/>
          <w:noProof/>
          <w:color w:val="auto"/>
        </w:rPr>
      </w:pPr>
      <w:r>
        <w:rPr>
          <w:noProof/>
        </w:rPr>
        <w:t>Figure 10.14 Median streamflow quotient at (a) gauge 917106A and (b) gauge 917009A under or the irrigation development associated with the Kidston Dam</w:t>
      </w:r>
      <w:r>
        <w:rPr>
          <w:noProof/>
          <w:webHidden/>
        </w:rPr>
        <w:tab/>
        <w:t>366</w:t>
      </w:r>
    </w:p>
    <w:p w:rsidR="00E308BF" w:rsidRDefault="00E308BF">
      <w:pPr>
        <w:pStyle w:val="TableofFigures"/>
        <w:rPr>
          <w:rFonts w:asciiTheme="minorHAnsi" w:eastAsiaTheme="minorEastAsia" w:hAnsiTheme="minorHAnsi" w:cstheme="minorBidi"/>
          <w:noProof/>
          <w:color w:val="auto"/>
        </w:rPr>
      </w:pPr>
      <w:r>
        <w:rPr>
          <w:noProof/>
        </w:rPr>
        <w:t>Figure 10.15 (a) Median of the 30-year mean values (M30M) for crop yield and (b) standard deviation of the 30-year mean values (S30M) for crop yield under Scenario B for the irrigation development associated with the Kidston Dam</w:t>
      </w:r>
      <w:r>
        <w:rPr>
          <w:noProof/>
          <w:webHidden/>
        </w:rPr>
        <w:tab/>
        <w:t>366</w:t>
      </w:r>
    </w:p>
    <w:p w:rsidR="00E308BF" w:rsidRDefault="00E308BF">
      <w:pPr>
        <w:pStyle w:val="TableofFigures"/>
        <w:rPr>
          <w:rFonts w:asciiTheme="minorHAnsi" w:eastAsiaTheme="minorEastAsia" w:hAnsiTheme="minorHAnsi" w:cstheme="minorBidi"/>
          <w:noProof/>
          <w:color w:val="auto"/>
        </w:rPr>
      </w:pPr>
      <w:r>
        <w:rPr>
          <w:noProof/>
        </w:rPr>
        <w:t>Figure 10.16 Crop yield from the total scheme area under Scenario B for three different scheme areas</w:t>
      </w:r>
      <w:r>
        <w:rPr>
          <w:noProof/>
          <w:webHidden/>
        </w:rPr>
        <w:tab/>
        <w:t>367</w:t>
      </w:r>
    </w:p>
    <w:p w:rsidR="00E308BF" w:rsidRDefault="00E308BF">
      <w:pPr>
        <w:pStyle w:val="TableofFigures"/>
        <w:rPr>
          <w:rFonts w:asciiTheme="minorHAnsi" w:eastAsiaTheme="minorEastAsia" w:hAnsiTheme="minorHAnsi" w:cstheme="minorBidi"/>
          <w:noProof/>
          <w:color w:val="auto"/>
        </w:rPr>
      </w:pPr>
      <w:r>
        <w:rPr>
          <w:noProof/>
        </w:rPr>
        <w:t>Figure 10.17 (a) Median of the 30-year mean values (M30M) for specific yield and (b) standard deviation of the 30-year mean values (S30M) for specific yield under Scenario B for the irrigation development associated with the Kidston Dam</w:t>
      </w:r>
      <w:r>
        <w:rPr>
          <w:noProof/>
          <w:webHidden/>
        </w:rPr>
        <w:tab/>
        <w:t>367</w:t>
      </w:r>
    </w:p>
    <w:p w:rsidR="00E308BF" w:rsidRDefault="00E308BF">
      <w:pPr>
        <w:pStyle w:val="TableofFigures"/>
        <w:rPr>
          <w:rFonts w:asciiTheme="minorHAnsi" w:eastAsiaTheme="minorEastAsia" w:hAnsiTheme="minorHAnsi" w:cstheme="minorBidi"/>
          <w:noProof/>
          <w:color w:val="auto"/>
        </w:rPr>
      </w:pPr>
      <w:r>
        <w:rPr>
          <w:noProof/>
        </w:rPr>
        <w:t>Figure 10.18 (a) Median of the 30-year mean values (M30M) for gross margin per hectare and (b) median of the 30-year mean values (M30M) for gross margin under Scenario B for the irrigation development associated with the Kidston Dam</w:t>
      </w:r>
      <w:r>
        <w:rPr>
          <w:noProof/>
          <w:webHidden/>
        </w:rPr>
        <w:tab/>
        <w:t>368</w:t>
      </w:r>
    </w:p>
    <w:p w:rsidR="00E308BF" w:rsidRDefault="00E308BF">
      <w:pPr>
        <w:pStyle w:val="TableofFigures"/>
        <w:rPr>
          <w:rFonts w:asciiTheme="minorHAnsi" w:eastAsiaTheme="minorEastAsia" w:hAnsiTheme="minorHAnsi" w:cstheme="minorBidi"/>
          <w:noProof/>
          <w:color w:val="auto"/>
        </w:rPr>
      </w:pPr>
      <w:r>
        <w:rPr>
          <w:noProof/>
        </w:rPr>
        <w:lastRenderedPageBreak/>
        <w:t>Figure 10.19 (a) Median of the 30-year mean values (M30M) for net present value and (b) standard deviation of the 30-year mean values (S30M) for net present value under Scenario B for the irrigation development associated with the Kidston Dam</w:t>
      </w:r>
      <w:r>
        <w:rPr>
          <w:noProof/>
          <w:webHidden/>
        </w:rPr>
        <w:tab/>
        <w:t>369</w:t>
      </w:r>
    </w:p>
    <w:p w:rsidR="00E308BF" w:rsidRDefault="00E308BF">
      <w:pPr>
        <w:pStyle w:val="TableofFigures"/>
        <w:rPr>
          <w:rFonts w:asciiTheme="minorHAnsi" w:eastAsiaTheme="minorEastAsia" w:hAnsiTheme="minorHAnsi" w:cstheme="minorBidi"/>
          <w:noProof/>
          <w:color w:val="auto"/>
        </w:rPr>
      </w:pPr>
      <w:r>
        <w:rPr>
          <w:noProof/>
        </w:rPr>
        <w:t>Figure 10.20 (a) Median of the 30-year mean values (M30M) for net present value and (b) standard deviation of the 30-year mean values (S30M) for net present value under Scenario B for the irrigation development associated with the Kidston Dam</w:t>
      </w:r>
      <w:r>
        <w:rPr>
          <w:noProof/>
          <w:webHidden/>
        </w:rPr>
        <w:tab/>
        <w:t>370</w:t>
      </w:r>
    </w:p>
    <w:p w:rsidR="00E308BF" w:rsidRDefault="00E308BF">
      <w:pPr>
        <w:pStyle w:val="TableofFigures"/>
        <w:rPr>
          <w:rFonts w:asciiTheme="minorHAnsi" w:eastAsiaTheme="minorEastAsia" w:hAnsiTheme="minorHAnsi" w:cstheme="minorBidi"/>
          <w:noProof/>
          <w:color w:val="auto"/>
        </w:rPr>
      </w:pPr>
      <w:r>
        <w:rPr>
          <w:noProof/>
        </w:rPr>
        <w:t>Figure 10.21 Gross margins for Rhodes grass under Scenario B for the irrigation site associated with the Kidston Dam, with a scheme area of 1000 ha: (a) time series and (b) box plots</w:t>
      </w:r>
      <w:r>
        <w:rPr>
          <w:noProof/>
          <w:webHidden/>
        </w:rPr>
        <w:tab/>
        <w:t>371</w:t>
      </w:r>
    </w:p>
    <w:p w:rsidR="00E308BF" w:rsidRDefault="00E308BF">
      <w:pPr>
        <w:pStyle w:val="TableofFigures"/>
        <w:rPr>
          <w:rFonts w:asciiTheme="minorHAnsi" w:eastAsiaTheme="minorEastAsia" w:hAnsiTheme="minorHAnsi" w:cstheme="minorBidi"/>
          <w:noProof/>
          <w:color w:val="auto"/>
        </w:rPr>
      </w:pPr>
      <w:r>
        <w:rPr>
          <w:noProof/>
        </w:rPr>
        <w:t>Figure 10.22 Percentage exceedance plots for (a) net present value and (b) internal rate of return under Scenario B for the scheme-scale irrigation development of 1000 ha associated with Kidston Dam</w:t>
      </w:r>
      <w:r>
        <w:rPr>
          <w:noProof/>
          <w:webHidden/>
        </w:rPr>
        <w:tab/>
        <w:t>372</w:t>
      </w:r>
    </w:p>
    <w:p w:rsidR="00E308BF" w:rsidRDefault="00E308BF">
      <w:pPr>
        <w:pStyle w:val="TableofFigures"/>
        <w:rPr>
          <w:rFonts w:asciiTheme="minorHAnsi" w:eastAsiaTheme="minorEastAsia" w:hAnsiTheme="minorHAnsi" w:cstheme="minorBidi"/>
          <w:noProof/>
          <w:color w:val="auto"/>
        </w:rPr>
      </w:pPr>
      <w:r>
        <w:rPr>
          <w:noProof/>
        </w:rPr>
        <w:t>Figure 10.23 Percentage exceedance plots of net present value under Scenario B for the farm-scale irrigation development of 1000 ha associated with the Kidston Dam</w:t>
      </w:r>
      <w:r>
        <w:rPr>
          <w:noProof/>
          <w:webHidden/>
        </w:rPr>
        <w:tab/>
        <w:t>373</w:t>
      </w:r>
    </w:p>
    <w:p w:rsidR="00E308BF" w:rsidRDefault="00E308BF">
      <w:pPr>
        <w:pStyle w:val="TableofFigures"/>
        <w:rPr>
          <w:rFonts w:asciiTheme="minorHAnsi" w:eastAsiaTheme="minorEastAsia" w:hAnsiTheme="minorHAnsi" w:cstheme="minorBidi"/>
          <w:noProof/>
          <w:color w:val="auto"/>
        </w:rPr>
      </w:pPr>
      <w:r>
        <w:rPr>
          <w:noProof/>
        </w:rPr>
        <w:t>Figure 10.24 Change in depth to watertable for different values of saturated hydraulic conductivity (K): (a) low recharge rate of 135 mm/year and (b) high recharge rate of 215 mm/year</w:t>
      </w:r>
      <w:r>
        <w:rPr>
          <w:noProof/>
          <w:webHidden/>
        </w:rPr>
        <w:tab/>
        <w:t>374</w:t>
      </w:r>
    </w:p>
    <w:p w:rsidR="002E48CF" w:rsidRDefault="00134E64" w:rsidP="002E48CF">
      <w:r>
        <w:fldChar w:fldCharType="end"/>
      </w:r>
    </w:p>
    <w:p w:rsidR="00E7104D" w:rsidRDefault="00134E64" w:rsidP="00E7104D">
      <w:r>
        <w:fldChar w:fldCharType="begin"/>
      </w:r>
      <w:r w:rsidR="00D80AD4">
        <w:instrText xml:space="preserve"> RD FGARA-CR-GI-01IN-20140130</w:instrText>
      </w:r>
      <w:r w:rsidR="00E7104D" w:rsidRPr="00F95E3F">
        <w:instrText>.docx</w:instrText>
      </w:r>
      <w:r w:rsidR="00E7104D">
        <w:instrText xml:space="preserve"> </w:instrText>
      </w:r>
      <w:r>
        <w:fldChar w:fldCharType="end"/>
      </w:r>
    </w:p>
    <w:p w:rsidR="00E7104D" w:rsidRDefault="00134E64" w:rsidP="00E7104D">
      <w:r>
        <w:fldChar w:fldCharType="begin"/>
      </w:r>
      <w:r w:rsidR="00E7104D">
        <w:instrText>RD FGARA-CR-GI-02ME-</w:instrText>
      </w:r>
      <w:r w:rsidR="00D80AD4">
        <w:instrText>20140130</w:instrText>
      </w:r>
      <w:r w:rsidR="00E7104D" w:rsidRPr="00F95E3F">
        <w:instrText>.docx</w:instrText>
      </w:r>
      <w:r w:rsidR="00E7104D">
        <w:instrText xml:space="preserve"> </w:instrText>
      </w:r>
      <w:r>
        <w:fldChar w:fldCharType="end"/>
      </w:r>
    </w:p>
    <w:p w:rsidR="00E7104D" w:rsidRDefault="00134E64" w:rsidP="00E7104D">
      <w:r>
        <w:fldChar w:fldCharType="begin"/>
      </w:r>
      <w:r w:rsidR="00E7104D">
        <w:instrText>RD FGARA-CR-GI-03PE-</w:instrText>
      </w:r>
      <w:r w:rsidR="00D80AD4">
        <w:instrText>20140130</w:instrText>
      </w:r>
      <w:r w:rsidR="00E7104D" w:rsidRPr="00F95E3F">
        <w:instrText>.docx</w:instrText>
      </w:r>
      <w:r w:rsidR="00E7104D">
        <w:instrText xml:space="preserve"> </w:instrText>
      </w:r>
      <w:r>
        <w:fldChar w:fldCharType="end"/>
      </w:r>
    </w:p>
    <w:p w:rsidR="00E7104D" w:rsidRDefault="00134E64" w:rsidP="00E7104D">
      <w:r>
        <w:fldChar w:fldCharType="begin"/>
      </w:r>
      <w:r w:rsidR="00E7104D">
        <w:instrText xml:space="preserve"> RD FGARA-CR-GI-04LE-</w:instrText>
      </w:r>
      <w:r w:rsidR="00D80AD4">
        <w:instrText>20140130</w:instrText>
      </w:r>
      <w:r w:rsidR="00E7104D" w:rsidRPr="00F95E3F">
        <w:instrText>.docx</w:instrText>
      </w:r>
      <w:r w:rsidR="00E7104D">
        <w:instrText xml:space="preserve"> </w:instrText>
      </w:r>
      <w:r>
        <w:fldChar w:fldCharType="end"/>
      </w:r>
    </w:p>
    <w:p w:rsidR="00E7104D" w:rsidRDefault="00134E64" w:rsidP="00E7104D">
      <w:r>
        <w:fldChar w:fldCharType="begin"/>
      </w:r>
      <w:r w:rsidR="00E7104D">
        <w:instrText xml:space="preserve"> RD </w:instrText>
      </w:r>
      <w:r w:rsidR="00E7104D" w:rsidRPr="00F95E3F">
        <w:instrText>FGARA-CR-GI-05-1-2-3-</w:instrText>
      </w:r>
      <w:r w:rsidR="00E7104D">
        <w:instrText>4-OP-</w:instrText>
      </w:r>
      <w:r w:rsidR="00D80AD4">
        <w:instrText>20140130</w:instrText>
      </w:r>
      <w:r w:rsidR="00E7104D" w:rsidRPr="00F95E3F">
        <w:instrText>.docx</w:instrText>
      </w:r>
      <w:r w:rsidR="00E7104D">
        <w:instrText xml:space="preserve"> </w:instrText>
      </w:r>
      <w:r>
        <w:fldChar w:fldCharType="end"/>
      </w:r>
    </w:p>
    <w:p w:rsidR="00E7104D" w:rsidRDefault="00134E64" w:rsidP="00E7104D">
      <w:r>
        <w:fldChar w:fldCharType="begin"/>
      </w:r>
      <w:r w:rsidR="00E7104D">
        <w:instrText xml:space="preserve"> RD FGARA-CR-GI-05-5-CR-</w:instrText>
      </w:r>
      <w:r w:rsidR="00D80AD4">
        <w:instrText>20140130</w:instrText>
      </w:r>
      <w:r w:rsidR="00E7104D" w:rsidRPr="00F95E3F">
        <w:instrText>.docx</w:instrText>
      </w:r>
      <w:r w:rsidR="00E7104D">
        <w:instrText xml:space="preserve"> </w:instrText>
      </w:r>
      <w:r>
        <w:fldChar w:fldCharType="end"/>
      </w:r>
    </w:p>
    <w:p w:rsidR="00E7104D" w:rsidRDefault="00134E64" w:rsidP="00E7104D">
      <w:r>
        <w:fldChar w:fldCharType="begin"/>
      </w:r>
      <w:r w:rsidR="00E7104D">
        <w:instrText xml:space="preserve"> RD FGARA-CR-GI-06EL-</w:instrText>
      </w:r>
      <w:r w:rsidR="00D80AD4">
        <w:instrText>20140130</w:instrText>
      </w:r>
      <w:r w:rsidR="00E7104D" w:rsidRPr="00F95E3F">
        <w:instrText>.docx</w:instrText>
      </w:r>
      <w:r w:rsidR="00E7104D">
        <w:instrText xml:space="preserve"> </w:instrText>
      </w:r>
      <w:r>
        <w:fldChar w:fldCharType="end"/>
      </w:r>
    </w:p>
    <w:p w:rsidR="00E7104D" w:rsidRDefault="00134E64" w:rsidP="00E7104D">
      <w:r>
        <w:fldChar w:fldCharType="begin"/>
      </w:r>
      <w:r w:rsidR="00E7104D">
        <w:instrText>RD FGARA-CR-GI-07II-</w:instrText>
      </w:r>
      <w:r w:rsidR="00D80AD4">
        <w:instrText>20140130</w:instrText>
      </w:r>
      <w:r w:rsidR="00E7104D" w:rsidRPr="00F95E3F">
        <w:instrText>.docx</w:instrText>
      </w:r>
      <w:r w:rsidR="00E7104D">
        <w:instrText xml:space="preserve"> </w:instrText>
      </w:r>
      <w:r>
        <w:fldChar w:fldCharType="end"/>
      </w:r>
    </w:p>
    <w:p w:rsidR="00E7104D" w:rsidRDefault="00134E64" w:rsidP="00E7104D">
      <w:r>
        <w:fldChar w:fldCharType="begin"/>
      </w:r>
      <w:r w:rsidR="00E7104D">
        <w:instrText xml:space="preserve"> RD FGARA-CR-GI-08GH-</w:instrText>
      </w:r>
      <w:r w:rsidR="00D80AD4">
        <w:instrText>20140130</w:instrText>
      </w:r>
      <w:r w:rsidR="00E7104D" w:rsidRPr="00324796">
        <w:instrText>.docx</w:instrText>
      </w:r>
      <w:r>
        <w:fldChar w:fldCharType="end"/>
      </w:r>
    </w:p>
    <w:p w:rsidR="00E7104D" w:rsidRDefault="00134E64" w:rsidP="00E7104D">
      <w:r>
        <w:fldChar w:fldCharType="begin"/>
      </w:r>
      <w:r w:rsidR="00E7104D">
        <w:instrText xml:space="preserve"> RD FGARA-CR-GI-09DW-</w:instrText>
      </w:r>
      <w:r w:rsidR="00D80AD4">
        <w:instrText>20140130</w:instrText>
      </w:r>
      <w:r w:rsidR="00E7104D" w:rsidRPr="00324796">
        <w:instrText>.docx</w:instrText>
      </w:r>
      <w:r w:rsidR="00E7104D">
        <w:instrText xml:space="preserve"> </w:instrText>
      </w:r>
      <w:r>
        <w:fldChar w:fldCharType="end"/>
      </w:r>
    </w:p>
    <w:p w:rsidR="00E7104D" w:rsidRDefault="00134E64" w:rsidP="00E7104D">
      <w:r>
        <w:fldChar w:fldCharType="begin"/>
      </w:r>
      <w:r w:rsidR="00E7104D">
        <w:instrText xml:space="preserve"> RD FGARA-CR-GI-10KD-</w:instrText>
      </w:r>
      <w:r w:rsidR="00D80AD4">
        <w:instrText>20140130</w:instrText>
      </w:r>
      <w:r w:rsidR="00E7104D" w:rsidRPr="00324796">
        <w:instrText>.docx</w:instrText>
      </w:r>
      <w:r w:rsidR="00E7104D">
        <w:instrText xml:space="preserve"> </w:instrText>
      </w:r>
      <w:r>
        <w:fldChar w:fldCharType="end"/>
      </w:r>
    </w:p>
    <w:p w:rsidR="002E48CF" w:rsidRDefault="002E48CF" w:rsidP="002E48CF"/>
    <w:p w:rsidR="002E48CF" w:rsidRDefault="002E48CF" w:rsidP="002E48CF"/>
    <w:sectPr w:rsidR="002E48CF" w:rsidSect="00343600">
      <w:footerReference w:type="even" r:id="rId11"/>
      <w:footerReference w:type="default" r:id="rId12"/>
      <w:pgSz w:w="11906" w:h="16838" w:code="9"/>
      <w:pgMar w:top="1134" w:right="1134" w:bottom="1134" w:left="1134" w:header="510" w:footer="624" w:gutter="0"/>
      <w:pgNumType w:start="391"/>
      <w:cols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F3A" w:rsidRDefault="00F16F3A" w:rsidP="009964E7">
      <w:r>
        <w:separator/>
      </w:r>
    </w:p>
    <w:p w:rsidR="00F16F3A" w:rsidRDefault="00F16F3A"/>
  </w:endnote>
  <w:endnote w:type="continuationSeparator" w:id="0">
    <w:p w:rsidR="00F16F3A" w:rsidRDefault="00F16F3A" w:rsidP="009964E7">
      <w:r>
        <w:continuationSeparator/>
      </w:r>
    </w:p>
    <w:p w:rsidR="00F16F3A" w:rsidRDefault="00F16F3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eijoa Medium">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2F5" w:rsidRPr="007C7522" w:rsidRDefault="00134E64" w:rsidP="00AD380C">
    <w:pPr>
      <w:pStyle w:val="Footer"/>
      <w:rPr>
        <w:color w:val="auto"/>
      </w:rPr>
    </w:pPr>
    <w:r w:rsidRPr="007C7522">
      <w:rPr>
        <w:rStyle w:val="PageNumber"/>
        <w:color w:val="auto"/>
      </w:rPr>
      <w:fldChar w:fldCharType="begin"/>
    </w:r>
    <w:r w:rsidR="00D542F5" w:rsidRPr="007C7522">
      <w:rPr>
        <w:rStyle w:val="PageNumber"/>
        <w:color w:val="auto"/>
      </w:rPr>
      <w:instrText xml:space="preserve"> PAGE  \* Arabic </w:instrText>
    </w:r>
    <w:r w:rsidRPr="007C7522">
      <w:rPr>
        <w:rStyle w:val="PageNumber"/>
        <w:color w:val="auto"/>
      </w:rPr>
      <w:fldChar w:fldCharType="separate"/>
    </w:r>
    <w:r w:rsidR="00E308BF">
      <w:rPr>
        <w:rStyle w:val="PageNumber"/>
        <w:noProof/>
        <w:color w:val="auto"/>
      </w:rPr>
      <w:t>398</w:t>
    </w:r>
    <w:r w:rsidRPr="007C7522">
      <w:rPr>
        <w:rStyle w:val="PageNumber"/>
        <w:color w:val="auto"/>
      </w:rPr>
      <w:fldChar w:fldCharType="end"/>
    </w:r>
    <w:r w:rsidR="00D542F5" w:rsidRPr="007C7522">
      <w:rPr>
        <w:rStyle w:val="PageNumber"/>
        <w:color w:val="auto"/>
      </w:rPr>
      <w:t xml:space="preserve">  | </w:t>
    </w:r>
    <w:r w:rsidR="008F5C44">
      <w:rPr>
        <w:rStyle w:val="PageNumber"/>
        <w:color w:val="auto"/>
      </w:rPr>
      <w:t>Agricultural resource assessment for the Gilbert catchment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2F5" w:rsidRPr="007C7522" w:rsidRDefault="00D542F5" w:rsidP="00AD380C">
    <w:pPr>
      <w:pStyle w:val="Footer"/>
      <w:jc w:val="right"/>
      <w:rPr>
        <w:color w:val="auto"/>
      </w:rPr>
    </w:pPr>
    <w:r w:rsidRPr="007C7522">
      <w:rPr>
        <w:color w:val="auto"/>
      </w:rPr>
      <w:t xml:space="preserve">Appendix </w:t>
    </w:r>
    <w:proofErr w:type="gramStart"/>
    <w:r w:rsidR="008F5C44">
      <w:rPr>
        <w:color w:val="auto"/>
      </w:rPr>
      <w:t>C</w:t>
    </w:r>
    <w:r w:rsidR="00FE4D64">
      <w:rPr>
        <w:color w:val="auto"/>
      </w:rPr>
      <w:t xml:space="preserve"> </w:t>
    </w:r>
    <w:r w:rsidRPr="007C7522">
      <w:rPr>
        <w:color w:val="auto"/>
      </w:rPr>
      <w:t xml:space="preserve"> |</w:t>
    </w:r>
    <w:proofErr w:type="gramEnd"/>
    <w:r w:rsidRPr="007C7522">
      <w:rPr>
        <w:color w:val="auto"/>
      </w:rPr>
      <w:t xml:space="preserve">  </w:t>
    </w:r>
    <w:r w:rsidR="00134E64" w:rsidRPr="007C7522">
      <w:rPr>
        <w:rStyle w:val="PageNumber"/>
        <w:color w:val="auto"/>
      </w:rPr>
      <w:fldChar w:fldCharType="begin"/>
    </w:r>
    <w:r w:rsidRPr="007C7522">
      <w:rPr>
        <w:rStyle w:val="PageNumber"/>
        <w:color w:val="auto"/>
      </w:rPr>
      <w:instrText xml:space="preserve"> PAGE  \* Arabic </w:instrText>
    </w:r>
    <w:r w:rsidR="00134E64" w:rsidRPr="007C7522">
      <w:rPr>
        <w:rStyle w:val="PageNumber"/>
        <w:color w:val="auto"/>
      </w:rPr>
      <w:fldChar w:fldCharType="separate"/>
    </w:r>
    <w:r w:rsidR="00E308BF">
      <w:rPr>
        <w:rStyle w:val="PageNumber"/>
        <w:noProof/>
        <w:color w:val="auto"/>
      </w:rPr>
      <w:t>399</w:t>
    </w:r>
    <w:r w:rsidR="00134E64" w:rsidRPr="007C7522">
      <w:rPr>
        <w:rStyle w:val="PageNumber"/>
        <w:color w:val="auto"/>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F3A" w:rsidRDefault="00F16F3A" w:rsidP="009964E7">
      <w:r>
        <w:separator/>
      </w:r>
    </w:p>
    <w:p w:rsidR="00F16F3A" w:rsidRDefault="00F16F3A"/>
  </w:footnote>
  <w:footnote w:type="continuationSeparator" w:id="0">
    <w:p w:rsidR="00F16F3A" w:rsidRDefault="00F16F3A" w:rsidP="009964E7">
      <w:r>
        <w:continuationSeparator/>
      </w:r>
    </w:p>
    <w:p w:rsidR="00F16F3A" w:rsidRDefault="00F16F3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CC3EF2D2"/>
    <w:lvl w:ilvl="0">
      <w:start w:val="1"/>
      <w:numFmt w:val="lowerLetter"/>
      <w:pStyle w:val="ListNumber2"/>
      <w:lvlText w:val="%1."/>
      <w:lvlJc w:val="left"/>
      <w:pPr>
        <w:ind w:left="643" w:hanging="360"/>
      </w:pPr>
    </w:lvl>
  </w:abstractNum>
  <w:abstractNum w:abstractNumId="1">
    <w:nsid w:val="FFFFFF80"/>
    <w:multiLevelType w:val="singleLevel"/>
    <w:tmpl w:val="B442ECCC"/>
    <w:lvl w:ilvl="0">
      <w:start w:val="1"/>
      <w:numFmt w:val="bullet"/>
      <w:pStyle w:val="ListNumber5"/>
      <w:lvlText w:val=""/>
      <w:lvlJc w:val="left"/>
      <w:pPr>
        <w:tabs>
          <w:tab w:val="num" w:pos="1492"/>
        </w:tabs>
        <w:ind w:left="1492" w:hanging="360"/>
      </w:pPr>
      <w:rPr>
        <w:rFonts w:ascii="Symbol" w:hAnsi="Symbol" w:hint="default"/>
      </w:rPr>
    </w:lvl>
  </w:abstractNum>
  <w:abstractNum w:abstractNumId="2">
    <w:nsid w:val="FFFFFF81"/>
    <w:multiLevelType w:val="singleLevel"/>
    <w:tmpl w:val="B77C9CB0"/>
    <w:lvl w:ilvl="0">
      <w:start w:val="1"/>
      <w:numFmt w:val="bullet"/>
      <w:pStyle w:val="ListNumber4"/>
      <w:lvlText w:val=""/>
      <w:lvlJc w:val="left"/>
      <w:pPr>
        <w:tabs>
          <w:tab w:val="num" w:pos="1209"/>
        </w:tabs>
        <w:ind w:left="1209" w:hanging="360"/>
      </w:pPr>
      <w:rPr>
        <w:rFonts w:ascii="Symbol" w:hAnsi="Symbol" w:hint="default"/>
      </w:rPr>
    </w:lvl>
  </w:abstractNum>
  <w:abstractNum w:abstractNumId="3">
    <w:nsid w:val="FFFFFF82"/>
    <w:multiLevelType w:val="singleLevel"/>
    <w:tmpl w:val="860A9B14"/>
    <w:lvl w:ilvl="0">
      <w:start w:val="1"/>
      <w:numFmt w:val="bullet"/>
      <w:pStyle w:val="ListNumber3"/>
      <w:lvlText w:val=""/>
      <w:lvlJc w:val="left"/>
      <w:pPr>
        <w:tabs>
          <w:tab w:val="num" w:pos="926"/>
        </w:tabs>
        <w:ind w:left="926" w:hanging="360"/>
      </w:pPr>
      <w:rPr>
        <w:rFonts w:ascii="Symbol" w:hAnsi="Symbol" w:hint="default"/>
      </w:rPr>
    </w:lvl>
  </w:abstractNum>
  <w:abstractNum w:abstractNumId="4">
    <w:nsid w:val="FFFFFF83"/>
    <w:multiLevelType w:val="singleLevel"/>
    <w:tmpl w:val="2716FB9A"/>
    <w:lvl w:ilvl="0">
      <w:start w:val="1"/>
      <w:numFmt w:val="bullet"/>
      <w:pStyle w:val="ListBullet5"/>
      <w:lvlText w:val="–"/>
      <w:lvlJc w:val="left"/>
      <w:pPr>
        <w:ind w:left="360" w:hanging="360"/>
      </w:pPr>
      <w:rPr>
        <w:rFonts w:ascii="Feijoa Medium" w:hAnsi="Feijoa Medium" w:hint="default"/>
      </w:rPr>
    </w:lvl>
  </w:abstractNum>
  <w:abstractNum w:abstractNumId="5">
    <w:nsid w:val="FFFFFF88"/>
    <w:multiLevelType w:val="singleLevel"/>
    <w:tmpl w:val="87D43BCA"/>
    <w:lvl w:ilvl="0">
      <w:start w:val="1"/>
      <w:numFmt w:val="decimal"/>
      <w:pStyle w:val="ListBullet4"/>
      <w:lvlText w:val="%1."/>
      <w:lvlJc w:val="left"/>
      <w:pPr>
        <w:ind w:left="360" w:hanging="360"/>
      </w:pPr>
      <w:rPr>
        <w:rFonts w:cs="Times New Roman"/>
      </w:rPr>
    </w:lvl>
  </w:abstractNum>
  <w:abstractNum w:abstractNumId="6">
    <w:nsid w:val="02E71599"/>
    <w:multiLevelType w:val="hybridMultilevel"/>
    <w:tmpl w:val="66E02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D5F03D1"/>
    <w:multiLevelType w:val="hybridMultilevel"/>
    <w:tmpl w:val="49DE57C4"/>
    <w:lvl w:ilvl="0" w:tplc="459CE3AE">
      <w:start w:val="1"/>
      <w:numFmt w:val="bullet"/>
      <w:lvlText w:val=""/>
      <w:lvlJc w:val="left"/>
      <w:pPr>
        <w:tabs>
          <w:tab w:val="num" w:pos="0"/>
        </w:tabs>
        <w:ind w:left="680" w:hanging="32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1050236"/>
    <w:multiLevelType w:val="multilevel"/>
    <w:tmpl w:val="FD7E8B74"/>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367614C6"/>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4265682E"/>
    <w:multiLevelType w:val="multilevel"/>
    <w:tmpl w:val="D9CAA11C"/>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pStyle w:val="ListBullet3"/>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3">
    <w:nsid w:val="59444BE6"/>
    <w:multiLevelType w:val="multilevel"/>
    <w:tmpl w:val="CC72DB38"/>
    <w:lvl w:ilvl="0">
      <w:start w:val="1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4">
    <w:nsid w:val="5A1767B6"/>
    <w:multiLevelType w:val="multilevel"/>
    <w:tmpl w:val="A83EDF48"/>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5">
    <w:nsid w:val="5F4C27F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nsid w:val="66063429"/>
    <w:multiLevelType w:val="multilevel"/>
    <w:tmpl w:val="45FE8B28"/>
    <w:lvl w:ilvl="0">
      <w:start w:val="3"/>
      <w:numFmt w:val="upperLetter"/>
      <w:pStyle w:val="AppendixHeading1base"/>
      <w:lvlText w:val="Appendix %1 "/>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AppendixHeading2"/>
      <w:lvlText w:val="%1.%2"/>
      <w:lvlJc w:val="left"/>
      <w:pPr>
        <w:ind w:left="0" w:firstLine="0"/>
      </w:pPr>
      <w:rPr>
        <w:rFonts w:hint="default"/>
      </w:rPr>
    </w:lvl>
    <w:lvl w:ilvl="2">
      <w:start w:val="1"/>
      <w:numFmt w:val="decimal"/>
      <w:pStyle w:val="AppendixHeading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abstractNumId w:val="5"/>
  </w:num>
  <w:num w:numId="2">
    <w:abstractNumId w:val="4"/>
  </w:num>
  <w:num w:numId="3">
    <w:abstractNumId w:val="3"/>
  </w:num>
  <w:num w:numId="4">
    <w:abstractNumId w:val="2"/>
  </w:num>
  <w:num w:numId="5">
    <w:abstractNumId w:val="1"/>
  </w:num>
  <w:num w:numId="6">
    <w:abstractNumId w:val="12"/>
  </w:num>
  <w:num w:numId="7">
    <w:abstractNumId w:val="9"/>
  </w:num>
  <w:num w:numId="8">
    <w:abstractNumId w:val="8"/>
  </w:num>
  <w:num w:numId="9">
    <w:abstractNumId w:val="14"/>
  </w:num>
  <w:num w:numId="10">
    <w:abstractNumId w:val="13"/>
  </w:num>
  <w:num w:numId="11">
    <w:abstractNumId w:val="11"/>
  </w:num>
  <w:num w:numId="12">
    <w:abstractNumId w:val="10"/>
  </w:num>
  <w:num w:numId="13">
    <w:abstractNumId w:val="15"/>
  </w:num>
  <w:num w:numId="14">
    <w:abstractNumId w:val="0"/>
  </w:num>
  <w:num w:numId="15">
    <w:abstractNumId w:val="16"/>
  </w:num>
  <w:num w:numId="16">
    <w:abstractNumId w:val="11"/>
  </w:num>
  <w:num w:numId="17">
    <w:abstractNumId w:val="10"/>
  </w:num>
  <w:num w:numId="18">
    <w:abstractNumId w:val="16"/>
  </w:num>
  <w:num w:numId="19">
    <w:abstractNumId w:val="13"/>
  </w:num>
  <w:num w:numId="20">
    <w:abstractNumId w:val="16"/>
  </w:num>
  <w:num w:numId="21">
    <w:abstractNumId w:val="13"/>
  </w:num>
  <w:num w:numId="22">
    <w:abstractNumId w:val="16"/>
  </w:num>
  <w:num w:numId="23">
    <w:abstractNumId w:val="15"/>
  </w:num>
  <w:num w:numId="24">
    <w:abstractNumId w:val="12"/>
  </w:num>
  <w:num w:numId="25">
    <w:abstractNumId w:val="13"/>
  </w:num>
  <w:num w:numId="26">
    <w:abstractNumId w:val="12"/>
  </w:num>
  <w:num w:numId="27">
    <w:abstractNumId w:val="12"/>
  </w:num>
  <w:num w:numId="28">
    <w:abstractNumId w:val="12"/>
  </w:num>
  <w:num w:numId="29">
    <w:abstractNumId w:val="5"/>
  </w:num>
  <w:num w:numId="30">
    <w:abstractNumId w:val="4"/>
  </w:num>
  <w:num w:numId="31">
    <w:abstractNumId w:val="14"/>
  </w:num>
  <w:num w:numId="32">
    <w:abstractNumId w:val="0"/>
  </w:num>
  <w:num w:numId="33">
    <w:abstractNumId w:val="3"/>
  </w:num>
  <w:num w:numId="34">
    <w:abstractNumId w:val="2"/>
  </w:num>
  <w:num w:numId="35">
    <w:abstractNumId w:val="1"/>
  </w:num>
  <w:num w:numId="36">
    <w:abstractNumId w:val="14"/>
  </w:num>
  <w:num w:numId="37">
    <w:abstractNumId w:val="9"/>
  </w:num>
  <w:num w:numId="38">
    <w:abstractNumId w:val="8"/>
  </w:num>
  <w:num w:numId="39">
    <w:abstractNumId w:val="8"/>
  </w:num>
  <w:num w:numId="40">
    <w:abstractNumId w:val="7"/>
  </w:num>
  <w:num w:numId="41">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4004"/>
  <w:defaultTabStop w:val="720"/>
  <w:evenAndOddHeaders/>
  <w:drawingGridHorizontalSpacing w:val="110"/>
  <w:displayHorizontalDrawingGridEvery w:val="2"/>
  <w:characterSpacingControl w:val="doNotCompress"/>
  <w:hdrShapeDefaults>
    <o:shapedefaults v:ext="edit" spidmax="46082">
      <o:colormru v:ext="edit" colors="#ddd,#f8f8f8"/>
      <o:colormenu v:ext="edit" fillcolor="#f8f8f8"/>
    </o:shapedefaults>
  </w:hdrShapeDefaults>
  <w:footnotePr>
    <w:footnote w:id="-1"/>
    <w:footnote w:id="0"/>
  </w:footnotePr>
  <w:endnotePr>
    <w:endnote w:id="-1"/>
    <w:endnote w:id="0"/>
  </w:endnotePr>
  <w:compat/>
  <w:docVars>
    <w:docVar w:name="ColourChosen" w:val="Core"/>
    <w:docVar w:name="CoverChosen" w:val="Standard"/>
  </w:docVars>
  <w:rsids>
    <w:rsidRoot w:val="00BE7403"/>
    <w:rsid w:val="00000EEA"/>
    <w:rsid w:val="0000250B"/>
    <w:rsid w:val="00002AA7"/>
    <w:rsid w:val="000031E1"/>
    <w:rsid w:val="00010921"/>
    <w:rsid w:val="00011FC6"/>
    <w:rsid w:val="000126EB"/>
    <w:rsid w:val="00015E82"/>
    <w:rsid w:val="0001775B"/>
    <w:rsid w:val="00020BDC"/>
    <w:rsid w:val="00021254"/>
    <w:rsid w:val="00024051"/>
    <w:rsid w:val="00024985"/>
    <w:rsid w:val="00024F6E"/>
    <w:rsid w:val="00025FD5"/>
    <w:rsid w:val="0002686D"/>
    <w:rsid w:val="0003030D"/>
    <w:rsid w:val="000316D4"/>
    <w:rsid w:val="0003217B"/>
    <w:rsid w:val="00032C10"/>
    <w:rsid w:val="000331D4"/>
    <w:rsid w:val="00033CA9"/>
    <w:rsid w:val="00036A69"/>
    <w:rsid w:val="00042A1A"/>
    <w:rsid w:val="00043876"/>
    <w:rsid w:val="000443E1"/>
    <w:rsid w:val="0004648D"/>
    <w:rsid w:val="00046533"/>
    <w:rsid w:val="0005048B"/>
    <w:rsid w:val="00051219"/>
    <w:rsid w:val="00051456"/>
    <w:rsid w:val="0005226F"/>
    <w:rsid w:val="0005354A"/>
    <w:rsid w:val="0005371F"/>
    <w:rsid w:val="00053E83"/>
    <w:rsid w:val="0005554F"/>
    <w:rsid w:val="00055E41"/>
    <w:rsid w:val="00056FD0"/>
    <w:rsid w:val="00064612"/>
    <w:rsid w:val="000667A4"/>
    <w:rsid w:val="00072407"/>
    <w:rsid w:val="00074DFE"/>
    <w:rsid w:val="00075774"/>
    <w:rsid w:val="00075B0B"/>
    <w:rsid w:val="000815C2"/>
    <w:rsid w:val="00083CBE"/>
    <w:rsid w:val="00085DC0"/>
    <w:rsid w:val="00086C1E"/>
    <w:rsid w:val="00087ADA"/>
    <w:rsid w:val="00087CA8"/>
    <w:rsid w:val="00093167"/>
    <w:rsid w:val="00095873"/>
    <w:rsid w:val="000979AD"/>
    <w:rsid w:val="00097D69"/>
    <w:rsid w:val="000A0341"/>
    <w:rsid w:val="000A456D"/>
    <w:rsid w:val="000A4742"/>
    <w:rsid w:val="000A5C28"/>
    <w:rsid w:val="000A6F40"/>
    <w:rsid w:val="000A72F3"/>
    <w:rsid w:val="000B0A3D"/>
    <w:rsid w:val="000B1470"/>
    <w:rsid w:val="000B3486"/>
    <w:rsid w:val="000B5DE5"/>
    <w:rsid w:val="000C02C0"/>
    <w:rsid w:val="000C05F1"/>
    <w:rsid w:val="000C0940"/>
    <w:rsid w:val="000C0E41"/>
    <w:rsid w:val="000C1A2D"/>
    <w:rsid w:val="000C4051"/>
    <w:rsid w:val="000C5523"/>
    <w:rsid w:val="000C61C0"/>
    <w:rsid w:val="000C7D15"/>
    <w:rsid w:val="000D0298"/>
    <w:rsid w:val="000D19DE"/>
    <w:rsid w:val="000D436B"/>
    <w:rsid w:val="000D6D2F"/>
    <w:rsid w:val="000E1CF3"/>
    <w:rsid w:val="000E2422"/>
    <w:rsid w:val="000E3A73"/>
    <w:rsid w:val="000E599F"/>
    <w:rsid w:val="000E73FF"/>
    <w:rsid w:val="000F1EC3"/>
    <w:rsid w:val="000F1FE4"/>
    <w:rsid w:val="000F2CEA"/>
    <w:rsid w:val="000F3A74"/>
    <w:rsid w:val="000F41DF"/>
    <w:rsid w:val="000F7DF6"/>
    <w:rsid w:val="00101A2A"/>
    <w:rsid w:val="001020A1"/>
    <w:rsid w:val="00102633"/>
    <w:rsid w:val="00104FBD"/>
    <w:rsid w:val="001067F0"/>
    <w:rsid w:val="001068F9"/>
    <w:rsid w:val="001100D4"/>
    <w:rsid w:val="0011346D"/>
    <w:rsid w:val="0011470B"/>
    <w:rsid w:val="00114B30"/>
    <w:rsid w:val="00114F6E"/>
    <w:rsid w:val="00116C3E"/>
    <w:rsid w:val="00117E59"/>
    <w:rsid w:val="00117EAC"/>
    <w:rsid w:val="001210AF"/>
    <w:rsid w:val="0012201E"/>
    <w:rsid w:val="00123BCC"/>
    <w:rsid w:val="00123FD7"/>
    <w:rsid w:val="001249CC"/>
    <w:rsid w:val="00127A19"/>
    <w:rsid w:val="00127D61"/>
    <w:rsid w:val="0013089B"/>
    <w:rsid w:val="00132F76"/>
    <w:rsid w:val="0013384F"/>
    <w:rsid w:val="00134E64"/>
    <w:rsid w:val="00134FC3"/>
    <w:rsid w:val="001362D8"/>
    <w:rsid w:val="0013696E"/>
    <w:rsid w:val="00136B7F"/>
    <w:rsid w:val="00141D5A"/>
    <w:rsid w:val="00144467"/>
    <w:rsid w:val="00154168"/>
    <w:rsid w:val="0015605C"/>
    <w:rsid w:val="00157AAE"/>
    <w:rsid w:val="00161BB6"/>
    <w:rsid w:val="00164859"/>
    <w:rsid w:val="00166892"/>
    <w:rsid w:val="001708B3"/>
    <w:rsid w:val="00173C4D"/>
    <w:rsid w:val="00174A49"/>
    <w:rsid w:val="00175388"/>
    <w:rsid w:val="001754D0"/>
    <w:rsid w:val="00177270"/>
    <w:rsid w:val="001772D6"/>
    <w:rsid w:val="001842C4"/>
    <w:rsid w:val="0018542D"/>
    <w:rsid w:val="00185630"/>
    <w:rsid w:val="00190E0B"/>
    <w:rsid w:val="00192E59"/>
    <w:rsid w:val="00193162"/>
    <w:rsid w:val="00194542"/>
    <w:rsid w:val="00195301"/>
    <w:rsid w:val="00196146"/>
    <w:rsid w:val="001A1020"/>
    <w:rsid w:val="001A3CF8"/>
    <w:rsid w:val="001A6AF8"/>
    <w:rsid w:val="001A7418"/>
    <w:rsid w:val="001B00A0"/>
    <w:rsid w:val="001B053F"/>
    <w:rsid w:val="001B23ED"/>
    <w:rsid w:val="001B3105"/>
    <w:rsid w:val="001B34DE"/>
    <w:rsid w:val="001B4EB7"/>
    <w:rsid w:val="001B6CB5"/>
    <w:rsid w:val="001B79DA"/>
    <w:rsid w:val="001B7BF3"/>
    <w:rsid w:val="001C2E08"/>
    <w:rsid w:val="001C3137"/>
    <w:rsid w:val="001C540A"/>
    <w:rsid w:val="001C5597"/>
    <w:rsid w:val="001C5CA5"/>
    <w:rsid w:val="001C663B"/>
    <w:rsid w:val="001C7231"/>
    <w:rsid w:val="001D36DC"/>
    <w:rsid w:val="001D4D59"/>
    <w:rsid w:val="001D713C"/>
    <w:rsid w:val="001E046D"/>
    <w:rsid w:val="001E2A1A"/>
    <w:rsid w:val="001E2D97"/>
    <w:rsid w:val="001E30E8"/>
    <w:rsid w:val="001E4B07"/>
    <w:rsid w:val="001E4C59"/>
    <w:rsid w:val="001E531C"/>
    <w:rsid w:val="001F3FB1"/>
    <w:rsid w:val="001F654E"/>
    <w:rsid w:val="001F66CC"/>
    <w:rsid w:val="001F6CEF"/>
    <w:rsid w:val="0020034E"/>
    <w:rsid w:val="002011DF"/>
    <w:rsid w:val="00201C06"/>
    <w:rsid w:val="002028DF"/>
    <w:rsid w:val="00207117"/>
    <w:rsid w:val="002101A4"/>
    <w:rsid w:val="002109F9"/>
    <w:rsid w:val="00212485"/>
    <w:rsid w:val="0021263B"/>
    <w:rsid w:val="002132AE"/>
    <w:rsid w:val="002137D2"/>
    <w:rsid w:val="00214440"/>
    <w:rsid w:val="00215132"/>
    <w:rsid w:val="00215218"/>
    <w:rsid w:val="002154A2"/>
    <w:rsid w:val="002156C8"/>
    <w:rsid w:val="00217C34"/>
    <w:rsid w:val="00221A8F"/>
    <w:rsid w:val="00221D5A"/>
    <w:rsid w:val="0022431B"/>
    <w:rsid w:val="002254A0"/>
    <w:rsid w:val="002256CA"/>
    <w:rsid w:val="002274F9"/>
    <w:rsid w:val="0023045E"/>
    <w:rsid w:val="002310E0"/>
    <w:rsid w:val="00232B56"/>
    <w:rsid w:val="00235010"/>
    <w:rsid w:val="002400E6"/>
    <w:rsid w:val="002418DA"/>
    <w:rsid w:val="00241BAC"/>
    <w:rsid w:val="002421F2"/>
    <w:rsid w:val="0025177C"/>
    <w:rsid w:val="00251DDE"/>
    <w:rsid w:val="00252CBB"/>
    <w:rsid w:val="00253AB9"/>
    <w:rsid w:val="00255036"/>
    <w:rsid w:val="002579B2"/>
    <w:rsid w:val="0026068D"/>
    <w:rsid w:val="00260CC9"/>
    <w:rsid w:val="00263A58"/>
    <w:rsid w:val="00267364"/>
    <w:rsid w:val="0026739B"/>
    <w:rsid w:val="00273A31"/>
    <w:rsid w:val="00274483"/>
    <w:rsid w:val="002746AD"/>
    <w:rsid w:val="00274DF1"/>
    <w:rsid w:val="00274FEA"/>
    <w:rsid w:val="00276E3E"/>
    <w:rsid w:val="00277240"/>
    <w:rsid w:val="00277610"/>
    <w:rsid w:val="00277A23"/>
    <w:rsid w:val="002801CB"/>
    <w:rsid w:val="00280E4B"/>
    <w:rsid w:val="00282133"/>
    <w:rsid w:val="002852DB"/>
    <w:rsid w:val="00285A3B"/>
    <w:rsid w:val="00285F27"/>
    <w:rsid w:val="00287FBB"/>
    <w:rsid w:val="0029001E"/>
    <w:rsid w:val="0029026E"/>
    <w:rsid w:val="0029340C"/>
    <w:rsid w:val="0029371B"/>
    <w:rsid w:val="00293A69"/>
    <w:rsid w:val="00293EB0"/>
    <w:rsid w:val="00295687"/>
    <w:rsid w:val="00295D01"/>
    <w:rsid w:val="002A276D"/>
    <w:rsid w:val="002A41F9"/>
    <w:rsid w:val="002A47DB"/>
    <w:rsid w:val="002A5A18"/>
    <w:rsid w:val="002A5D8F"/>
    <w:rsid w:val="002A658F"/>
    <w:rsid w:val="002A7E54"/>
    <w:rsid w:val="002B10D6"/>
    <w:rsid w:val="002B1E8B"/>
    <w:rsid w:val="002B3670"/>
    <w:rsid w:val="002B3E6E"/>
    <w:rsid w:val="002B3F1E"/>
    <w:rsid w:val="002B4524"/>
    <w:rsid w:val="002B5F95"/>
    <w:rsid w:val="002B6D1E"/>
    <w:rsid w:val="002C3F4E"/>
    <w:rsid w:val="002C54A6"/>
    <w:rsid w:val="002C6AFC"/>
    <w:rsid w:val="002D19CD"/>
    <w:rsid w:val="002D688F"/>
    <w:rsid w:val="002E00BA"/>
    <w:rsid w:val="002E0C1E"/>
    <w:rsid w:val="002E2FB7"/>
    <w:rsid w:val="002E3B33"/>
    <w:rsid w:val="002E3BB0"/>
    <w:rsid w:val="002E48CF"/>
    <w:rsid w:val="002E64B5"/>
    <w:rsid w:val="002E6619"/>
    <w:rsid w:val="002E6C44"/>
    <w:rsid w:val="002E7AB1"/>
    <w:rsid w:val="002E7DC9"/>
    <w:rsid w:val="002F0071"/>
    <w:rsid w:val="002F06CC"/>
    <w:rsid w:val="002F34F4"/>
    <w:rsid w:val="002F35AA"/>
    <w:rsid w:val="002F5550"/>
    <w:rsid w:val="002F7A19"/>
    <w:rsid w:val="00301C5C"/>
    <w:rsid w:val="003036A2"/>
    <w:rsid w:val="003053C7"/>
    <w:rsid w:val="003059EB"/>
    <w:rsid w:val="00306A4B"/>
    <w:rsid w:val="00307B3C"/>
    <w:rsid w:val="00310421"/>
    <w:rsid w:val="003139EB"/>
    <w:rsid w:val="00313CAE"/>
    <w:rsid w:val="0031414F"/>
    <w:rsid w:val="0031605A"/>
    <w:rsid w:val="0032250A"/>
    <w:rsid w:val="0032280A"/>
    <w:rsid w:val="00322BA1"/>
    <w:rsid w:val="00323DA5"/>
    <w:rsid w:val="0032467F"/>
    <w:rsid w:val="003264EA"/>
    <w:rsid w:val="00327068"/>
    <w:rsid w:val="0032796C"/>
    <w:rsid w:val="00327A8A"/>
    <w:rsid w:val="00331731"/>
    <w:rsid w:val="00333EED"/>
    <w:rsid w:val="0033551F"/>
    <w:rsid w:val="00340806"/>
    <w:rsid w:val="00341FFE"/>
    <w:rsid w:val="00342532"/>
    <w:rsid w:val="003425BE"/>
    <w:rsid w:val="00342F15"/>
    <w:rsid w:val="00343600"/>
    <w:rsid w:val="003450A8"/>
    <w:rsid w:val="003461B2"/>
    <w:rsid w:val="003528B2"/>
    <w:rsid w:val="00355B43"/>
    <w:rsid w:val="00357251"/>
    <w:rsid w:val="00357F24"/>
    <w:rsid w:val="00361EE2"/>
    <w:rsid w:val="0036319D"/>
    <w:rsid w:val="003642D7"/>
    <w:rsid w:val="00374DD2"/>
    <w:rsid w:val="00377566"/>
    <w:rsid w:val="00383ADF"/>
    <w:rsid w:val="00387974"/>
    <w:rsid w:val="00390015"/>
    <w:rsid w:val="0039180E"/>
    <w:rsid w:val="0039270B"/>
    <w:rsid w:val="00395EF5"/>
    <w:rsid w:val="0039729E"/>
    <w:rsid w:val="003A2951"/>
    <w:rsid w:val="003A2FF2"/>
    <w:rsid w:val="003A3052"/>
    <w:rsid w:val="003A3919"/>
    <w:rsid w:val="003A476E"/>
    <w:rsid w:val="003A4AF4"/>
    <w:rsid w:val="003A710E"/>
    <w:rsid w:val="003A7BD2"/>
    <w:rsid w:val="003B1238"/>
    <w:rsid w:val="003B4380"/>
    <w:rsid w:val="003B58A6"/>
    <w:rsid w:val="003C26A8"/>
    <w:rsid w:val="003C3AD8"/>
    <w:rsid w:val="003C40B6"/>
    <w:rsid w:val="003C6B3B"/>
    <w:rsid w:val="003D50F1"/>
    <w:rsid w:val="003D62C9"/>
    <w:rsid w:val="003D641F"/>
    <w:rsid w:val="003D6565"/>
    <w:rsid w:val="003D778D"/>
    <w:rsid w:val="003E27E2"/>
    <w:rsid w:val="003E3972"/>
    <w:rsid w:val="003F061A"/>
    <w:rsid w:val="003F1806"/>
    <w:rsid w:val="003F1FBD"/>
    <w:rsid w:val="003F6EAD"/>
    <w:rsid w:val="004005F7"/>
    <w:rsid w:val="0040108B"/>
    <w:rsid w:val="0040276B"/>
    <w:rsid w:val="004070AA"/>
    <w:rsid w:val="00410CB7"/>
    <w:rsid w:val="00411649"/>
    <w:rsid w:val="00412553"/>
    <w:rsid w:val="0041302C"/>
    <w:rsid w:val="004134DD"/>
    <w:rsid w:val="0041517D"/>
    <w:rsid w:val="004151BA"/>
    <w:rsid w:val="00415E38"/>
    <w:rsid w:val="00416DF7"/>
    <w:rsid w:val="00416FE8"/>
    <w:rsid w:val="00420CC0"/>
    <w:rsid w:val="004216ED"/>
    <w:rsid w:val="00421B48"/>
    <w:rsid w:val="00424719"/>
    <w:rsid w:val="00425B20"/>
    <w:rsid w:val="00426E97"/>
    <w:rsid w:val="00434BFE"/>
    <w:rsid w:val="004362E3"/>
    <w:rsid w:val="0044092B"/>
    <w:rsid w:val="00440CFE"/>
    <w:rsid w:val="00441D99"/>
    <w:rsid w:val="00444967"/>
    <w:rsid w:val="00444D4A"/>
    <w:rsid w:val="004459B1"/>
    <w:rsid w:val="0044776C"/>
    <w:rsid w:val="00450B7D"/>
    <w:rsid w:val="00450C41"/>
    <w:rsid w:val="00455807"/>
    <w:rsid w:val="00456A57"/>
    <w:rsid w:val="00457440"/>
    <w:rsid w:val="0046209B"/>
    <w:rsid w:val="00462182"/>
    <w:rsid w:val="00463ED6"/>
    <w:rsid w:val="00465E80"/>
    <w:rsid w:val="00466556"/>
    <w:rsid w:val="004666B7"/>
    <w:rsid w:val="00467438"/>
    <w:rsid w:val="004712A8"/>
    <w:rsid w:val="00471DED"/>
    <w:rsid w:val="00471E1A"/>
    <w:rsid w:val="004744C2"/>
    <w:rsid w:val="00475BB5"/>
    <w:rsid w:val="00475EB7"/>
    <w:rsid w:val="004766E5"/>
    <w:rsid w:val="00477D51"/>
    <w:rsid w:val="0048104E"/>
    <w:rsid w:val="004826CF"/>
    <w:rsid w:val="004828A8"/>
    <w:rsid w:val="00483F64"/>
    <w:rsid w:val="00485E3A"/>
    <w:rsid w:val="0048768F"/>
    <w:rsid w:val="00487D3D"/>
    <w:rsid w:val="0049032F"/>
    <w:rsid w:val="00491B05"/>
    <w:rsid w:val="00492547"/>
    <w:rsid w:val="00494587"/>
    <w:rsid w:val="00494743"/>
    <w:rsid w:val="004A067D"/>
    <w:rsid w:val="004A10AC"/>
    <w:rsid w:val="004A3CB0"/>
    <w:rsid w:val="004A4D3F"/>
    <w:rsid w:val="004A57C5"/>
    <w:rsid w:val="004A7FA7"/>
    <w:rsid w:val="004B0B5E"/>
    <w:rsid w:val="004B0C61"/>
    <w:rsid w:val="004B1330"/>
    <w:rsid w:val="004B1D5B"/>
    <w:rsid w:val="004B2DAA"/>
    <w:rsid w:val="004B2E42"/>
    <w:rsid w:val="004B5AC9"/>
    <w:rsid w:val="004C08B6"/>
    <w:rsid w:val="004C0D00"/>
    <w:rsid w:val="004C14AB"/>
    <w:rsid w:val="004C19B0"/>
    <w:rsid w:val="004C3462"/>
    <w:rsid w:val="004C5394"/>
    <w:rsid w:val="004C5772"/>
    <w:rsid w:val="004C66FA"/>
    <w:rsid w:val="004C6FAE"/>
    <w:rsid w:val="004C7A10"/>
    <w:rsid w:val="004D0A90"/>
    <w:rsid w:val="004D139E"/>
    <w:rsid w:val="004D1CE2"/>
    <w:rsid w:val="004D3C36"/>
    <w:rsid w:val="004D44AC"/>
    <w:rsid w:val="004D4F0D"/>
    <w:rsid w:val="004D57D4"/>
    <w:rsid w:val="004D5ED7"/>
    <w:rsid w:val="004D7C37"/>
    <w:rsid w:val="004E1262"/>
    <w:rsid w:val="004E1F1A"/>
    <w:rsid w:val="004E3049"/>
    <w:rsid w:val="004E411B"/>
    <w:rsid w:val="004E5C69"/>
    <w:rsid w:val="004E60D0"/>
    <w:rsid w:val="004E6FB4"/>
    <w:rsid w:val="004F0298"/>
    <w:rsid w:val="004F12A6"/>
    <w:rsid w:val="004F1565"/>
    <w:rsid w:val="004F1878"/>
    <w:rsid w:val="004F2304"/>
    <w:rsid w:val="004F26F8"/>
    <w:rsid w:val="004F4CC9"/>
    <w:rsid w:val="004F75D8"/>
    <w:rsid w:val="005025FE"/>
    <w:rsid w:val="00504585"/>
    <w:rsid w:val="00506A78"/>
    <w:rsid w:val="00506DDE"/>
    <w:rsid w:val="005136AD"/>
    <w:rsid w:val="005138BA"/>
    <w:rsid w:val="00513923"/>
    <w:rsid w:val="00513E3A"/>
    <w:rsid w:val="00516657"/>
    <w:rsid w:val="005202DF"/>
    <w:rsid w:val="00520622"/>
    <w:rsid w:val="00520CB5"/>
    <w:rsid w:val="00520D4F"/>
    <w:rsid w:val="005211AF"/>
    <w:rsid w:val="005213E2"/>
    <w:rsid w:val="00524042"/>
    <w:rsid w:val="00525BF7"/>
    <w:rsid w:val="005276C2"/>
    <w:rsid w:val="005303EC"/>
    <w:rsid w:val="005343D3"/>
    <w:rsid w:val="005406F8"/>
    <w:rsid w:val="0054169B"/>
    <w:rsid w:val="005417D2"/>
    <w:rsid w:val="005422E4"/>
    <w:rsid w:val="00543721"/>
    <w:rsid w:val="0054393A"/>
    <w:rsid w:val="00544161"/>
    <w:rsid w:val="0054436C"/>
    <w:rsid w:val="00544B42"/>
    <w:rsid w:val="00545CF8"/>
    <w:rsid w:val="005476CF"/>
    <w:rsid w:val="00550E4D"/>
    <w:rsid w:val="00550F69"/>
    <w:rsid w:val="005523C6"/>
    <w:rsid w:val="005535C1"/>
    <w:rsid w:val="005549DF"/>
    <w:rsid w:val="005616AE"/>
    <w:rsid w:val="00561BA9"/>
    <w:rsid w:val="00564C5B"/>
    <w:rsid w:val="00571AAC"/>
    <w:rsid w:val="00571ADF"/>
    <w:rsid w:val="00571CEA"/>
    <w:rsid w:val="00571F91"/>
    <w:rsid w:val="0057612D"/>
    <w:rsid w:val="00581C8A"/>
    <w:rsid w:val="00583B00"/>
    <w:rsid w:val="00585DC5"/>
    <w:rsid w:val="005871BD"/>
    <w:rsid w:val="005900A1"/>
    <w:rsid w:val="00590B01"/>
    <w:rsid w:val="005914BF"/>
    <w:rsid w:val="005A0224"/>
    <w:rsid w:val="005A0BA6"/>
    <w:rsid w:val="005A1201"/>
    <w:rsid w:val="005A35B2"/>
    <w:rsid w:val="005A3671"/>
    <w:rsid w:val="005A3F38"/>
    <w:rsid w:val="005A47B3"/>
    <w:rsid w:val="005A61DD"/>
    <w:rsid w:val="005A68C6"/>
    <w:rsid w:val="005A6C20"/>
    <w:rsid w:val="005A6F02"/>
    <w:rsid w:val="005A721D"/>
    <w:rsid w:val="005B170A"/>
    <w:rsid w:val="005B2B2E"/>
    <w:rsid w:val="005B753C"/>
    <w:rsid w:val="005C1B4B"/>
    <w:rsid w:val="005C2541"/>
    <w:rsid w:val="005C71E9"/>
    <w:rsid w:val="005D5D01"/>
    <w:rsid w:val="005D5D71"/>
    <w:rsid w:val="005D7700"/>
    <w:rsid w:val="005F0DA6"/>
    <w:rsid w:val="005F225C"/>
    <w:rsid w:val="005F32AD"/>
    <w:rsid w:val="005F4017"/>
    <w:rsid w:val="005F41CD"/>
    <w:rsid w:val="005F4305"/>
    <w:rsid w:val="005F573F"/>
    <w:rsid w:val="005F7C32"/>
    <w:rsid w:val="00600138"/>
    <w:rsid w:val="00601A82"/>
    <w:rsid w:val="00601BED"/>
    <w:rsid w:val="00604140"/>
    <w:rsid w:val="00604892"/>
    <w:rsid w:val="006065A9"/>
    <w:rsid w:val="006075B1"/>
    <w:rsid w:val="00607651"/>
    <w:rsid w:val="006101EB"/>
    <w:rsid w:val="006103AF"/>
    <w:rsid w:val="00610806"/>
    <w:rsid w:val="00610C1D"/>
    <w:rsid w:val="006131D3"/>
    <w:rsid w:val="00620AB1"/>
    <w:rsid w:val="00620C5C"/>
    <w:rsid w:val="006218D9"/>
    <w:rsid w:val="00622516"/>
    <w:rsid w:val="0062422B"/>
    <w:rsid w:val="00625BAE"/>
    <w:rsid w:val="00627195"/>
    <w:rsid w:val="00630E7C"/>
    <w:rsid w:val="00635181"/>
    <w:rsid w:val="0063561B"/>
    <w:rsid w:val="00635DBA"/>
    <w:rsid w:val="0064042D"/>
    <w:rsid w:val="00641518"/>
    <w:rsid w:val="00641AEC"/>
    <w:rsid w:val="0064524B"/>
    <w:rsid w:val="00645A29"/>
    <w:rsid w:val="006469A4"/>
    <w:rsid w:val="00650A8F"/>
    <w:rsid w:val="00651877"/>
    <w:rsid w:val="00655D42"/>
    <w:rsid w:val="00656199"/>
    <w:rsid w:val="006575F3"/>
    <w:rsid w:val="006578B4"/>
    <w:rsid w:val="006606E0"/>
    <w:rsid w:val="00664D3A"/>
    <w:rsid w:val="00665B8F"/>
    <w:rsid w:val="00666B96"/>
    <w:rsid w:val="00675060"/>
    <w:rsid w:val="006759C2"/>
    <w:rsid w:val="0067631B"/>
    <w:rsid w:val="00676831"/>
    <w:rsid w:val="00677A9F"/>
    <w:rsid w:val="00681CA4"/>
    <w:rsid w:val="00682027"/>
    <w:rsid w:val="006839AA"/>
    <w:rsid w:val="00685B63"/>
    <w:rsid w:val="00690252"/>
    <w:rsid w:val="00691A74"/>
    <w:rsid w:val="0069216C"/>
    <w:rsid w:val="00694A20"/>
    <w:rsid w:val="00694E1A"/>
    <w:rsid w:val="00695A1E"/>
    <w:rsid w:val="00696CC4"/>
    <w:rsid w:val="006A1DF0"/>
    <w:rsid w:val="006A25BB"/>
    <w:rsid w:val="006A4E81"/>
    <w:rsid w:val="006A5D0B"/>
    <w:rsid w:val="006A7FB7"/>
    <w:rsid w:val="006B10B6"/>
    <w:rsid w:val="006B1377"/>
    <w:rsid w:val="006B2726"/>
    <w:rsid w:val="006B52FD"/>
    <w:rsid w:val="006B57B2"/>
    <w:rsid w:val="006B7A50"/>
    <w:rsid w:val="006C0D52"/>
    <w:rsid w:val="006C0EDC"/>
    <w:rsid w:val="006C109B"/>
    <w:rsid w:val="006C16E3"/>
    <w:rsid w:val="006C180F"/>
    <w:rsid w:val="006C3F80"/>
    <w:rsid w:val="006C4214"/>
    <w:rsid w:val="006C63D3"/>
    <w:rsid w:val="006D1B2D"/>
    <w:rsid w:val="006D1E80"/>
    <w:rsid w:val="006D1F92"/>
    <w:rsid w:val="006D455C"/>
    <w:rsid w:val="006D5139"/>
    <w:rsid w:val="006D555F"/>
    <w:rsid w:val="006D7E28"/>
    <w:rsid w:val="006E17CD"/>
    <w:rsid w:val="006E23B6"/>
    <w:rsid w:val="006E25AB"/>
    <w:rsid w:val="006E3262"/>
    <w:rsid w:val="006E3A6D"/>
    <w:rsid w:val="006E4748"/>
    <w:rsid w:val="006E7746"/>
    <w:rsid w:val="006E7F70"/>
    <w:rsid w:val="006F08D2"/>
    <w:rsid w:val="006F125C"/>
    <w:rsid w:val="006F2FDA"/>
    <w:rsid w:val="006F4826"/>
    <w:rsid w:val="006F4D0E"/>
    <w:rsid w:val="006F738D"/>
    <w:rsid w:val="00700738"/>
    <w:rsid w:val="00700B76"/>
    <w:rsid w:val="00705110"/>
    <w:rsid w:val="00705E75"/>
    <w:rsid w:val="00707997"/>
    <w:rsid w:val="0071029B"/>
    <w:rsid w:val="0071052E"/>
    <w:rsid w:val="00711762"/>
    <w:rsid w:val="00711DCA"/>
    <w:rsid w:val="00716588"/>
    <w:rsid w:val="00717E17"/>
    <w:rsid w:val="00721552"/>
    <w:rsid w:val="00726E5E"/>
    <w:rsid w:val="00730D43"/>
    <w:rsid w:val="0073230C"/>
    <w:rsid w:val="007327F4"/>
    <w:rsid w:val="00734B2F"/>
    <w:rsid w:val="007367A7"/>
    <w:rsid w:val="00736C13"/>
    <w:rsid w:val="00736E1E"/>
    <w:rsid w:val="00736F0E"/>
    <w:rsid w:val="007445DB"/>
    <w:rsid w:val="0074569B"/>
    <w:rsid w:val="007510E2"/>
    <w:rsid w:val="007513AA"/>
    <w:rsid w:val="00752314"/>
    <w:rsid w:val="00752473"/>
    <w:rsid w:val="00752903"/>
    <w:rsid w:val="007530B4"/>
    <w:rsid w:val="00756A9D"/>
    <w:rsid w:val="00757D44"/>
    <w:rsid w:val="00760938"/>
    <w:rsid w:val="00762940"/>
    <w:rsid w:val="00766BBE"/>
    <w:rsid w:val="00767521"/>
    <w:rsid w:val="007732C9"/>
    <w:rsid w:val="007738F3"/>
    <w:rsid w:val="00774CB6"/>
    <w:rsid w:val="00776A3D"/>
    <w:rsid w:val="007815C3"/>
    <w:rsid w:val="00781868"/>
    <w:rsid w:val="007818F9"/>
    <w:rsid w:val="00782488"/>
    <w:rsid w:val="00782CF8"/>
    <w:rsid w:val="00785E49"/>
    <w:rsid w:val="00786A8D"/>
    <w:rsid w:val="00786B17"/>
    <w:rsid w:val="00787338"/>
    <w:rsid w:val="007873A9"/>
    <w:rsid w:val="00787C90"/>
    <w:rsid w:val="00790A1F"/>
    <w:rsid w:val="00793B7A"/>
    <w:rsid w:val="00793C15"/>
    <w:rsid w:val="00793DA2"/>
    <w:rsid w:val="00793F2D"/>
    <w:rsid w:val="00796030"/>
    <w:rsid w:val="00796D09"/>
    <w:rsid w:val="007A01EB"/>
    <w:rsid w:val="007A2944"/>
    <w:rsid w:val="007B13AE"/>
    <w:rsid w:val="007B2475"/>
    <w:rsid w:val="007B249F"/>
    <w:rsid w:val="007B2ECC"/>
    <w:rsid w:val="007B525F"/>
    <w:rsid w:val="007C0298"/>
    <w:rsid w:val="007C1DF4"/>
    <w:rsid w:val="007C28F2"/>
    <w:rsid w:val="007C4FFC"/>
    <w:rsid w:val="007C5394"/>
    <w:rsid w:val="007C6BB9"/>
    <w:rsid w:val="007C733A"/>
    <w:rsid w:val="007C7522"/>
    <w:rsid w:val="007D1B60"/>
    <w:rsid w:val="007D2CD3"/>
    <w:rsid w:val="007D2E6D"/>
    <w:rsid w:val="007D5501"/>
    <w:rsid w:val="007D7F23"/>
    <w:rsid w:val="007E073D"/>
    <w:rsid w:val="007E260F"/>
    <w:rsid w:val="007E35CB"/>
    <w:rsid w:val="007E4B05"/>
    <w:rsid w:val="007E5102"/>
    <w:rsid w:val="007E5152"/>
    <w:rsid w:val="007E7EED"/>
    <w:rsid w:val="007F16A8"/>
    <w:rsid w:val="007F516D"/>
    <w:rsid w:val="007F52B1"/>
    <w:rsid w:val="007F6149"/>
    <w:rsid w:val="007F618C"/>
    <w:rsid w:val="007F688D"/>
    <w:rsid w:val="00800C94"/>
    <w:rsid w:val="00800E3F"/>
    <w:rsid w:val="00802325"/>
    <w:rsid w:val="008033AB"/>
    <w:rsid w:val="00806F44"/>
    <w:rsid w:val="00807954"/>
    <w:rsid w:val="00812E7D"/>
    <w:rsid w:val="00815DBC"/>
    <w:rsid w:val="00816F1C"/>
    <w:rsid w:val="008175AA"/>
    <w:rsid w:val="00820EA5"/>
    <w:rsid w:val="00821335"/>
    <w:rsid w:val="008223E7"/>
    <w:rsid w:val="008241ED"/>
    <w:rsid w:val="0082675B"/>
    <w:rsid w:val="008268DC"/>
    <w:rsid w:val="00826D20"/>
    <w:rsid w:val="008275FA"/>
    <w:rsid w:val="00832737"/>
    <w:rsid w:val="00832CEA"/>
    <w:rsid w:val="00840460"/>
    <w:rsid w:val="008408C1"/>
    <w:rsid w:val="00840B15"/>
    <w:rsid w:val="00843A62"/>
    <w:rsid w:val="008457B5"/>
    <w:rsid w:val="0084763A"/>
    <w:rsid w:val="008503AA"/>
    <w:rsid w:val="0085234E"/>
    <w:rsid w:val="00854E3D"/>
    <w:rsid w:val="00857A16"/>
    <w:rsid w:val="008601C5"/>
    <w:rsid w:val="00862B69"/>
    <w:rsid w:val="00863F9A"/>
    <w:rsid w:val="00864126"/>
    <w:rsid w:val="00865F66"/>
    <w:rsid w:val="00867518"/>
    <w:rsid w:val="008704E4"/>
    <w:rsid w:val="0087289C"/>
    <w:rsid w:val="00876062"/>
    <w:rsid w:val="00880650"/>
    <w:rsid w:val="00880DE8"/>
    <w:rsid w:val="00887AD9"/>
    <w:rsid w:val="0089003E"/>
    <w:rsid w:val="00890BD7"/>
    <w:rsid w:val="00891A6E"/>
    <w:rsid w:val="00892374"/>
    <w:rsid w:val="008941B7"/>
    <w:rsid w:val="008951FB"/>
    <w:rsid w:val="0089541D"/>
    <w:rsid w:val="008968EB"/>
    <w:rsid w:val="00897136"/>
    <w:rsid w:val="00897689"/>
    <w:rsid w:val="00897FEE"/>
    <w:rsid w:val="008A3A56"/>
    <w:rsid w:val="008A405E"/>
    <w:rsid w:val="008A4DD1"/>
    <w:rsid w:val="008A51A2"/>
    <w:rsid w:val="008A51C6"/>
    <w:rsid w:val="008A51D2"/>
    <w:rsid w:val="008B3B58"/>
    <w:rsid w:val="008B4A42"/>
    <w:rsid w:val="008B7AF1"/>
    <w:rsid w:val="008C2B50"/>
    <w:rsid w:val="008C5369"/>
    <w:rsid w:val="008D5E56"/>
    <w:rsid w:val="008E36EC"/>
    <w:rsid w:val="008E3A6A"/>
    <w:rsid w:val="008E5CE3"/>
    <w:rsid w:val="008E771F"/>
    <w:rsid w:val="008F0F9E"/>
    <w:rsid w:val="008F1194"/>
    <w:rsid w:val="008F217F"/>
    <w:rsid w:val="008F273A"/>
    <w:rsid w:val="008F44B7"/>
    <w:rsid w:val="008F5C44"/>
    <w:rsid w:val="008F5FA6"/>
    <w:rsid w:val="008F7A9C"/>
    <w:rsid w:val="00900503"/>
    <w:rsid w:val="0090184E"/>
    <w:rsid w:val="0091299A"/>
    <w:rsid w:val="00912DE9"/>
    <w:rsid w:val="00914764"/>
    <w:rsid w:val="0091486E"/>
    <w:rsid w:val="0091539C"/>
    <w:rsid w:val="00917822"/>
    <w:rsid w:val="00917BE9"/>
    <w:rsid w:val="00920B30"/>
    <w:rsid w:val="00921824"/>
    <w:rsid w:val="00921F13"/>
    <w:rsid w:val="009238C0"/>
    <w:rsid w:val="00923ED7"/>
    <w:rsid w:val="00924D99"/>
    <w:rsid w:val="00925EE3"/>
    <w:rsid w:val="0092796F"/>
    <w:rsid w:val="009317F7"/>
    <w:rsid w:val="009328FC"/>
    <w:rsid w:val="00933D7D"/>
    <w:rsid w:val="009360C5"/>
    <w:rsid w:val="00941561"/>
    <w:rsid w:val="00941C16"/>
    <w:rsid w:val="00944443"/>
    <w:rsid w:val="009478EA"/>
    <w:rsid w:val="009570B7"/>
    <w:rsid w:val="00957152"/>
    <w:rsid w:val="0096064B"/>
    <w:rsid w:val="00963568"/>
    <w:rsid w:val="009640E7"/>
    <w:rsid w:val="009704B0"/>
    <w:rsid w:val="00972036"/>
    <w:rsid w:val="009765C9"/>
    <w:rsid w:val="009812C9"/>
    <w:rsid w:val="00981D4C"/>
    <w:rsid w:val="00983966"/>
    <w:rsid w:val="00983F19"/>
    <w:rsid w:val="00985681"/>
    <w:rsid w:val="00987853"/>
    <w:rsid w:val="00991AF4"/>
    <w:rsid w:val="00991CAC"/>
    <w:rsid w:val="009920D4"/>
    <w:rsid w:val="0099432F"/>
    <w:rsid w:val="009952EB"/>
    <w:rsid w:val="00995D43"/>
    <w:rsid w:val="009964E7"/>
    <w:rsid w:val="009A180F"/>
    <w:rsid w:val="009A20E5"/>
    <w:rsid w:val="009A623A"/>
    <w:rsid w:val="009B1368"/>
    <w:rsid w:val="009B29FD"/>
    <w:rsid w:val="009B3319"/>
    <w:rsid w:val="009B4B17"/>
    <w:rsid w:val="009B532B"/>
    <w:rsid w:val="009B58FB"/>
    <w:rsid w:val="009B6B20"/>
    <w:rsid w:val="009B7560"/>
    <w:rsid w:val="009B77E9"/>
    <w:rsid w:val="009C3E19"/>
    <w:rsid w:val="009C4684"/>
    <w:rsid w:val="009C532F"/>
    <w:rsid w:val="009C5DC9"/>
    <w:rsid w:val="009D06A6"/>
    <w:rsid w:val="009D1514"/>
    <w:rsid w:val="009D4070"/>
    <w:rsid w:val="009D7E49"/>
    <w:rsid w:val="009E00C4"/>
    <w:rsid w:val="009E220B"/>
    <w:rsid w:val="009E3E67"/>
    <w:rsid w:val="009E51CE"/>
    <w:rsid w:val="009E5D82"/>
    <w:rsid w:val="009E61EB"/>
    <w:rsid w:val="009E734D"/>
    <w:rsid w:val="009E75D9"/>
    <w:rsid w:val="009F0667"/>
    <w:rsid w:val="009F0EAA"/>
    <w:rsid w:val="009F38A2"/>
    <w:rsid w:val="009F42AB"/>
    <w:rsid w:val="009F5A9B"/>
    <w:rsid w:val="009F73F7"/>
    <w:rsid w:val="009F78CB"/>
    <w:rsid w:val="009F79DC"/>
    <w:rsid w:val="00A008A3"/>
    <w:rsid w:val="00A00A06"/>
    <w:rsid w:val="00A0309C"/>
    <w:rsid w:val="00A0599B"/>
    <w:rsid w:val="00A1085B"/>
    <w:rsid w:val="00A114D1"/>
    <w:rsid w:val="00A13D96"/>
    <w:rsid w:val="00A14107"/>
    <w:rsid w:val="00A1609E"/>
    <w:rsid w:val="00A20DBC"/>
    <w:rsid w:val="00A20F14"/>
    <w:rsid w:val="00A236A4"/>
    <w:rsid w:val="00A26F80"/>
    <w:rsid w:val="00A32EDC"/>
    <w:rsid w:val="00A35817"/>
    <w:rsid w:val="00A3590C"/>
    <w:rsid w:val="00A36C54"/>
    <w:rsid w:val="00A40CC4"/>
    <w:rsid w:val="00A410CD"/>
    <w:rsid w:val="00A41431"/>
    <w:rsid w:val="00A4301D"/>
    <w:rsid w:val="00A502B4"/>
    <w:rsid w:val="00A50CB7"/>
    <w:rsid w:val="00A51997"/>
    <w:rsid w:val="00A52C01"/>
    <w:rsid w:val="00A55391"/>
    <w:rsid w:val="00A55A0B"/>
    <w:rsid w:val="00A63318"/>
    <w:rsid w:val="00A70DD1"/>
    <w:rsid w:val="00A716CA"/>
    <w:rsid w:val="00A7397B"/>
    <w:rsid w:val="00A81299"/>
    <w:rsid w:val="00A82227"/>
    <w:rsid w:val="00A847E1"/>
    <w:rsid w:val="00A85C20"/>
    <w:rsid w:val="00A86058"/>
    <w:rsid w:val="00A86985"/>
    <w:rsid w:val="00A87BA0"/>
    <w:rsid w:val="00A908E6"/>
    <w:rsid w:val="00A90BD5"/>
    <w:rsid w:val="00A92F48"/>
    <w:rsid w:val="00A943B2"/>
    <w:rsid w:val="00A9602E"/>
    <w:rsid w:val="00AA0222"/>
    <w:rsid w:val="00AA15D7"/>
    <w:rsid w:val="00AA2590"/>
    <w:rsid w:val="00AA4BB9"/>
    <w:rsid w:val="00AA61CC"/>
    <w:rsid w:val="00AA7582"/>
    <w:rsid w:val="00AB07A4"/>
    <w:rsid w:val="00AB181B"/>
    <w:rsid w:val="00AB2E64"/>
    <w:rsid w:val="00AB4D75"/>
    <w:rsid w:val="00AC0369"/>
    <w:rsid w:val="00AC3E58"/>
    <w:rsid w:val="00AC5464"/>
    <w:rsid w:val="00AC6720"/>
    <w:rsid w:val="00AC7ECD"/>
    <w:rsid w:val="00AD0766"/>
    <w:rsid w:val="00AD083F"/>
    <w:rsid w:val="00AD1619"/>
    <w:rsid w:val="00AD2170"/>
    <w:rsid w:val="00AD275A"/>
    <w:rsid w:val="00AD3528"/>
    <w:rsid w:val="00AD35F9"/>
    <w:rsid w:val="00AD380C"/>
    <w:rsid w:val="00AD3D6D"/>
    <w:rsid w:val="00AD7F00"/>
    <w:rsid w:val="00AE0559"/>
    <w:rsid w:val="00AE13BD"/>
    <w:rsid w:val="00AE22BA"/>
    <w:rsid w:val="00AE3B5F"/>
    <w:rsid w:val="00AE3CFD"/>
    <w:rsid w:val="00AE55D2"/>
    <w:rsid w:val="00AE7106"/>
    <w:rsid w:val="00AF06CB"/>
    <w:rsid w:val="00AF10BE"/>
    <w:rsid w:val="00AF1B84"/>
    <w:rsid w:val="00AF37BE"/>
    <w:rsid w:val="00AF43E2"/>
    <w:rsid w:val="00AF4D16"/>
    <w:rsid w:val="00AF5964"/>
    <w:rsid w:val="00AF5B4A"/>
    <w:rsid w:val="00AF6215"/>
    <w:rsid w:val="00B03428"/>
    <w:rsid w:val="00B035CC"/>
    <w:rsid w:val="00B06606"/>
    <w:rsid w:val="00B068D9"/>
    <w:rsid w:val="00B06E83"/>
    <w:rsid w:val="00B103CA"/>
    <w:rsid w:val="00B14087"/>
    <w:rsid w:val="00B157D4"/>
    <w:rsid w:val="00B21850"/>
    <w:rsid w:val="00B222AD"/>
    <w:rsid w:val="00B23CE0"/>
    <w:rsid w:val="00B257E4"/>
    <w:rsid w:val="00B268F6"/>
    <w:rsid w:val="00B313B5"/>
    <w:rsid w:val="00B34418"/>
    <w:rsid w:val="00B3452A"/>
    <w:rsid w:val="00B34F64"/>
    <w:rsid w:val="00B457BB"/>
    <w:rsid w:val="00B45E08"/>
    <w:rsid w:val="00B51E8B"/>
    <w:rsid w:val="00B53061"/>
    <w:rsid w:val="00B5338E"/>
    <w:rsid w:val="00B5561F"/>
    <w:rsid w:val="00B55F0E"/>
    <w:rsid w:val="00B80087"/>
    <w:rsid w:val="00B816CE"/>
    <w:rsid w:val="00B8279A"/>
    <w:rsid w:val="00B827FF"/>
    <w:rsid w:val="00B8445D"/>
    <w:rsid w:val="00B846E1"/>
    <w:rsid w:val="00B9010E"/>
    <w:rsid w:val="00B9061C"/>
    <w:rsid w:val="00B90A67"/>
    <w:rsid w:val="00B93351"/>
    <w:rsid w:val="00B93FAF"/>
    <w:rsid w:val="00B96AC7"/>
    <w:rsid w:val="00B96DBD"/>
    <w:rsid w:val="00B9744A"/>
    <w:rsid w:val="00B97A37"/>
    <w:rsid w:val="00BA0D89"/>
    <w:rsid w:val="00BA278E"/>
    <w:rsid w:val="00BA6A57"/>
    <w:rsid w:val="00BA6C89"/>
    <w:rsid w:val="00BB53B5"/>
    <w:rsid w:val="00BC2074"/>
    <w:rsid w:val="00BC46FA"/>
    <w:rsid w:val="00BC622C"/>
    <w:rsid w:val="00BD0813"/>
    <w:rsid w:val="00BD241F"/>
    <w:rsid w:val="00BD403D"/>
    <w:rsid w:val="00BD6F9A"/>
    <w:rsid w:val="00BD7002"/>
    <w:rsid w:val="00BD78F4"/>
    <w:rsid w:val="00BE13B6"/>
    <w:rsid w:val="00BE2A1A"/>
    <w:rsid w:val="00BE3C7B"/>
    <w:rsid w:val="00BE5922"/>
    <w:rsid w:val="00BE7334"/>
    <w:rsid w:val="00BE7403"/>
    <w:rsid w:val="00BF0C99"/>
    <w:rsid w:val="00BF2E42"/>
    <w:rsid w:val="00C0085F"/>
    <w:rsid w:val="00C01FC1"/>
    <w:rsid w:val="00C0427F"/>
    <w:rsid w:val="00C102B5"/>
    <w:rsid w:val="00C1260A"/>
    <w:rsid w:val="00C14296"/>
    <w:rsid w:val="00C22E83"/>
    <w:rsid w:val="00C23138"/>
    <w:rsid w:val="00C235CA"/>
    <w:rsid w:val="00C25974"/>
    <w:rsid w:val="00C25CB9"/>
    <w:rsid w:val="00C27641"/>
    <w:rsid w:val="00C32E7A"/>
    <w:rsid w:val="00C361B5"/>
    <w:rsid w:val="00C401F3"/>
    <w:rsid w:val="00C40F82"/>
    <w:rsid w:val="00C422BC"/>
    <w:rsid w:val="00C42B47"/>
    <w:rsid w:val="00C4396C"/>
    <w:rsid w:val="00C44BBE"/>
    <w:rsid w:val="00C469A4"/>
    <w:rsid w:val="00C479B7"/>
    <w:rsid w:val="00C47EC4"/>
    <w:rsid w:val="00C507C3"/>
    <w:rsid w:val="00C52188"/>
    <w:rsid w:val="00C522D6"/>
    <w:rsid w:val="00C5358D"/>
    <w:rsid w:val="00C545C8"/>
    <w:rsid w:val="00C56AB8"/>
    <w:rsid w:val="00C56D03"/>
    <w:rsid w:val="00C607F8"/>
    <w:rsid w:val="00C61603"/>
    <w:rsid w:val="00C62107"/>
    <w:rsid w:val="00C62BBB"/>
    <w:rsid w:val="00C6302E"/>
    <w:rsid w:val="00C63B3B"/>
    <w:rsid w:val="00C64AD3"/>
    <w:rsid w:val="00C66A8B"/>
    <w:rsid w:val="00C7019F"/>
    <w:rsid w:val="00C70D1B"/>
    <w:rsid w:val="00C731E8"/>
    <w:rsid w:val="00C73D58"/>
    <w:rsid w:val="00C770B0"/>
    <w:rsid w:val="00C81E82"/>
    <w:rsid w:val="00C832E2"/>
    <w:rsid w:val="00C83B2F"/>
    <w:rsid w:val="00C83DF8"/>
    <w:rsid w:val="00C858FA"/>
    <w:rsid w:val="00C85936"/>
    <w:rsid w:val="00C8699C"/>
    <w:rsid w:val="00C86A37"/>
    <w:rsid w:val="00C91864"/>
    <w:rsid w:val="00C92CC5"/>
    <w:rsid w:val="00C940C1"/>
    <w:rsid w:val="00C945DD"/>
    <w:rsid w:val="00CA0919"/>
    <w:rsid w:val="00CA0DC9"/>
    <w:rsid w:val="00CA391F"/>
    <w:rsid w:val="00CA4152"/>
    <w:rsid w:val="00CA43A1"/>
    <w:rsid w:val="00CA47A9"/>
    <w:rsid w:val="00CA4B6A"/>
    <w:rsid w:val="00CA4E85"/>
    <w:rsid w:val="00CA4E97"/>
    <w:rsid w:val="00CA5249"/>
    <w:rsid w:val="00CA59F1"/>
    <w:rsid w:val="00CB0301"/>
    <w:rsid w:val="00CB2DEC"/>
    <w:rsid w:val="00CB59D1"/>
    <w:rsid w:val="00CC0A8A"/>
    <w:rsid w:val="00CC0D27"/>
    <w:rsid w:val="00CC0F54"/>
    <w:rsid w:val="00CC3D0D"/>
    <w:rsid w:val="00CC4A92"/>
    <w:rsid w:val="00CC5B0A"/>
    <w:rsid w:val="00CC6FA2"/>
    <w:rsid w:val="00CD0496"/>
    <w:rsid w:val="00CD1372"/>
    <w:rsid w:val="00CD23DC"/>
    <w:rsid w:val="00CD33C4"/>
    <w:rsid w:val="00CD4424"/>
    <w:rsid w:val="00CD5730"/>
    <w:rsid w:val="00CD5807"/>
    <w:rsid w:val="00CD5B9E"/>
    <w:rsid w:val="00CE116E"/>
    <w:rsid w:val="00CE17A5"/>
    <w:rsid w:val="00CE57D0"/>
    <w:rsid w:val="00CE6D6D"/>
    <w:rsid w:val="00CF1C3C"/>
    <w:rsid w:val="00CF1F0A"/>
    <w:rsid w:val="00CF3C35"/>
    <w:rsid w:val="00CF561E"/>
    <w:rsid w:val="00CF6520"/>
    <w:rsid w:val="00CF65CD"/>
    <w:rsid w:val="00CF7499"/>
    <w:rsid w:val="00CF7B71"/>
    <w:rsid w:val="00D01B3C"/>
    <w:rsid w:val="00D044DD"/>
    <w:rsid w:val="00D06EDB"/>
    <w:rsid w:val="00D105D7"/>
    <w:rsid w:val="00D10FBB"/>
    <w:rsid w:val="00D11503"/>
    <w:rsid w:val="00D14796"/>
    <w:rsid w:val="00D1613E"/>
    <w:rsid w:val="00D16D7D"/>
    <w:rsid w:val="00D17ACB"/>
    <w:rsid w:val="00D20077"/>
    <w:rsid w:val="00D2064D"/>
    <w:rsid w:val="00D23445"/>
    <w:rsid w:val="00D26EB7"/>
    <w:rsid w:val="00D308D9"/>
    <w:rsid w:val="00D30DD9"/>
    <w:rsid w:val="00D31462"/>
    <w:rsid w:val="00D4229E"/>
    <w:rsid w:val="00D46547"/>
    <w:rsid w:val="00D4675A"/>
    <w:rsid w:val="00D47AE2"/>
    <w:rsid w:val="00D542F5"/>
    <w:rsid w:val="00D55FB6"/>
    <w:rsid w:val="00D572EB"/>
    <w:rsid w:val="00D61F41"/>
    <w:rsid w:val="00D62C77"/>
    <w:rsid w:val="00D62DA7"/>
    <w:rsid w:val="00D679DE"/>
    <w:rsid w:val="00D7081E"/>
    <w:rsid w:val="00D726E8"/>
    <w:rsid w:val="00D743B6"/>
    <w:rsid w:val="00D74957"/>
    <w:rsid w:val="00D76789"/>
    <w:rsid w:val="00D77F94"/>
    <w:rsid w:val="00D80059"/>
    <w:rsid w:val="00D80AD4"/>
    <w:rsid w:val="00D80D82"/>
    <w:rsid w:val="00D81B3B"/>
    <w:rsid w:val="00D83397"/>
    <w:rsid w:val="00D84113"/>
    <w:rsid w:val="00D86132"/>
    <w:rsid w:val="00D92DC5"/>
    <w:rsid w:val="00D93CD0"/>
    <w:rsid w:val="00D94A34"/>
    <w:rsid w:val="00D94F12"/>
    <w:rsid w:val="00D9628F"/>
    <w:rsid w:val="00DA0D17"/>
    <w:rsid w:val="00DA1420"/>
    <w:rsid w:val="00DA1A87"/>
    <w:rsid w:val="00DA6366"/>
    <w:rsid w:val="00DB2075"/>
    <w:rsid w:val="00DB525D"/>
    <w:rsid w:val="00DB55B9"/>
    <w:rsid w:val="00DB6EE5"/>
    <w:rsid w:val="00DC00A0"/>
    <w:rsid w:val="00DC01F8"/>
    <w:rsid w:val="00DC3CE7"/>
    <w:rsid w:val="00DC5857"/>
    <w:rsid w:val="00DC739A"/>
    <w:rsid w:val="00DD29DC"/>
    <w:rsid w:val="00DD4F5E"/>
    <w:rsid w:val="00DE09D9"/>
    <w:rsid w:val="00DE1C54"/>
    <w:rsid w:val="00DE1FE6"/>
    <w:rsid w:val="00DE30A8"/>
    <w:rsid w:val="00DE3888"/>
    <w:rsid w:val="00DE554F"/>
    <w:rsid w:val="00DF238C"/>
    <w:rsid w:val="00DF4393"/>
    <w:rsid w:val="00DF639B"/>
    <w:rsid w:val="00DF6871"/>
    <w:rsid w:val="00E021E3"/>
    <w:rsid w:val="00E02327"/>
    <w:rsid w:val="00E03264"/>
    <w:rsid w:val="00E03C06"/>
    <w:rsid w:val="00E04447"/>
    <w:rsid w:val="00E05B9F"/>
    <w:rsid w:val="00E06739"/>
    <w:rsid w:val="00E06970"/>
    <w:rsid w:val="00E079CA"/>
    <w:rsid w:val="00E1167F"/>
    <w:rsid w:val="00E116ED"/>
    <w:rsid w:val="00E133CE"/>
    <w:rsid w:val="00E1493E"/>
    <w:rsid w:val="00E15CA5"/>
    <w:rsid w:val="00E20A2C"/>
    <w:rsid w:val="00E22258"/>
    <w:rsid w:val="00E251B6"/>
    <w:rsid w:val="00E308BF"/>
    <w:rsid w:val="00E313DA"/>
    <w:rsid w:val="00E3226D"/>
    <w:rsid w:val="00E32A95"/>
    <w:rsid w:val="00E34269"/>
    <w:rsid w:val="00E34923"/>
    <w:rsid w:val="00E34CA5"/>
    <w:rsid w:val="00E35E89"/>
    <w:rsid w:val="00E36862"/>
    <w:rsid w:val="00E4003B"/>
    <w:rsid w:val="00E404F9"/>
    <w:rsid w:val="00E414CC"/>
    <w:rsid w:val="00E4491D"/>
    <w:rsid w:val="00E46695"/>
    <w:rsid w:val="00E467E7"/>
    <w:rsid w:val="00E5044F"/>
    <w:rsid w:val="00E50F60"/>
    <w:rsid w:val="00E539E7"/>
    <w:rsid w:val="00E66BA4"/>
    <w:rsid w:val="00E7095D"/>
    <w:rsid w:val="00E7104D"/>
    <w:rsid w:val="00E72FFF"/>
    <w:rsid w:val="00E777F0"/>
    <w:rsid w:val="00E80CC5"/>
    <w:rsid w:val="00E81CC9"/>
    <w:rsid w:val="00E825CA"/>
    <w:rsid w:val="00E84118"/>
    <w:rsid w:val="00E853ED"/>
    <w:rsid w:val="00E857E0"/>
    <w:rsid w:val="00E86979"/>
    <w:rsid w:val="00E909DE"/>
    <w:rsid w:val="00E92EF9"/>
    <w:rsid w:val="00EA050C"/>
    <w:rsid w:val="00EA1519"/>
    <w:rsid w:val="00EA1D11"/>
    <w:rsid w:val="00EA3214"/>
    <w:rsid w:val="00EB0407"/>
    <w:rsid w:val="00EB0536"/>
    <w:rsid w:val="00EB2587"/>
    <w:rsid w:val="00EB42A8"/>
    <w:rsid w:val="00EB5601"/>
    <w:rsid w:val="00EB5980"/>
    <w:rsid w:val="00EC1952"/>
    <w:rsid w:val="00EC4669"/>
    <w:rsid w:val="00EC501A"/>
    <w:rsid w:val="00EC526F"/>
    <w:rsid w:val="00EC5C01"/>
    <w:rsid w:val="00ED0C67"/>
    <w:rsid w:val="00ED4F5D"/>
    <w:rsid w:val="00EE1A94"/>
    <w:rsid w:val="00EF08E3"/>
    <w:rsid w:val="00EF2E4D"/>
    <w:rsid w:val="00EF32A1"/>
    <w:rsid w:val="00EF3427"/>
    <w:rsid w:val="00EF5074"/>
    <w:rsid w:val="00EF5257"/>
    <w:rsid w:val="00EF55DC"/>
    <w:rsid w:val="00F020F8"/>
    <w:rsid w:val="00F0278D"/>
    <w:rsid w:val="00F05C86"/>
    <w:rsid w:val="00F079A0"/>
    <w:rsid w:val="00F10100"/>
    <w:rsid w:val="00F10410"/>
    <w:rsid w:val="00F10924"/>
    <w:rsid w:val="00F11975"/>
    <w:rsid w:val="00F1288E"/>
    <w:rsid w:val="00F1548E"/>
    <w:rsid w:val="00F15CEC"/>
    <w:rsid w:val="00F16569"/>
    <w:rsid w:val="00F16F3A"/>
    <w:rsid w:val="00F178DE"/>
    <w:rsid w:val="00F17E54"/>
    <w:rsid w:val="00F17EF3"/>
    <w:rsid w:val="00F249B8"/>
    <w:rsid w:val="00F31ECF"/>
    <w:rsid w:val="00F34445"/>
    <w:rsid w:val="00F34BA8"/>
    <w:rsid w:val="00F40A9A"/>
    <w:rsid w:val="00F40B38"/>
    <w:rsid w:val="00F43209"/>
    <w:rsid w:val="00F444B7"/>
    <w:rsid w:val="00F45304"/>
    <w:rsid w:val="00F46AB9"/>
    <w:rsid w:val="00F46B5A"/>
    <w:rsid w:val="00F46CC7"/>
    <w:rsid w:val="00F5025A"/>
    <w:rsid w:val="00F50E71"/>
    <w:rsid w:val="00F519E6"/>
    <w:rsid w:val="00F52633"/>
    <w:rsid w:val="00F53DC4"/>
    <w:rsid w:val="00F55BE5"/>
    <w:rsid w:val="00F57032"/>
    <w:rsid w:val="00F6104A"/>
    <w:rsid w:val="00F65292"/>
    <w:rsid w:val="00F66234"/>
    <w:rsid w:val="00F664DE"/>
    <w:rsid w:val="00F66E0C"/>
    <w:rsid w:val="00F66F4C"/>
    <w:rsid w:val="00F72D94"/>
    <w:rsid w:val="00F747EA"/>
    <w:rsid w:val="00F75CA3"/>
    <w:rsid w:val="00F76B77"/>
    <w:rsid w:val="00F77086"/>
    <w:rsid w:val="00F77C85"/>
    <w:rsid w:val="00F80238"/>
    <w:rsid w:val="00F83572"/>
    <w:rsid w:val="00F8357C"/>
    <w:rsid w:val="00F85E4C"/>
    <w:rsid w:val="00F86215"/>
    <w:rsid w:val="00F86688"/>
    <w:rsid w:val="00F8713D"/>
    <w:rsid w:val="00F87ECD"/>
    <w:rsid w:val="00F90B68"/>
    <w:rsid w:val="00F91888"/>
    <w:rsid w:val="00F92686"/>
    <w:rsid w:val="00F93E23"/>
    <w:rsid w:val="00F947AE"/>
    <w:rsid w:val="00F94EF4"/>
    <w:rsid w:val="00FA0A5E"/>
    <w:rsid w:val="00FA1C4A"/>
    <w:rsid w:val="00FA3625"/>
    <w:rsid w:val="00FA5BE1"/>
    <w:rsid w:val="00FA64DA"/>
    <w:rsid w:val="00FA652A"/>
    <w:rsid w:val="00FA6E32"/>
    <w:rsid w:val="00FA7D7E"/>
    <w:rsid w:val="00FB2560"/>
    <w:rsid w:val="00FB4962"/>
    <w:rsid w:val="00FB4C0B"/>
    <w:rsid w:val="00FB5BF5"/>
    <w:rsid w:val="00FB6C47"/>
    <w:rsid w:val="00FB702E"/>
    <w:rsid w:val="00FB7E2B"/>
    <w:rsid w:val="00FC1729"/>
    <w:rsid w:val="00FC21E2"/>
    <w:rsid w:val="00FC223E"/>
    <w:rsid w:val="00FC2995"/>
    <w:rsid w:val="00FC345F"/>
    <w:rsid w:val="00FC4B72"/>
    <w:rsid w:val="00FC4D89"/>
    <w:rsid w:val="00FC5206"/>
    <w:rsid w:val="00FD028C"/>
    <w:rsid w:val="00FD2217"/>
    <w:rsid w:val="00FD5AA1"/>
    <w:rsid w:val="00FD76CC"/>
    <w:rsid w:val="00FE0150"/>
    <w:rsid w:val="00FE097C"/>
    <w:rsid w:val="00FE0CF9"/>
    <w:rsid w:val="00FE2E3B"/>
    <w:rsid w:val="00FE3F1C"/>
    <w:rsid w:val="00FE3F4D"/>
    <w:rsid w:val="00FE45A9"/>
    <w:rsid w:val="00FE4D64"/>
    <w:rsid w:val="00FE5074"/>
    <w:rsid w:val="00FE5DBC"/>
    <w:rsid w:val="00FE6FDC"/>
    <w:rsid w:val="00FE71D7"/>
    <w:rsid w:val="00FF014F"/>
    <w:rsid w:val="00FF03D7"/>
    <w:rsid w:val="00FF6451"/>
    <w:rsid w:val="00FF793B"/>
    <w:rsid w:val="00FF7AB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2">
      <o:colormru v:ext="edit" colors="#ddd,#f8f8f8"/>
      <o:colormenu v:ext="edit" fillcolor="#f8f8f8"/>
    </o:shapedefaults>
    <o:shapelayout v:ext="edit">
      <o:idmap v:ext="edit" data="1"/>
      <o:regrouptable v:ext="edit">
        <o:entry new="1" old="0"/>
        <o:entry new="2" old="0"/>
        <o:entry new="3" old="0"/>
        <o:entry new="4" old="3"/>
        <o:entry new="5" old="3"/>
        <o:entry new="6" old="5"/>
        <o:entry new="7"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sz w:val="22"/>
        <w:szCs w:val="22"/>
        <w:lang w:val="en-AU" w:eastAsia="en-AU" w:bidi="ar-SA"/>
      </w:rPr>
    </w:rPrDefault>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semiHidden="0" w:uiPriority="1" w:qFormat="1"/>
    <w:lsdException w:name="heading 3" w:semiHidden="0" w:uiPriority="1" w:qFormat="1"/>
    <w:lsdException w:name="heading 4" w:semiHidden="0" w:uiPriority="1" w:qFormat="1"/>
    <w:lsdException w:name="heading 5" w:semiHidden="0" w:uiPriority="1" w:qFormat="1"/>
    <w:lsdException w:name="heading 6" w:semiHidden="0" w:qFormat="1"/>
    <w:lsdException w:name="heading 7" w:semiHidden="0" w:qFormat="1"/>
    <w:lsdException w:name="heading 8" w:semiHidden="0" w:qFormat="1"/>
    <w:lsdException w:name="heading 9" w:semiHidden="0" w:uiPriority="1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lsdException w:name="toc 5" w:semiHidden="0"/>
    <w:lsdException w:name="toc 6" w:semiHidden="0"/>
    <w:lsdException w:name="toc 7" w:semiHidden="0"/>
    <w:lsdException w:name="toc 8" w:semiHidden="0"/>
    <w:lsdException w:name="toc 9" w:semiHidden="0"/>
    <w:lsdException w:name="Normal Indent" w:locked="1" w:unhideWhenUsed="1"/>
    <w:lsdException w:name="footnote text" w:locked="1" w:uiPriority="9" w:unhideWhenUsed="1" w:qFormat="1"/>
    <w:lsdException w:name="annotation text" w:locked="1" w:unhideWhenUsed="1"/>
    <w:lsdException w:name="header" w:locked="1" w:unhideWhenUsed="1"/>
    <w:lsdException w:name="footer" w:locked="1" w:unhideWhenUsed="1"/>
    <w:lsdException w:name="index heading" w:locked="1" w:unhideWhenUsed="1"/>
    <w:lsdException w:name="caption" w:semiHidden="0" w:uiPriority="4" w:qFormat="1"/>
    <w:lsdException w:name="table of figures" w:locked="1" w:unhideWhenUsed="1"/>
    <w:lsdException w:name="envelope address" w:locked="1" w:unhideWhenUsed="1"/>
    <w:lsdException w:name="envelope return" w:locked="1" w:unhideWhenUsed="1"/>
    <w:lsdException w:name="footnote reference" w:locked="1" w:uiPriority="9"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iPriority="2" w:unhideWhenUsed="1" w:qFormat="1"/>
    <w:lsdException w:name="List Number" w:locked="1" w:uiPriority="2" w:unhideWhenUsed="1" w:qFormat="1"/>
    <w:lsdException w:name="List 2" w:locked="1" w:unhideWhenUsed="1"/>
    <w:lsdException w:name="List 3" w:locked="1" w:unhideWhenUsed="1"/>
    <w:lsdException w:name="List 4" w:locked="1" w:unhideWhenUsed="1"/>
    <w:lsdException w:name="List 5" w:locked="1" w:unhideWhenUsed="1"/>
    <w:lsdException w:name="List Bullet 2" w:locked="1" w:uiPriority="2" w:unhideWhenUsed="1" w:qFormat="1"/>
    <w:lsdException w:name="List Bullet 3" w:locked="1" w:unhideWhenUsed="1"/>
    <w:lsdException w:name="List Bullet 4" w:locked="1" w:unhideWhenUsed="1"/>
    <w:lsdException w:name="List Bullet 5" w:locked="1" w:unhideWhenUsed="1"/>
    <w:lsdException w:name="List Number 2" w:locked="1" w:uiPriority="2" w:unhideWhenUsed="1" w:qFormat="1"/>
    <w:lsdException w:name="List Number 3" w:locked="1" w:unhideWhenUsed="1"/>
    <w:lsdException w:name="List Number 4" w:locked="1" w:unhideWhenUsed="1"/>
    <w:lsdException w:name="List Number 5" w:locked="1" w:unhideWhenUsed="1"/>
    <w:lsdException w:name="Title" w:uiPriority="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qFormat="1"/>
    <w:lsdException w:name="FollowedHyperlink" w:locked="1" w:unhideWhenUsed="1"/>
    <w:lsdException w:name="Strong" w:semiHidden="0"/>
    <w:lsdException w:name="Emphasis" w:semiHidden="0"/>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lsdException w:name="Table Grid" w:semiHidden="0"/>
    <w:lsdException w:name="Table Theme" w:locked="1"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TOC Heading" w:semiHidden="0" w:uiPriority="19"/>
  </w:latentStyles>
  <w:style w:type="paragraph" w:default="1" w:styleId="Normal">
    <w:name w:val="Normal"/>
    <w:qFormat/>
    <w:rsid w:val="002C6AFC"/>
    <w:pPr>
      <w:spacing w:after="120"/>
    </w:pPr>
    <w:rPr>
      <w:rFonts w:eastAsia="Calibri"/>
      <w:color w:val="000000"/>
    </w:rPr>
  </w:style>
  <w:style w:type="paragraph" w:styleId="Heading1">
    <w:name w:val="heading 1"/>
    <w:basedOn w:val="Normal"/>
    <w:next w:val="Normal"/>
    <w:link w:val="Heading1Char"/>
    <w:uiPriority w:val="1"/>
    <w:qFormat/>
    <w:rsid w:val="002C6AFC"/>
    <w:pPr>
      <w:keepNext/>
      <w:keepLines/>
      <w:pageBreakBefore/>
      <w:numPr>
        <w:numId w:val="10"/>
      </w:numPr>
      <w:tabs>
        <w:tab w:val="left" w:pos="851"/>
      </w:tabs>
      <w:spacing w:after="1080" w:line="480" w:lineRule="exact"/>
      <w:outlineLvl w:val="0"/>
    </w:pPr>
    <w:rPr>
      <w:rFonts w:eastAsiaTheme="majorEastAsia" w:cstheme="majorBidi"/>
      <w:b/>
      <w:bCs/>
      <w:color w:val="41B6E6" w:themeColor="accent1"/>
      <w:sz w:val="44"/>
      <w:szCs w:val="28"/>
    </w:rPr>
  </w:style>
  <w:style w:type="paragraph" w:styleId="Heading2">
    <w:name w:val="heading 2"/>
    <w:basedOn w:val="Normal"/>
    <w:next w:val="Normal"/>
    <w:link w:val="Heading2Char"/>
    <w:uiPriority w:val="1"/>
    <w:qFormat/>
    <w:rsid w:val="002C6AFC"/>
    <w:pPr>
      <w:keepNext/>
      <w:numPr>
        <w:ilvl w:val="1"/>
        <w:numId w:val="10"/>
      </w:numPr>
      <w:tabs>
        <w:tab w:val="left" w:pos="851"/>
      </w:tabs>
      <w:spacing w:before="360" w:after="240"/>
      <w:outlineLvl w:val="1"/>
    </w:pPr>
    <w:rPr>
      <w:rFonts w:eastAsiaTheme="majorEastAsia" w:cstheme="majorBidi"/>
      <w:bCs/>
      <w:color w:val="41B6E6" w:themeColor="accent1"/>
      <w:sz w:val="32"/>
      <w:szCs w:val="26"/>
    </w:rPr>
  </w:style>
  <w:style w:type="paragraph" w:styleId="Heading3">
    <w:name w:val="heading 3"/>
    <w:basedOn w:val="Heading2"/>
    <w:next w:val="Normal"/>
    <w:link w:val="Heading3Char"/>
    <w:uiPriority w:val="1"/>
    <w:qFormat/>
    <w:rsid w:val="002C6AFC"/>
    <w:pPr>
      <w:numPr>
        <w:ilvl w:val="2"/>
      </w:numPr>
      <w:tabs>
        <w:tab w:val="clear" w:pos="851"/>
        <w:tab w:val="left" w:pos="1134"/>
      </w:tabs>
      <w:ind w:left="1134" w:hanging="1134"/>
      <w:outlineLvl w:val="2"/>
    </w:pPr>
    <w:rPr>
      <w:b/>
      <w:caps/>
      <w:color w:val="auto"/>
      <w:sz w:val="26"/>
    </w:rPr>
  </w:style>
  <w:style w:type="paragraph" w:styleId="Heading4">
    <w:name w:val="heading 4"/>
    <w:basedOn w:val="Normal"/>
    <w:next w:val="Normal"/>
    <w:link w:val="Heading4Char"/>
    <w:uiPriority w:val="1"/>
    <w:qFormat/>
    <w:rsid w:val="002C6AFC"/>
    <w:pPr>
      <w:keepNext/>
      <w:keepLines/>
      <w:spacing w:before="240"/>
      <w:outlineLvl w:val="3"/>
    </w:pPr>
    <w:rPr>
      <w:rFonts w:eastAsiaTheme="majorEastAsia" w:cstheme="majorBidi"/>
      <w:b/>
      <w:bCs/>
      <w:iCs/>
      <w:color w:val="41B6E6" w:themeColor="accent1"/>
      <w:spacing w:val="1"/>
      <w:sz w:val="24"/>
    </w:rPr>
  </w:style>
  <w:style w:type="paragraph" w:styleId="Heading5">
    <w:name w:val="heading 5"/>
    <w:basedOn w:val="Normal"/>
    <w:next w:val="Normal"/>
    <w:link w:val="Heading5Char"/>
    <w:uiPriority w:val="1"/>
    <w:qFormat/>
    <w:rsid w:val="002C6AFC"/>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9"/>
    <w:semiHidden/>
    <w:qFormat/>
    <w:rsid w:val="002C6AFC"/>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9"/>
    <w:semiHidden/>
    <w:qFormat/>
    <w:locked/>
    <w:rsid w:val="002C6AFC"/>
    <w:pPr>
      <w:spacing w:before="240" w:after="60"/>
      <w:outlineLvl w:val="6"/>
    </w:pPr>
    <w:rPr>
      <w:rFonts w:asciiTheme="minorHAnsi" w:hAnsiTheme="minorHAnsi" w:cstheme="majorBidi"/>
      <w:sz w:val="24"/>
      <w:szCs w:val="24"/>
    </w:rPr>
  </w:style>
  <w:style w:type="paragraph" w:styleId="Heading8">
    <w:name w:val="heading 8"/>
    <w:basedOn w:val="Normal"/>
    <w:next w:val="Normal"/>
    <w:link w:val="Heading8Char"/>
    <w:uiPriority w:val="99"/>
    <w:semiHidden/>
    <w:qFormat/>
    <w:locked/>
    <w:rsid w:val="002C6AFC"/>
    <w:pPr>
      <w:spacing w:before="240" w:after="60"/>
      <w:outlineLvl w:val="7"/>
    </w:pPr>
    <w:rPr>
      <w:rFonts w:asciiTheme="minorHAnsi" w:hAnsiTheme="minorHAnsi" w:cstheme="majorBidi"/>
      <w:i/>
      <w:iCs/>
      <w:sz w:val="24"/>
      <w:szCs w:val="24"/>
    </w:rPr>
  </w:style>
  <w:style w:type="paragraph" w:styleId="Heading9">
    <w:name w:val="heading 9"/>
    <w:aliases w:val="Appendix Heading 1"/>
    <w:basedOn w:val="AppendixHeading1base"/>
    <w:next w:val="Normal"/>
    <w:link w:val="Heading9Char"/>
    <w:uiPriority w:val="10"/>
    <w:qFormat/>
    <w:locked/>
    <w:rsid w:val="00FA5BE1"/>
    <w:pPr>
      <w:spacing w:after="10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2C6AFC"/>
    <w:rPr>
      <w:rFonts w:eastAsiaTheme="majorEastAsia" w:cstheme="majorBidi"/>
      <w:b/>
      <w:bCs/>
      <w:color w:val="41B6E6" w:themeColor="accent1"/>
      <w:sz w:val="44"/>
      <w:szCs w:val="28"/>
    </w:rPr>
  </w:style>
  <w:style w:type="character" w:customStyle="1" w:styleId="Heading2Char">
    <w:name w:val="Heading 2 Char"/>
    <w:basedOn w:val="DefaultParagraphFont"/>
    <w:link w:val="Heading2"/>
    <w:uiPriority w:val="1"/>
    <w:locked/>
    <w:rsid w:val="002C6AFC"/>
    <w:rPr>
      <w:rFonts w:eastAsiaTheme="majorEastAsia" w:cstheme="majorBidi"/>
      <w:bCs/>
      <w:color w:val="41B6E6" w:themeColor="accent1"/>
      <w:sz w:val="32"/>
      <w:szCs w:val="26"/>
    </w:rPr>
  </w:style>
  <w:style w:type="character" w:customStyle="1" w:styleId="Heading3Char">
    <w:name w:val="Heading 3 Char"/>
    <w:basedOn w:val="DefaultParagraphFont"/>
    <w:link w:val="Heading3"/>
    <w:uiPriority w:val="1"/>
    <w:locked/>
    <w:rsid w:val="002C6AFC"/>
    <w:rPr>
      <w:rFonts w:eastAsiaTheme="majorEastAsia" w:cstheme="majorBidi"/>
      <w:b/>
      <w:bCs/>
      <w:caps/>
      <w:sz w:val="26"/>
      <w:szCs w:val="26"/>
    </w:rPr>
  </w:style>
  <w:style w:type="character" w:customStyle="1" w:styleId="Heading4Char">
    <w:name w:val="Heading 4 Char"/>
    <w:basedOn w:val="DefaultParagraphFont"/>
    <w:link w:val="Heading4"/>
    <w:uiPriority w:val="1"/>
    <w:locked/>
    <w:rsid w:val="002C6AFC"/>
    <w:rPr>
      <w:rFonts w:eastAsiaTheme="majorEastAsia" w:cstheme="majorBidi"/>
      <w:b/>
      <w:bCs/>
      <w:iCs/>
      <w:color w:val="41B6E6" w:themeColor="accent1"/>
      <w:spacing w:val="1"/>
      <w:sz w:val="24"/>
    </w:rPr>
  </w:style>
  <w:style w:type="character" w:customStyle="1" w:styleId="Heading5Char">
    <w:name w:val="Heading 5 Char"/>
    <w:basedOn w:val="DefaultParagraphFont"/>
    <w:link w:val="Heading5"/>
    <w:uiPriority w:val="1"/>
    <w:locked/>
    <w:rsid w:val="002C6AFC"/>
    <w:rPr>
      <w:rFonts w:eastAsiaTheme="majorEastAsia" w:cstheme="majorBidi"/>
      <w:b/>
      <w:color w:val="000000"/>
    </w:rPr>
  </w:style>
  <w:style w:type="character" w:customStyle="1" w:styleId="Heading6Char">
    <w:name w:val="Heading 6 Char"/>
    <w:basedOn w:val="DefaultParagraphFont"/>
    <w:link w:val="Heading6"/>
    <w:uiPriority w:val="99"/>
    <w:semiHidden/>
    <w:locked/>
    <w:rsid w:val="002C6AFC"/>
    <w:rPr>
      <w:rFonts w:eastAsiaTheme="majorEastAsia" w:cstheme="majorBidi"/>
      <w:i/>
      <w:iCs/>
      <w:color w:val="000000"/>
    </w:rPr>
  </w:style>
  <w:style w:type="character" w:customStyle="1" w:styleId="Heading7Char">
    <w:name w:val="Heading 7 Char"/>
    <w:basedOn w:val="DefaultParagraphFont"/>
    <w:link w:val="Heading7"/>
    <w:uiPriority w:val="99"/>
    <w:semiHidden/>
    <w:locked/>
    <w:rsid w:val="002C6AFC"/>
    <w:rPr>
      <w:rFonts w:asciiTheme="minorHAnsi" w:eastAsia="Calibri" w:hAnsiTheme="minorHAnsi" w:cstheme="majorBidi"/>
      <w:color w:val="000000"/>
      <w:sz w:val="24"/>
      <w:szCs w:val="24"/>
    </w:rPr>
  </w:style>
  <w:style w:type="character" w:customStyle="1" w:styleId="Heading8Char">
    <w:name w:val="Heading 8 Char"/>
    <w:basedOn w:val="DefaultParagraphFont"/>
    <w:link w:val="Heading8"/>
    <w:uiPriority w:val="99"/>
    <w:semiHidden/>
    <w:locked/>
    <w:rsid w:val="002C6AFC"/>
    <w:rPr>
      <w:rFonts w:asciiTheme="minorHAnsi" w:eastAsia="Calibri" w:hAnsiTheme="minorHAnsi" w:cstheme="majorBidi"/>
      <w:i/>
      <w:iCs/>
      <w:color w:val="000000"/>
      <w:sz w:val="24"/>
      <w:szCs w:val="24"/>
    </w:rPr>
  </w:style>
  <w:style w:type="character" w:customStyle="1" w:styleId="Heading9Char">
    <w:name w:val="Heading 9 Char"/>
    <w:aliases w:val="Appendix Heading 1 Char"/>
    <w:basedOn w:val="DefaultParagraphFont"/>
    <w:link w:val="Heading9"/>
    <w:uiPriority w:val="10"/>
    <w:locked/>
    <w:rsid w:val="00FA5BE1"/>
    <w:rPr>
      <w:rFonts w:eastAsiaTheme="majorEastAsia" w:cstheme="majorBidi"/>
      <w:b/>
      <w:bCs/>
      <w:color w:val="41B6E6" w:themeColor="accent1"/>
      <w:sz w:val="44"/>
      <w:szCs w:val="28"/>
    </w:rPr>
  </w:style>
  <w:style w:type="paragraph" w:styleId="Header">
    <w:name w:val="header"/>
    <w:basedOn w:val="Normal"/>
    <w:link w:val="HeaderChar"/>
    <w:uiPriority w:val="99"/>
    <w:semiHidden/>
    <w:rsid w:val="002C6AFC"/>
    <w:rPr>
      <w:caps/>
      <w:color w:val="FFFFFF"/>
      <w:spacing w:val="16"/>
    </w:rPr>
  </w:style>
  <w:style w:type="character" w:customStyle="1" w:styleId="HeaderChar">
    <w:name w:val="Header Char"/>
    <w:basedOn w:val="DefaultParagraphFont"/>
    <w:link w:val="Header"/>
    <w:uiPriority w:val="99"/>
    <w:semiHidden/>
    <w:locked/>
    <w:rsid w:val="002C6AFC"/>
    <w:rPr>
      <w:rFonts w:eastAsia="Calibri"/>
      <w:caps/>
      <w:color w:val="FFFFFF"/>
      <w:spacing w:val="16"/>
    </w:rPr>
  </w:style>
  <w:style w:type="paragraph" w:styleId="Footer">
    <w:name w:val="footer"/>
    <w:basedOn w:val="Normal"/>
    <w:link w:val="FooterChar"/>
    <w:uiPriority w:val="99"/>
    <w:rsid w:val="002C6AFC"/>
    <w:pPr>
      <w:tabs>
        <w:tab w:val="center" w:pos="4513"/>
        <w:tab w:val="right" w:pos="9026"/>
      </w:tabs>
      <w:spacing w:after="0" w:line="220" w:lineRule="atLeast"/>
    </w:pPr>
    <w:rPr>
      <w:color w:val="808080"/>
      <w:sz w:val="16"/>
    </w:rPr>
  </w:style>
  <w:style w:type="character" w:customStyle="1" w:styleId="FooterChar">
    <w:name w:val="Footer Char"/>
    <w:basedOn w:val="DefaultParagraphFont"/>
    <w:link w:val="Footer"/>
    <w:uiPriority w:val="99"/>
    <w:locked/>
    <w:rsid w:val="002C6AFC"/>
    <w:rPr>
      <w:rFonts w:eastAsia="Calibri"/>
      <w:color w:val="808080"/>
      <w:sz w:val="16"/>
    </w:rPr>
  </w:style>
  <w:style w:type="paragraph" w:styleId="BalloonText">
    <w:name w:val="Balloon Text"/>
    <w:basedOn w:val="Normal"/>
    <w:link w:val="BalloonTextChar"/>
    <w:uiPriority w:val="99"/>
    <w:semiHidden/>
    <w:locked/>
    <w:rsid w:val="002C6AFC"/>
    <w:pPr>
      <w:spacing w:after="0"/>
    </w:pPr>
    <w:rPr>
      <w:rFonts w:ascii="Tahoma" w:hAnsi="Tahoma" w:cs="Tahoma"/>
      <w:sz w:val="16"/>
      <w:szCs w:val="16"/>
    </w:rPr>
  </w:style>
  <w:style w:type="paragraph" w:styleId="ListBullet">
    <w:name w:val="List Bullet"/>
    <w:basedOn w:val="Normal"/>
    <w:uiPriority w:val="2"/>
    <w:qFormat/>
    <w:rsid w:val="002C6AFC"/>
    <w:pPr>
      <w:numPr>
        <w:numId w:val="6"/>
      </w:numPr>
      <w:tabs>
        <w:tab w:val="left" w:pos="397"/>
      </w:tabs>
      <w:contextualSpacing/>
    </w:pPr>
  </w:style>
  <w:style w:type="paragraph" w:styleId="ListNumber">
    <w:name w:val="List Number"/>
    <w:basedOn w:val="Normal"/>
    <w:uiPriority w:val="2"/>
    <w:qFormat/>
    <w:rsid w:val="002C6AFC"/>
    <w:pPr>
      <w:numPr>
        <w:numId w:val="9"/>
      </w:numPr>
      <w:tabs>
        <w:tab w:val="left" w:pos="397"/>
      </w:tabs>
    </w:pPr>
  </w:style>
  <w:style w:type="paragraph" w:styleId="ListBullet2">
    <w:name w:val="List Bullet 2"/>
    <w:basedOn w:val="ListBullet"/>
    <w:uiPriority w:val="2"/>
    <w:qFormat/>
    <w:rsid w:val="002C6AFC"/>
    <w:pPr>
      <w:numPr>
        <w:ilvl w:val="1"/>
      </w:numPr>
      <w:tabs>
        <w:tab w:val="left" w:pos="794"/>
      </w:tabs>
    </w:pPr>
  </w:style>
  <w:style w:type="paragraph" w:styleId="TOC1">
    <w:name w:val="toc 1"/>
    <w:basedOn w:val="Normal"/>
    <w:next w:val="Normal"/>
    <w:uiPriority w:val="39"/>
    <w:unhideWhenUsed/>
    <w:rsid w:val="002C6AFC"/>
    <w:pPr>
      <w:pBdr>
        <w:top w:val="single" w:sz="4" w:space="1" w:color="41B6E6" w:themeColor="accent1"/>
        <w:left w:val="single" w:sz="4" w:space="4" w:color="41B6E6" w:themeColor="accent1"/>
        <w:bottom w:val="single" w:sz="4" w:space="1" w:color="41B6E6" w:themeColor="accent1"/>
        <w:right w:val="single" w:sz="4" w:space="4" w:color="41B6E6" w:themeColor="accent1"/>
      </w:pBdr>
      <w:shd w:val="clear" w:color="auto" w:fill="41B6E6" w:themeFill="accent1"/>
      <w:tabs>
        <w:tab w:val="left" w:pos="737"/>
        <w:tab w:val="right" w:pos="9639"/>
      </w:tabs>
      <w:spacing w:before="240" w:after="180"/>
    </w:pPr>
    <w:rPr>
      <w:b/>
      <w:noProof/>
      <w:color w:val="FFFFFF"/>
    </w:rPr>
  </w:style>
  <w:style w:type="paragraph" w:styleId="TOC2">
    <w:name w:val="toc 2"/>
    <w:basedOn w:val="Normal"/>
    <w:next w:val="Normal"/>
    <w:uiPriority w:val="39"/>
    <w:unhideWhenUsed/>
    <w:rsid w:val="002C6AFC"/>
    <w:pPr>
      <w:tabs>
        <w:tab w:val="left" w:pos="737"/>
        <w:tab w:val="right" w:leader="dot" w:pos="9639"/>
      </w:tabs>
      <w:spacing w:before="120" w:after="0"/>
      <w:ind w:right="284"/>
    </w:pPr>
    <w:rPr>
      <w:color w:val="41B6E6" w:themeColor="accent1"/>
    </w:rPr>
  </w:style>
  <w:style w:type="table" w:styleId="TableGrid">
    <w:name w:val="Table Grid"/>
    <w:basedOn w:val="TableNormal"/>
    <w:uiPriority w:val="99"/>
    <w:rsid w:val="002C6AFC"/>
    <w:rPr>
      <w:sz w:val="20"/>
      <w:szCs w:val="20"/>
    </w:rPr>
    <w:tblPr>
      <w:tblInd w:w="0" w:type="dxa"/>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CellMar>
        <w:top w:w="0" w:type="dxa"/>
        <w:left w:w="108" w:type="dxa"/>
        <w:bottom w:w="0" w:type="dxa"/>
        <w:right w:w="108" w:type="dxa"/>
      </w:tblCellMar>
    </w:tblPr>
  </w:style>
  <w:style w:type="character" w:styleId="PageNumber">
    <w:name w:val="page number"/>
    <w:basedOn w:val="DefaultParagraphFont"/>
    <w:uiPriority w:val="99"/>
    <w:semiHidden/>
    <w:rsid w:val="002C6AFC"/>
    <w:rPr>
      <w:rFonts w:ascii="Calibri" w:hAnsi="Calibri" w:cs="Times New Roman"/>
      <w:sz w:val="16"/>
    </w:rPr>
  </w:style>
  <w:style w:type="paragraph" w:styleId="TOC3">
    <w:name w:val="toc 3"/>
    <w:basedOn w:val="Normal"/>
    <w:next w:val="Normal"/>
    <w:uiPriority w:val="39"/>
    <w:unhideWhenUsed/>
    <w:rsid w:val="002C6AFC"/>
    <w:pPr>
      <w:tabs>
        <w:tab w:val="left" w:pos="1304"/>
        <w:tab w:val="right" w:leader="dot" w:pos="9639"/>
      </w:tabs>
      <w:spacing w:before="60" w:after="0"/>
      <w:ind w:left="737" w:right="284"/>
    </w:pPr>
    <w:rPr>
      <w:color w:val="41B6E6" w:themeColor="accent1"/>
    </w:rPr>
  </w:style>
  <w:style w:type="paragraph" w:customStyle="1" w:styleId="CoverTitle">
    <w:name w:val="CoverTitle"/>
    <w:basedOn w:val="Normal"/>
    <w:uiPriority w:val="12"/>
    <w:qFormat/>
    <w:rsid w:val="002C6AFC"/>
    <w:pPr>
      <w:spacing w:after="170" w:line="1000" w:lineRule="exact"/>
    </w:pPr>
    <w:rPr>
      <w:rFonts w:eastAsiaTheme="majorEastAsia" w:cstheme="majorBidi"/>
      <w:b/>
      <w:color w:val="41B6E6" w:themeColor="accent1"/>
      <w:spacing w:val="5"/>
      <w:kern w:val="28"/>
      <w:sz w:val="80"/>
      <w:szCs w:val="52"/>
    </w:rPr>
  </w:style>
  <w:style w:type="paragraph" w:customStyle="1" w:styleId="PartTitle">
    <w:name w:val="PartTitle"/>
    <w:basedOn w:val="Normal"/>
    <w:uiPriority w:val="15"/>
    <w:qFormat/>
    <w:rsid w:val="002C6AFC"/>
    <w:pPr>
      <w:tabs>
        <w:tab w:val="left" w:pos="2552"/>
      </w:tabs>
      <w:spacing w:after="0" w:line="1000" w:lineRule="exact"/>
      <w:ind w:left="2552" w:hanging="2552"/>
      <w:outlineLvl w:val="0"/>
    </w:pPr>
    <w:rPr>
      <w:b/>
      <w:color w:val="004B87" w:themeColor="accent2"/>
      <w:sz w:val="80"/>
    </w:rPr>
  </w:style>
  <w:style w:type="paragraph" w:customStyle="1" w:styleId="PartSubtitle">
    <w:name w:val="PartSubtitle"/>
    <w:basedOn w:val="PartTitle"/>
    <w:uiPriority w:val="15"/>
    <w:qFormat/>
    <w:rsid w:val="002C6AFC"/>
    <w:pPr>
      <w:spacing w:before="360" w:after="240" w:line="340" w:lineRule="atLeast"/>
      <w:outlineLvl w:val="9"/>
    </w:pPr>
    <w:rPr>
      <w:b w:val="0"/>
      <w:color w:val="41B6E6" w:themeColor="accent1"/>
      <w:sz w:val="34"/>
    </w:rPr>
  </w:style>
  <w:style w:type="paragraph" w:customStyle="1" w:styleId="ListofFiguresandTablesTOCHeading">
    <w:name w:val="List of Figures and Tables TOC Heading"/>
    <w:basedOn w:val="TOCHeading"/>
    <w:uiPriority w:val="14"/>
    <w:qFormat/>
    <w:rsid w:val="002C6AFC"/>
  </w:style>
  <w:style w:type="paragraph" w:styleId="ListBullet3">
    <w:name w:val="List Bullet 3"/>
    <w:basedOn w:val="ListBullet2"/>
    <w:uiPriority w:val="99"/>
    <w:semiHidden/>
    <w:rsid w:val="002C6AFC"/>
    <w:pPr>
      <w:numPr>
        <w:ilvl w:val="2"/>
      </w:numPr>
      <w:tabs>
        <w:tab w:val="clear" w:pos="794"/>
        <w:tab w:val="left" w:pos="1191"/>
      </w:tabs>
    </w:pPr>
  </w:style>
  <w:style w:type="paragraph" w:styleId="FootnoteText">
    <w:name w:val="footnote text"/>
    <w:basedOn w:val="Normal"/>
    <w:link w:val="FootnoteTextChar"/>
    <w:uiPriority w:val="9"/>
    <w:semiHidden/>
    <w:qFormat/>
    <w:rsid w:val="002C6AFC"/>
    <w:pPr>
      <w:spacing w:after="0" w:line="180" w:lineRule="atLeast"/>
    </w:pPr>
    <w:rPr>
      <w:sz w:val="16"/>
      <w:szCs w:val="20"/>
    </w:rPr>
  </w:style>
  <w:style w:type="character" w:customStyle="1" w:styleId="FootnoteTextChar">
    <w:name w:val="Footnote Text Char"/>
    <w:basedOn w:val="DefaultParagraphFont"/>
    <w:link w:val="FootnoteText"/>
    <w:uiPriority w:val="9"/>
    <w:semiHidden/>
    <w:locked/>
    <w:rsid w:val="002C6AFC"/>
    <w:rPr>
      <w:rFonts w:eastAsia="Calibri"/>
      <w:color w:val="000000"/>
      <w:sz w:val="16"/>
      <w:szCs w:val="20"/>
    </w:rPr>
  </w:style>
  <w:style w:type="paragraph" w:customStyle="1" w:styleId="FootnoteHeading">
    <w:name w:val="Footnote Heading"/>
    <w:basedOn w:val="FootnoteText"/>
    <w:uiPriority w:val="9"/>
    <w:semiHidden/>
    <w:qFormat/>
    <w:rsid w:val="002C6AFC"/>
    <w:rPr>
      <w:b/>
    </w:rPr>
  </w:style>
  <w:style w:type="paragraph" w:customStyle="1" w:styleId="Source">
    <w:name w:val="Source"/>
    <w:basedOn w:val="Normal"/>
    <w:next w:val="Normal"/>
    <w:uiPriority w:val="6"/>
    <w:qFormat/>
    <w:rsid w:val="002C6AFC"/>
    <w:pPr>
      <w:tabs>
        <w:tab w:val="left" w:pos="539"/>
      </w:tabs>
      <w:spacing w:line="180" w:lineRule="atLeast"/>
      <w:ind w:left="624" w:hanging="624"/>
    </w:pPr>
    <w:rPr>
      <w:sz w:val="16"/>
      <w:szCs w:val="20"/>
    </w:rPr>
  </w:style>
  <w:style w:type="table" w:customStyle="1" w:styleId="TableCSIRO">
    <w:name w:val="Table_CSIRO"/>
    <w:uiPriority w:val="99"/>
    <w:rsid w:val="002C6AFC"/>
    <w:rPr>
      <w:sz w:val="20"/>
      <w:szCs w:val="20"/>
    </w:rPr>
    <w:tblPr>
      <w:tblStyleRowBandSize w:val="1"/>
      <w:tblStyleColBandSize w:val="1"/>
      <w:tblInd w:w="113" w:type="dxa"/>
      <w:tblBorders>
        <w:bottom w:val="single" w:sz="12" w:space="0" w:color="000000"/>
      </w:tblBorders>
      <w:tblCellMar>
        <w:top w:w="57" w:type="dxa"/>
        <w:left w:w="85" w:type="dxa"/>
        <w:bottom w:w="57" w:type="dxa"/>
        <w:right w:w="85" w:type="dxa"/>
      </w:tblCellMar>
    </w:tblPr>
    <w:tblStylePr w:type="firstRow">
      <w:tblPr/>
      <w:tcPr>
        <w:shd w:val="clear" w:color="auto" w:fill="000000" w:themeFill="text1"/>
      </w:tcPr>
    </w:tblStylePr>
    <w:tblStylePr w:type="band2Horz">
      <w:tblPr/>
      <w:tcPr>
        <w:tcBorders>
          <w:top w:val="nil"/>
          <w:left w:val="nil"/>
          <w:bottom w:val="nil"/>
          <w:right w:val="nil"/>
          <w:insideH w:val="nil"/>
          <w:insideV w:val="nil"/>
          <w:tl2br w:val="nil"/>
          <w:tr2bl w:val="nil"/>
        </w:tcBorders>
        <w:shd w:val="clear" w:color="auto" w:fill="EDEDED"/>
      </w:tcPr>
    </w:tblStylePr>
  </w:style>
  <w:style w:type="paragraph" w:customStyle="1" w:styleId="TableText">
    <w:name w:val="TableText"/>
    <w:basedOn w:val="Normal"/>
    <w:uiPriority w:val="5"/>
    <w:qFormat/>
    <w:rsid w:val="002C6AFC"/>
    <w:pPr>
      <w:spacing w:after="57" w:line="220" w:lineRule="atLeast"/>
    </w:pPr>
    <w:rPr>
      <w:sz w:val="18"/>
    </w:rPr>
  </w:style>
  <w:style w:type="paragraph" w:customStyle="1" w:styleId="TableBullet">
    <w:name w:val="TableBullet"/>
    <w:basedOn w:val="TableText"/>
    <w:uiPriority w:val="5"/>
    <w:qFormat/>
    <w:rsid w:val="002C6AFC"/>
    <w:pPr>
      <w:numPr>
        <w:numId w:val="8"/>
      </w:numPr>
    </w:pPr>
  </w:style>
  <w:style w:type="paragraph" w:customStyle="1" w:styleId="RowHeading">
    <w:name w:val="RowHeading"/>
    <w:basedOn w:val="TableText"/>
    <w:uiPriority w:val="5"/>
    <w:qFormat/>
    <w:rsid w:val="002C6AFC"/>
    <w:rPr>
      <w:b/>
      <w:color w:val="auto"/>
    </w:rPr>
  </w:style>
  <w:style w:type="paragraph" w:customStyle="1" w:styleId="ColumnHeading">
    <w:name w:val="ColumnHeading"/>
    <w:basedOn w:val="TableText"/>
    <w:uiPriority w:val="5"/>
    <w:qFormat/>
    <w:rsid w:val="002C6AFC"/>
    <w:pPr>
      <w:spacing w:after="0" w:line="180" w:lineRule="atLeast"/>
    </w:pPr>
    <w:rPr>
      <w:b/>
      <w:caps/>
      <w:color w:val="FFFFFF"/>
      <w:sz w:val="16"/>
    </w:rPr>
  </w:style>
  <w:style w:type="paragraph" w:customStyle="1" w:styleId="CoverSubtitle">
    <w:name w:val="CoverSubtitle"/>
    <w:basedOn w:val="Normal"/>
    <w:uiPriority w:val="12"/>
    <w:qFormat/>
    <w:rsid w:val="002C6AFC"/>
    <w:pPr>
      <w:numPr>
        <w:ilvl w:val="1"/>
      </w:numPr>
      <w:spacing w:after="170" w:line="340" w:lineRule="atLeast"/>
    </w:pPr>
    <w:rPr>
      <w:rFonts w:eastAsiaTheme="majorEastAsia" w:cstheme="majorBidi"/>
      <w:iCs/>
      <w:color w:val="004B87" w:themeColor="accent2"/>
      <w:spacing w:val="15"/>
      <w:sz w:val="34"/>
      <w:szCs w:val="24"/>
    </w:rPr>
  </w:style>
  <w:style w:type="paragraph" w:customStyle="1" w:styleId="BackCoverContactHeading">
    <w:name w:val="BackCover ContactHeading"/>
    <w:basedOn w:val="Normal"/>
    <w:uiPriority w:val="18"/>
    <w:qFormat/>
    <w:rsid w:val="002C6AFC"/>
    <w:pPr>
      <w:spacing w:before="360" w:after="60"/>
    </w:pPr>
    <w:rPr>
      <w:caps/>
      <w:sz w:val="18"/>
      <w:szCs w:val="20"/>
    </w:rPr>
  </w:style>
  <w:style w:type="paragraph" w:customStyle="1" w:styleId="BackCoverContactDetails">
    <w:name w:val="BackCover ContactDetails"/>
    <w:basedOn w:val="Normal"/>
    <w:uiPriority w:val="18"/>
    <w:qFormat/>
    <w:rsid w:val="002C6AFC"/>
    <w:pPr>
      <w:tabs>
        <w:tab w:val="left" w:pos="199"/>
      </w:tabs>
      <w:spacing w:after="0"/>
    </w:pPr>
    <w:rPr>
      <w:sz w:val="18"/>
    </w:rPr>
  </w:style>
  <w:style w:type="character" w:customStyle="1" w:styleId="BackCoverContactBold">
    <w:name w:val="BackCover ContactBold"/>
    <w:basedOn w:val="DefaultParagraphFont"/>
    <w:uiPriority w:val="18"/>
    <w:qFormat/>
    <w:rsid w:val="002C6AFC"/>
    <w:rPr>
      <w:rFonts w:cs="Times New Roman"/>
      <w:b/>
    </w:rPr>
  </w:style>
  <w:style w:type="paragraph" w:styleId="TOCHeading">
    <w:name w:val="TOC Heading"/>
    <w:basedOn w:val="Heading1"/>
    <w:next w:val="Normal"/>
    <w:link w:val="TOCHeadingChar"/>
    <w:uiPriority w:val="19"/>
    <w:rsid w:val="002C6AFC"/>
    <w:pPr>
      <w:pageBreakBefore w:val="0"/>
      <w:numPr>
        <w:numId w:val="0"/>
      </w:numPr>
      <w:tabs>
        <w:tab w:val="clear" w:pos="851"/>
      </w:tabs>
      <w:spacing w:before="480" w:after="240"/>
      <w:outlineLvl w:val="1"/>
    </w:pPr>
    <w:rPr>
      <w:bCs w:val="0"/>
    </w:rPr>
  </w:style>
  <w:style w:type="character" w:styleId="Hyperlink">
    <w:name w:val="Hyperlink"/>
    <w:basedOn w:val="DefaultParagraphFont"/>
    <w:uiPriority w:val="99"/>
    <w:qFormat/>
    <w:rsid w:val="002C6AFC"/>
    <w:rPr>
      <w:rFonts w:cs="Times New Roman"/>
      <w:color w:val="41B6E6" w:themeColor="accent1"/>
      <w:u w:val="none"/>
    </w:rPr>
  </w:style>
  <w:style w:type="paragraph" w:styleId="TOC4">
    <w:name w:val="toc 4"/>
    <w:basedOn w:val="Normal"/>
    <w:next w:val="Normal"/>
    <w:autoRedefine/>
    <w:uiPriority w:val="99"/>
    <w:semiHidden/>
    <w:rsid w:val="002C6AFC"/>
    <w:pPr>
      <w:spacing w:after="100"/>
      <w:ind w:left="660"/>
    </w:pPr>
  </w:style>
  <w:style w:type="paragraph" w:styleId="TOC9">
    <w:name w:val="toc 9"/>
    <w:basedOn w:val="Normal"/>
    <w:next w:val="Normal"/>
    <w:autoRedefine/>
    <w:uiPriority w:val="99"/>
    <w:semiHidden/>
    <w:rsid w:val="002C6AFC"/>
    <w:pPr>
      <w:spacing w:after="100"/>
      <w:ind w:left="1760"/>
    </w:pPr>
  </w:style>
  <w:style w:type="character" w:customStyle="1" w:styleId="BalloonTextChar">
    <w:name w:val="Balloon Text Char"/>
    <w:basedOn w:val="DefaultParagraphFont"/>
    <w:link w:val="BalloonText"/>
    <w:uiPriority w:val="99"/>
    <w:semiHidden/>
    <w:rsid w:val="002C6AFC"/>
    <w:rPr>
      <w:rFonts w:ascii="Tahoma" w:eastAsia="Calibri" w:hAnsi="Tahoma" w:cs="Tahoma"/>
      <w:color w:val="000000"/>
      <w:sz w:val="16"/>
      <w:szCs w:val="16"/>
    </w:rPr>
  </w:style>
  <w:style w:type="paragraph" w:styleId="Caption">
    <w:name w:val="caption"/>
    <w:basedOn w:val="Normal"/>
    <w:next w:val="Normal"/>
    <w:link w:val="CaptionChar"/>
    <w:uiPriority w:val="4"/>
    <w:qFormat/>
    <w:rsid w:val="00D94A34"/>
    <w:pPr>
      <w:keepNext/>
      <w:spacing w:before="240" w:after="200"/>
    </w:pPr>
    <w:rPr>
      <w:b/>
      <w:bCs/>
      <w:color w:val="41B6E6" w:themeColor="accent1"/>
      <w:sz w:val="20"/>
      <w:szCs w:val="18"/>
    </w:rPr>
  </w:style>
  <w:style w:type="paragraph" w:customStyle="1" w:styleId="Headerurl">
    <w:name w:val="Header url"/>
    <w:basedOn w:val="Header"/>
    <w:uiPriority w:val="99"/>
    <w:semiHidden/>
    <w:rsid w:val="002C6AFC"/>
    <w:pPr>
      <w:tabs>
        <w:tab w:val="center" w:pos="4153"/>
        <w:tab w:val="right" w:pos="8306"/>
      </w:tabs>
      <w:spacing w:after="0"/>
    </w:pPr>
    <w:rPr>
      <w:b/>
      <w:color w:val="00313C"/>
      <w:szCs w:val="24"/>
    </w:rPr>
  </w:style>
  <w:style w:type="character" w:customStyle="1" w:styleId="PartNumber">
    <w:name w:val="PartNumber"/>
    <w:basedOn w:val="DefaultParagraphFont"/>
    <w:uiPriority w:val="15"/>
    <w:qFormat/>
    <w:rsid w:val="002C6AFC"/>
    <w:rPr>
      <w:rFonts w:cs="Times New Roman"/>
      <w:color w:val="41B6E6" w:themeColor="accent1"/>
    </w:rPr>
  </w:style>
  <w:style w:type="paragraph" w:customStyle="1" w:styleId="Heading1notnumbered">
    <w:name w:val="Heading 1 not numbered"/>
    <w:basedOn w:val="Heading1"/>
    <w:uiPriority w:val="1"/>
    <w:rsid w:val="002C6AFC"/>
    <w:pPr>
      <w:numPr>
        <w:numId w:val="0"/>
      </w:numPr>
    </w:pPr>
  </w:style>
  <w:style w:type="paragraph" w:customStyle="1" w:styleId="Heading3notnumbered">
    <w:name w:val="Heading 3 not numbered"/>
    <w:basedOn w:val="Heading3"/>
    <w:uiPriority w:val="1"/>
    <w:qFormat/>
    <w:rsid w:val="002C6AFC"/>
    <w:pPr>
      <w:numPr>
        <w:ilvl w:val="0"/>
        <w:numId w:val="0"/>
      </w:numPr>
    </w:pPr>
  </w:style>
  <w:style w:type="paragraph" w:customStyle="1" w:styleId="Heading2notnumbered">
    <w:name w:val="Heading 2 not numbered"/>
    <w:basedOn w:val="Heading2"/>
    <w:uiPriority w:val="1"/>
    <w:qFormat/>
    <w:rsid w:val="002C6AFC"/>
    <w:pPr>
      <w:numPr>
        <w:ilvl w:val="0"/>
        <w:numId w:val="0"/>
      </w:numPr>
    </w:pPr>
  </w:style>
  <w:style w:type="paragraph" w:customStyle="1" w:styleId="Heading1noTOC">
    <w:name w:val="Heading 1 no TOC"/>
    <w:basedOn w:val="Heading1notnumbered"/>
    <w:uiPriority w:val="1"/>
    <w:qFormat/>
    <w:rsid w:val="002C6AFC"/>
  </w:style>
  <w:style w:type="character" w:customStyle="1" w:styleId="TOCHeadingChar">
    <w:name w:val="TOC Heading Char"/>
    <w:basedOn w:val="DefaultParagraphFont"/>
    <w:link w:val="TOCHeading"/>
    <w:uiPriority w:val="19"/>
    <w:locked/>
    <w:rsid w:val="002C6AFC"/>
    <w:rPr>
      <w:rFonts w:eastAsiaTheme="majorEastAsia" w:cstheme="majorBidi"/>
      <w:b/>
      <w:color w:val="41B6E6" w:themeColor="accent1"/>
      <w:sz w:val="44"/>
      <w:szCs w:val="28"/>
    </w:rPr>
  </w:style>
  <w:style w:type="paragraph" w:styleId="BlockText">
    <w:name w:val="Block Text"/>
    <w:basedOn w:val="Normal"/>
    <w:uiPriority w:val="99"/>
    <w:semiHidden/>
    <w:locked/>
    <w:rsid w:val="002C6AFC"/>
    <w:pPr>
      <w:ind w:left="1440" w:right="1440"/>
    </w:pPr>
  </w:style>
  <w:style w:type="paragraph" w:styleId="BodyText">
    <w:name w:val="Body Text"/>
    <w:basedOn w:val="Normal"/>
    <w:link w:val="BodyTextChar"/>
    <w:uiPriority w:val="99"/>
    <w:semiHidden/>
    <w:locked/>
    <w:rsid w:val="002C6AFC"/>
  </w:style>
  <w:style w:type="character" w:customStyle="1" w:styleId="BodyTextChar">
    <w:name w:val="Body Text Char"/>
    <w:basedOn w:val="DefaultParagraphFont"/>
    <w:link w:val="BodyText"/>
    <w:uiPriority w:val="99"/>
    <w:semiHidden/>
    <w:locked/>
    <w:rsid w:val="002C6AFC"/>
    <w:rPr>
      <w:rFonts w:eastAsia="Calibri"/>
      <w:color w:val="000000"/>
    </w:rPr>
  </w:style>
  <w:style w:type="paragraph" w:styleId="BodyText2">
    <w:name w:val="Body Text 2"/>
    <w:basedOn w:val="Normal"/>
    <w:link w:val="BodyText2Char"/>
    <w:uiPriority w:val="99"/>
    <w:semiHidden/>
    <w:locked/>
    <w:rsid w:val="002C6AFC"/>
    <w:pPr>
      <w:spacing w:line="480" w:lineRule="auto"/>
    </w:pPr>
  </w:style>
  <w:style w:type="character" w:customStyle="1" w:styleId="BodyText2Char">
    <w:name w:val="Body Text 2 Char"/>
    <w:basedOn w:val="DefaultParagraphFont"/>
    <w:link w:val="BodyText2"/>
    <w:uiPriority w:val="99"/>
    <w:semiHidden/>
    <w:locked/>
    <w:rsid w:val="002C6AFC"/>
    <w:rPr>
      <w:rFonts w:eastAsia="Calibri"/>
      <w:color w:val="000000"/>
    </w:rPr>
  </w:style>
  <w:style w:type="paragraph" w:styleId="BodyText3">
    <w:name w:val="Body Text 3"/>
    <w:basedOn w:val="Normal"/>
    <w:link w:val="BodyText3Char"/>
    <w:uiPriority w:val="99"/>
    <w:semiHidden/>
    <w:locked/>
    <w:rsid w:val="002C6AFC"/>
    <w:rPr>
      <w:sz w:val="16"/>
      <w:szCs w:val="16"/>
    </w:rPr>
  </w:style>
  <w:style w:type="character" w:customStyle="1" w:styleId="BodyText3Char">
    <w:name w:val="Body Text 3 Char"/>
    <w:basedOn w:val="DefaultParagraphFont"/>
    <w:link w:val="BodyText3"/>
    <w:uiPriority w:val="99"/>
    <w:semiHidden/>
    <w:locked/>
    <w:rsid w:val="002C6AFC"/>
    <w:rPr>
      <w:rFonts w:eastAsia="Calibri"/>
      <w:color w:val="000000"/>
      <w:sz w:val="16"/>
      <w:szCs w:val="16"/>
    </w:rPr>
  </w:style>
  <w:style w:type="paragraph" w:styleId="BodyTextFirstIndent">
    <w:name w:val="Body Text First Indent"/>
    <w:basedOn w:val="BodyText"/>
    <w:link w:val="BodyTextFirstIndentChar"/>
    <w:uiPriority w:val="99"/>
    <w:semiHidden/>
    <w:locked/>
    <w:rsid w:val="002C6AFC"/>
    <w:pPr>
      <w:ind w:firstLine="210"/>
    </w:pPr>
  </w:style>
  <w:style w:type="character" w:customStyle="1" w:styleId="BodyTextFirstIndentChar">
    <w:name w:val="Body Text First Indent Char"/>
    <w:basedOn w:val="BodyTextChar"/>
    <w:link w:val="BodyTextFirstIndent"/>
    <w:uiPriority w:val="99"/>
    <w:semiHidden/>
    <w:locked/>
    <w:rsid w:val="002C6AFC"/>
  </w:style>
  <w:style w:type="paragraph" w:styleId="BodyTextIndent">
    <w:name w:val="Body Text Indent"/>
    <w:basedOn w:val="Normal"/>
    <w:link w:val="BodyTextIndentChar"/>
    <w:uiPriority w:val="99"/>
    <w:semiHidden/>
    <w:locked/>
    <w:rsid w:val="002C6AFC"/>
    <w:pPr>
      <w:ind w:left="283"/>
    </w:pPr>
  </w:style>
  <w:style w:type="character" w:customStyle="1" w:styleId="BodyTextIndentChar">
    <w:name w:val="Body Text Indent Char"/>
    <w:basedOn w:val="DefaultParagraphFont"/>
    <w:link w:val="BodyTextIndent"/>
    <w:uiPriority w:val="99"/>
    <w:semiHidden/>
    <w:locked/>
    <w:rsid w:val="002C6AFC"/>
    <w:rPr>
      <w:rFonts w:eastAsia="Calibri"/>
      <w:color w:val="000000"/>
    </w:rPr>
  </w:style>
  <w:style w:type="paragraph" w:styleId="BodyTextFirstIndent2">
    <w:name w:val="Body Text First Indent 2"/>
    <w:basedOn w:val="BodyTextIndent"/>
    <w:link w:val="BodyTextFirstIndent2Char"/>
    <w:uiPriority w:val="99"/>
    <w:semiHidden/>
    <w:locked/>
    <w:rsid w:val="002C6AFC"/>
    <w:pPr>
      <w:ind w:firstLine="210"/>
    </w:pPr>
  </w:style>
  <w:style w:type="character" w:customStyle="1" w:styleId="BodyTextFirstIndent2Char">
    <w:name w:val="Body Text First Indent 2 Char"/>
    <w:basedOn w:val="BodyTextIndentChar"/>
    <w:link w:val="BodyTextFirstIndent2"/>
    <w:uiPriority w:val="99"/>
    <w:semiHidden/>
    <w:locked/>
    <w:rsid w:val="002C6AFC"/>
  </w:style>
  <w:style w:type="paragraph" w:styleId="BodyTextIndent2">
    <w:name w:val="Body Text Indent 2"/>
    <w:basedOn w:val="Normal"/>
    <w:link w:val="BodyTextIndent2Char"/>
    <w:uiPriority w:val="99"/>
    <w:semiHidden/>
    <w:locked/>
    <w:rsid w:val="002C6AFC"/>
    <w:pPr>
      <w:spacing w:line="480" w:lineRule="auto"/>
      <w:ind w:left="283"/>
    </w:pPr>
  </w:style>
  <w:style w:type="character" w:customStyle="1" w:styleId="BodyTextIndent2Char">
    <w:name w:val="Body Text Indent 2 Char"/>
    <w:basedOn w:val="DefaultParagraphFont"/>
    <w:link w:val="BodyTextIndent2"/>
    <w:uiPriority w:val="99"/>
    <w:semiHidden/>
    <w:locked/>
    <w:rsid w:val="002C6AFC"/>
    <w:rPr>
      <w:rFonts w:eastAsia="Calibri"/>
      <w:color w:val="000000"/>
    </w:rPr>
  </w:style>
  <w:style w:type="paragraph" w:styleId="BodyTextIndent3">
    <w:name w:val="Body Text Indent 3"/>
    <w:basedOn w:val="Normal"/>
    <w:link w:val="BodyTextIndent3Char"/>
    <w:uiPriority w:val="99"/>
    <w:semiHidden/>
    <w:locked/>
    <w:rsid w:val="002C6AFC"/>
    <w:pPr>
      <w:ind w:left="283"/>
    </w:pPr>
    <w:rPr>
      <w:sz w:val="16"/>
      <w:szCs w:val="16"/>
    </w:rPr>
  </w:style>
  <w:style w:type="character" w:customStyle="1" w:styleId="BodyTextIndent3Char">
    <w:name w:val="Body Text Indent 3 Char"/>
    <w:basedOn w:val="DefaultParagraphFont"/>
    <w:link w:val="BodyTextIndent3"/>
    <w:uiPriority w:val="99"/>
    <w:semiHidden/>
    <w:locked/>
    <w:rsid w:val="002C6AFC"/>
    <w:rPr>
      <w:rFonts w:eastAsia="Calibri"/>
      <w:color w:val="000000"/>
      <w:sz w:val="16"/>
      <w:szCs w:val="16"/>
    </w:rPr>
  </w:style>
  <w:style w:type="paragraph" w:styleId="Closing">
    <w:name w:val="Closing"/>
    <w:basedOn w:val="Normal"/>
    <w:link w:val="ClosingChar"/>
    <w:uiPriority w:val="99"/>
    <w:semiHidden/>
    <w:locked/>
    <w:rsid w:val="002C6AFC"/>
    <w:pPr>
      <w:ind w:left="4252"/>
    </w:pPr>
  </w:style>
  <w:style w:type="character" w:customStyle="1" w:styleId="ClosingChar">
    <w:name w:val="Closing Char"/>
    <w:basedOn w:val="DefaultParagraphFont"/>
    <w:link w:val="Closing"/>
    <w:uiPriority w:val="99"/>
    <w:semiHidden/>
    <w:locked/>
    <w:rsid w:val="002C6AFC"/>
    <w:rPr>
      <w:rFonts w:eastAsia="Calibri"/>
      <w:color w:val="000000"/>
    </w:rPr>
  </w:style>
  <w:style w:type="paragraph" w:styleId="Date">
    <w:name w:val="Date"/>
    <w:basedOn w:val="Normal"/>
    <w:next w:val="Normal"/>
    <w:link w:val="DateChar"/>
    <w:uiPriority w:val="99"/>
    <w:semiHidden/>
    <w:locked/>
    <w:rsid w:val="002C6AFC"/>
  </w:style>
  <w:style w:type="character" w:customStyle="1" w:styleId="DateChar">
    <w:name w:val="Date Char"/>
    <w:basedOn w:val="DefaultParagraphFont"/>
    <w:link w:val="Date"/>
    <w:uiPriority w:val="99"/>
    <w:semiHidden/>
    <w:locked/>
    <w:rsid w:val="002C6AFC"/>
    <w:rPr>
      <w:rFonts w:eastAsia="Calibri"/>
      <w:color w:val="000000"/>
    </w:rPr>
  </w:style>
  <w:style w:type="paragraph" w:styleId="E-mailSignature">
    <w:name w:val="E-mail Signature"/>
    <w:basedOn w:val="Normal"/>
    <w:link w:val="E-mailSignatureChar"/>
    <w:uiPriority w:val="99"/>
    <w:semiHidden/>
    <w:locked/>
    <w:rsid w:val="002C6AFC"/>
  </w:style>
  <w:style w:type="character" w:customStyle="1" w:styleId="E-mailSignatureChar">
    <w:name w:val="E-mail Signature Char"/>
    <w:basedOn w:val="DefaultParagraphFont"/>
    <w:link w:val="E-mailSignature"/>
    <w:uiPriority w:val="99"/>
    <w:semiHidden/>
    <w:locked/>
    <w:rsid w:val="002C6AFC"/>
    <w:rPr>
      <w:rFonts w:eastAsia="Calibri"/>
      <w:color w:val="000000"/>
    </w:rPr>
  </w:style>
  <w:style w:type="character" w:styleId="Emphasis">
    <w:name w:val="Emphasis"/>
    <w:basedOn w:val="DefaultParagraphFont"/>
    <w:uiPriority w:val="99"/>
    <w:locked/>
    <w:rsid w:val="002C6AFC"/>
    <w:rPr>
      <w:rFonts w:cs="Times New Roman"/>
      <w:i/>
      <w:iCs/>
    </w:rPr>
  </w:style>
  <w:style w:type="paragraph" w:styleId="EnvelopeAddress">
    <w:name w:val="envelope address"/>
    <w:basedOn w:val="Normal"/>
    <w:uiPriority w:val="99"/>
    <w:semiHidden/>
    <w:locked/>
    <w:rsid w:val="002C6AF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semiHidden/>
    <w:locked/>
    <w:rsid w:val="002C6AFC"/>
    <w:rPr>
      <w:rFonts w:ascii="Arial" w:hAnsi="Arial" w:cs="Arial"/>
      <w:sz w:val="20"/>
      <w:szCs w:val="20"/>
    </w:rPr>
  </w:style>
  <w:style w:type="character" w:styleId="FollowedHyperlink">
    <w:name w:val="FollowedHyperlink"/>
    <w:basedOn w:val="DefaultParagraphFont"/>
    <w:uiPriority w:val="99"/>
    <w:semiHidden/>
    <w:locked/>
    <w:rsid w:val="002C6AFC"/>
    <w:rPr>
      <w:rFonts w:cs="Times New Roman"/>
      <w:color w:val="auto"/>
      <w:u w:val="none"/>
    </w:rPr>
  </w:style>
  <w:style w:type="character" w:styleId="FootnoteReference">
    <w:name w:val="footnote reference"/>
    <w:basedOn w:val="DefaultParagraphFont"/>
    <w:uiPriority w:val="9"/>
    <w:semiHidden/>
    <w:locked/>
    <w:rsid w:val="002C6AFC"/>
    <w:rPr>
      <w:rFonts w:cs="Times New Roman"/>
      <w:vertAlign w:val="superscript"/>
    </w:rPr>
  </w:style>
  <w:style w:type="character" w:styleId="HTMLAcronym">
    <w:name w:val="HTML Acronym"/>
    <w:basedOn w:val="DefaultParagraphFont"/>
    <w:uiPriority w:val="99"/>
    <w:semiHidden/>
    <w:locked/>
    <w:rsid w:val="002C6AFC"/>
    <w:rPr>
      <w:rFonts w:cs="Times New Roman"/>
    </w:rPr>
  </w:style>
  <w:style w:type="paragraph" w:styleId="HTMLAddress">
    <w:name w:val="HTML Address"/>
    <w:basedOn w:val="Normal"/>
    <w:link w:val="HTMLAddressChar"/>
    <w:uiPriority w:val="99"/>
    <w:semiHidden/>
    <w:locked/>
    <w:rsid w:val="002C6AFC"/>
    <w:rPr>
      <w:i/>
      <w:iCs/>
    </w:rPr>
  </w:style>
  <w:style w:type="character" w:customStyle="1" w:styleId="HTMLAddressChar">
    <w:name w:val="HTML Address Char"/>
    <w:basedOn w:val="DefaultParagraphFont"/>
    <w:link w:val="HTMLAddress"/>
    <w:uiPriority w:val="99"/>
    <w:semiHidden/>
    <w:locked/>
    <w:rsid w:val="002C6AFC"/>
    <w:rPr>
      <w:rFonts w:eastAsia="Calibri"/>
      <w:i/>
      <w:iCs/>
      <w:color w:val="000000"/>
    </w:rPr>
  </w:style>
  <w:style w:type="character" w:styleId="HTMLCite">
    <w:name w:val="HTML Cite"/>
    <w:basedOn w:val="DefaultParagraphFont"/>
    <w:uiPriority w:val="99"/>
    <w:semiHidden/>
    <w:locked/>
    <w:rsid w:val="002C6AFC"/>
    <w:rPr>
      <w:rFonts w:cs="Times New Roman"/>
      <w:i/>
      <w:iCs/>
    </w:rPr>
  </w:style>
  <w:style w:type="character" w:styleId="HTMLCode">
    <w:name w:val="HTML Code"/>
    <w:basedOn w:val="DefaultParagraphFont"/>
    <w:uiPriority w:val="99"/>
    <w:semiHidden/>
    <w:locked/>
    <w:rsid w:val="002C6AFC"/>
    <w:rPr>
      <w:rFonts w:ascii="Courier New" w:hAnsi="Courier New" w:cs="Courier New"/>
      <w:sz w:val="20"/>
      <w:szCs w:val="20"/>
    </w:rPr>
  </w:style>
  <w:style w:type="character" w:styleId="HTMLDefinition">
    <w:name w:val="HTML Definition"/>
    <w:basedOn w:val="DefaultParagraphFont"/>
    <w:uiPriority w:val="99"/>
    <w:semiHidden/>
    <w:locked/>
    <w:rsid w:val="002C6AFC"/>
    <w:rPr>
      <w:rFonts w:cs="Times New Roman"/>
      <w:i/>
      <w:iCs/>
    </w:rPr>
  </w:style>
  <w:style w:type="character" w:styleId="HTMLKeyboard">
    <w:name w:val="HTML Keyboard"/>
    <w:basedOn w:val="DefaultParagraphFont"/>
    <w:uiPriority w:val="99"/>
    <w:semiHidden/>
    <w:locked/>
    <w:rsid w:val="002C6AFC"/>
    <w:rPr>
      <w:rFonts w:ascii="Courier New" w:hAnsi="Courier New" w:cs="Courier New"/>
      <w:sz w:val="20"/>
      <w:szCs w:val="20"/>
    </w:rPr>
  </w:style>
  <w:style w:type="paragraph" w:styleId="HTMLPreformatted">
    <w:name w:val="HTML Preformatted"/>
    <w:basedOn w:val="Normal"/>
    <w:link w:val="HTMLPreformattedChar"/>
    <w:uiPriority w:val="99"/>
    <w:semiHidden/>
    <w:locked/>
    <w:rsid w:val="002C6AFC"/>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2C6AFC"/>
    <w:rPr>
      <w:rFonts w:ascii="Courier New" w:eastAsia="Calibri" w:hAnsi="Courier New" w:cs="Courier New"/>
      <w:color w:val="000000"/>
      <w:sz w:val="20"/>
      <w:szCs w:val="20"/>
    </w:rPr>
  </w:style>
  <w:style w:type="character" w:styleId="HTMLSample">
    <w:name w:val="HTML Sample"/>
    <w:basedOn w:val="DefaultParagraphFont"/>
    <w:uiPriority w:val="99"/>
    <w:semiHidden/>
    <w:locked/>
    <w:rsid w:val="002C6AFC"/>
    <w:rPr>
      <w:rFonts w:ascii="Courier New" w:hAnsi="Courier New" w:cs="Courier New"/>
    </w:rPr>
  </w:style>
  <w:style w:type="character" w:styleId="HTMLTypewriter">
    <w:name w:val="HTML Typewriter"/>
    <w:basedOn w:val="DefaultParagraphFont"/>
    <w:uiPriority w:val="99"/>
    <w:semiHidden/>
    <w:locked/>
    <w:rsid w:val="002C6AFC"/>
    <w:rPr>
      <w:rFonts w:ascii="Courier New" w:hAnsi="Courier New" w:cs="Courier New"/>
      <w:sz w:val="20"/>
      <w:szCs w:val="20"/>
    </w:rPr>
  </w:style>
  <w:style w:type="character" w:styleId="HTMLVariable">
    <w:name w:val="HTML Variable"/>
    <w:basedOn w:val="DefaultParagraphFont"/>
    <w:uiPriority w:val="99"/>
    <w:semiHidden/>
    <w:locked/>
    <w:rsid w:val="002C6AFC"/>
    <w:rPr>
      <w:rFonts w:cs="Times New Roman"/>
      <w:i/>
      <w:iCs/>
    </w:rPr>
  </w:style>
  <w:style w:type="character" w:styleId="LineNumber">
    <w:name w:val="line number"/>
    <w:basedOn w:val="DefaultParagraphFont"/>
    <w:uiPriority w:val="99"/>
    <w:semiHidden/>
    <w:locked/>
    <w:rsid w:val="002C6AFC"/>
    <w:rPr>
      <w:rFonts w:cs="Times New Roman"/>
    </w:rPr>
  </w:style>
  <w:style w:type="paragraph" w:styleId="List">
    <w:name w:val="List"/>
    <w:basedOn w:val="Normal"/>
    <w:uiPriority w:val="99"/>
    <w:semiHidden/>
    <w:locked/>
    <w:rsid w:val="002C6AFC"/>
    <w:pPr>
      <w:ind w:left="283" w:hanging="283"/>
    </w:pPr>
  </w:style>
  <w:style w:type="paragraph" w:styleId="List2">
    <w:name w:val="List 2"/>
    <w:basedOn w:val="Normal"/>
    <w:uiPriority w:val="99"/>
    <w:semiHidden/>
    <w:locked/>
    <w:rsid w:val="002C6AFC"/>
    <w:pPr>
      <w:ind w:left="566" w:hanging="283"/>
    </w:pPr>
  </w:style>
  <w:style w:type="paragraph" w:styleId="List3">
    <w:name w:val="List 3"/>
    <w:basedOn w:val="Normal"/>
    <w:uiPriority w:val="99"/>
    <w:semiHidden/>
    <w:locked/>
    <w:rsid w:val="002C6AFC"/>
    <w:pPr>
      <w:ind w:left="849" w:hanging="283"/>
    </w:pPr>
  </w:style>
  <w:style w:type="paragraph" w:styleId="List4">
    <w:name w:val="List 4"/>
    <w:basedOn w:val="Normal"/>
    <w:uiPriority w:val="99"/>
    <w:semiHidden/>
    <w:locked/>
    <w:rsid w:val="002C6AFC"/>
    <w:pPr>
      <w:ind w:left="1132" w:hanging="283"/>
    </w:pPr>
  </w:style>
  <w:style w:type="paragraph" w:styleId="List5">
    <w:name w:val="List 5"/>
    <w:basedOn w:val="Normal"/>
    <w:uiPriority w:val="99"/>
    <w:semiHidden/>
    <w:locked/>
    <w:rsid w:val="002C6AFC"/>
    <w:pPr>
      <w:ind w:left="1415" w:hanging="283"/>
    </w:pPr>
  </w:style>
  <w:style w:type="paragraph" w:styleId="ListBullet4">
    <w:name w:val="List Bullet 4"/>
    <w:basedOn w:val="Normal"/>
    <w:uiPriority w:val="99"/>
    <w:semiHidden/>
    <w:locked/>
    <w:rsid w:val="002C6AFC"/>
    <w:pPr>
      <w:numPr>
        <w:numId w:val="1"/>
      </w:numPr>
    </w:pPr>
  </w:style>
  <w:style w:type="paragraph" w:styleId="ListBullet5">
    <w:name w:val="List Bullet 5"/>
    <w:basedOn w:val="Normal"/>
    <w:uiPriority w:val="99"/>
    <w:semiHidden/>
    <w:locked/>
    <w:rsid w:val="002C6AFC"/>
    <w:pPr>
      <w:numPr>
        <w:numId w:val="2"/>
      </w:numPr>
    </w:pPr>
  </w:style>
  <w:style w:type="paragraph" w:styleId="ListContinue">
    <w:name w:val="List Continue"/>
    <w:basedOn w:val="Normal"/>
    <w:uiPriority w:val="99"/>
    <w:semiHidden/>
    <w:locked/>
    <w:rsid w:val="002C6AFC"/>
    <w:pPr>
      <w:ind w:left="283"/>
    </w:pPr>
  </w:style>
  <w:style w:type="paragraph" w:styleId="ListContinue2">
    <w:name w:val="List Continue 2"/>
    <w:basedOn w:val="Normal"/>
    <w:uiPriority w:val="99"/>
    <w:semiHidden/>
    <w:locked/>
    <w:rsid w:val="002C6AFC"/>
    <w:pPr>
      <w:ind w:left="566"/>
    </w:pPr>
  </w:style>
  <w:style w:type="paragraph" w:styleId="ListContinue3">
    <w:name w:val="List Continue 3"/>
    <w:basedOn w:val="Normal"/>
    <w:uiPriority w:val="99"/>
    <w:semiHidden/>
    <w:locked/>
    <w:rsid w:val="002C6AFC"/>
    <w:pPr>
      <w:ind w:left="849"/>
    </w:pPr>
  </w:style>
  <w:style w:type="paragraph" w:styleId="ListContinue4">
    <w:name w:val="List Continue 4"/>
    <w:basedOn w:val="Normal"/>
    <w:uiPriority w:val="99"/>
    <w:semiHidden/>
    <w:locked/>
    <w:rsid w:val="002C6AFC"/>
    <w:pPr>
      <w:ind w:left="1132"/>
    </w:pPr>
  </w:style>
  <w:style w:type="paragraph" w:styleId="ListContinue5">
    <w:name w:val="List Continue 5"/>
    <w:basedOn w:val="Normal"/>
    <w:uiPriority w:val="99"/>
    <w:semiHidden/>
    <w:locked/>
    <w:rsid w:val="002C6AFC"/>
    <w:pPr>
      <w:ind w:left="1415"/>
    </w:pPr>
  </w:style>
  <w:style w:type="paragraph" w:styleId="ListNumber3">
    <w:name w:val="List Number 3"/>
    <w:basedOn w:val="Normal"/>
    <w:uiPriority w:val="99"/>
    <w:semiHidden/>
    <w:locked/>
    <w:rsid w:val="002C6AFC"/>
    <w:pPr>
      <w:numPr>
        <w:numId w:val="3"/>
      </w:numPr>
    </w:pPr>
  </w:style>
  <w:style w:type="paragraph" w:styleId="ListNumber4">
    <w:name w:val="List Number 4"/>
    <w:basedOn w:val="Normal"/>
    <w:uiPriority w:val="99"/>
    <w:semiHidden/>
    <w:locked/>
    <w:rsid w:val="002C6AFC"/>
    <w:pPr>
      <w:numPr>
        <w:numId w:val="4"/>
      </w:numPr>
    </w:pPr>
  </w:style>
  <w:style w:type="paragraph" w:styleId="ListNumber5">
    <w:name w:val="List Number 5"/>
    <w:basedOn w:val="Normal"/>
    <w:uiPriority w:val="99"/>
    <w:semiHidden/>
    <w:locked/>
    <w:rsid w:val="002C6AFC"/>
    <w:pPr>
      <w:numPr>
        <w:numId w:val="5"/>
      </w:numPr>
    </w:pPr>
  </w:style>
  <w:style w:type="paragraph" w:styleId="MessageHeader">
    <w:name w:val="Message Header"/>
    <w:basedOn w:val="Normal"/>
    <w:link w:val="MessageHeaderChar"/>
    <w:uiPriority w:val="99"/>
    <w:semiHidden/>
    <w:locked/>
    <w:rsid w:val="002C6A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locked/>
    <w:rsid w:val="002C6AFC"/>
    <w:rPr>
      <w:rFonts w:ascii="Arial" w:eastAsia="Calibri" w:hAnsi="Arial" w:cs="Arial"/>
      <w:color w:val="000000"/>
      <w:sz w:val="24"/>
      <w:szCs w:val="24"/>
      <w:shd w:val="pct20" w:color="auto" w:fill="auto"/>
    </w:rPr>
  </w:style>
  <w:style w:type="paragraph" w:styleId="NormalWeb">
    <w:name w:val="Normal (Web)"/>
    <w:basedOn w:val="Normal"/>
    <w:uiPriority w:val="99"/>
    <w:semiHidden/>
    <w:locked/>
    <w:rsid w:val="002C6AFC"/>
    <w:rPr>
      <w:rFonts w:ascii="Times New Roman" w:hAnsi="Times New Roman"/>
      <w:sz w:val="24"/>
      <w:szCs w:val="24"/>
    </w:rPr>
  </w:style>
  <w:style w:type="paragraph" w:styleId="NormalIndent">
    <w:name w:val="Normal Indent"/>
    <w:basedOn w:val="Normal"/>
    <w:uiPriority w:val="99"/>
    <w:semiHidden/>
    <w:locked/>
    <w:rsid w:val="002C6AFC"/>
    <w:pPr>
      <w:ind w:left="720"/>
    </w:pPr>
  </w:style>
  <w:style w:type="paragraph" w:styleId="NoteHeading">
    <w:name w:val="Note Heading"/>
    <w:basedOn w:val="Normal"/>
    <w:next w:val="Normal"/>
    <w:link w:val="NoteHeadingChar"/>
    <w:uiPriority w:val="99"/>
    <w:semiHidden/>
    <w:locked/>
    <w:rsid w:val="002C6AFC"/>
  </w:style>
  <w:style w:type="character" w:customStyle="1" w:styleId="NoteHeadingChar">
    <w:name w:val="Note Heading Char"/>
    <w:basedOn w:val="DefaultParagraphFont"/>
    <w:link w:val="NoteHeading"/>
    <w:uiPriority w:val="99"/>
    <w:semiHidden/>
    <w:locked/>
    <w:rsid w:val="002C6AFC"/>
    <w:rPr>
      <w:rFonts w:eastAsia="Calibri"/>
      <w:color w:val="000000"/>
    </w:rPr>
  </w:style>
  <w:style w:type="paragraph" w:styleId="PlainText">
    <w:name w:val="Plain Text"/>
    <w:basedOn w:val="Normal"/>
    <w:link w:val="PlainTextChar"/>
    <w:uiPriority w:val="99"/>
    <w:semiHidden/>
    <w:locked/>
    <w:rsid w:val="002C6AFC"/>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2C6AFC"/>
    <w:rPr>
      <w:rFonts w:ascii="Courier New" w:eastAsia="Calibri" w:hAnsi="Courier New" w:cs="Courier New"/>
      <w:color w:val="000000"/>
      <w:sz w:val="20"/>
      <w:szCs w:val="20"/>
    </w:rPr>
  </w:style>
  <w:style w:type="paragraph" w:styleId="Salutation">
    <w:name w:val="Salutation"/>
    <w:basedOn w:val="Normal"/>
    <w:next w:val="Normal"/>
    <w:link w:val="SalutationChar"/>
    <w:uiPriority w:val="99"/>
    <w:semiHidden/>
    <w:locked/>
    <w:rsid w:val="002C6AFC"/>
  </w:style>
  <w:style w:type="character" w:customStyle="1" w:styleId="SalutationChar">
    <w:name w:val="Salutation Char"/>
    <w:basedOn w:val="DefaultParagraphFont"/>
    <w:link w:val="Salutation"/>
    <w:uiPriority w:val="99"/>
    <w:semiHidden/>
    <w:locked/>
    <w:rsid w:val="002C6AFC"/>
    <w:rPr>
      <w:rFonts w:eastAsia="Calibri"/>
      <w:color w:val="000000"/>
    </w:rPr>
  </w:style>
  <w:style w:type="paragraph" w:styleId="Signature">
    <w:name w:val="Signature"/>
    <w:basedOn w:val="Normal"/>
    <w:link w:val="SignatureChar"/>
    <w:uiPriority w:val="99"/>
    <w:semiHidden/>
    <w:locked/>
    <w:rsid w:val="002C6AFC"/>
    <w:pPr>
      <w:ind w:left="4252"/>
    </w:pPr>
  </w:style>
  <w:style w:type="character" w:customStyle="1" w:styleId="SignatureChar">
    <w:name w:val="Signature Char"/>
    <w:basedOn w:val="DefaultParagraphFont"/>
    <w:link w:val="Signature"/>
    <w:uiPriority w:val="99"/>
    <w:semiHidden/>
    <w:locked/>
    <w:rsid w:val="002C6AFC"/>
    <w:rPr>
      <w:rFonts w:eastAsia="Calibri"/>
      <w:color w:val="000000"/>
    </w:rPr>
  </w:style>
  <w:style w:type="character" w:styleId="Strong">
    <w:name w:val="Strong"/>
    <w:basedOn w:val="DefaultParagraphFont"/>
    <w:uiPriority w:val="99"/>
    <w:semiHidden/>
    <w:locked/>
    <w:rsid w:val="0041302C"/>
    <w:rPr>
      <w:rFonts w:cs="Times New Roman"/>
      <w:b/>
      <w:bCs/>
    </w:rPr>
  </w:style>
  <w:style w:type="table" w:styleId="Table3Deffects1">
    <w:name w:val="Table 3D effects 1"/>
    <w:basedOn w:val="TableNormal"/>
    <w:uiPriority w:val="99"/>
    <w:locked/>
    <w:rsid w:val="002C6AFC"/>
    <w:pPr>
      <w:spacing w:after="120"/>
    </w:pPr>
    <w:rPr>
      <w:rFonts w:eastAsia="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locked/>
    <w:rsid w:val="002C6AFC"/>
    <w:pPr>
      <w:spacing w:after="120"/>
    </w:pPr>
    <w:rPr>
      <w:rFonts w:eastAsia="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locked/>
    <w:rsid w:val="002C6AFC"/>
    <w:pPr>
      <w:spacing w:after="120"/>
    </w:pPr>
    <w:rPr>
      <w:rFonts w:eastAsia="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locked/>
    <w:rsid w:val="002C6AFC"/>
    <w:pPr>
      <w:spacing w:after="120"/>
    </w:pPr>
    <w:rPr>
      <w:rFonts w:eastAsia="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locked/>
    <w:rsid w:val="002C6AFC"/>
    <w:pPr>
      <w:spacing w:after="120"/>
    </w:pPr>
    <w:rPr>
      <w:rFonts w:eastAsia="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locked/>
    <w:rsid w:val="002C6AFC"/>
    <w:pPr>
      <w:spacing w:after="120"/>
    </w:pPr>
    <w:rPr>
      <w:rFonts w:eastAsia="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locked/>
    <w:rsid w:val="002C6AFC"/>
    <w:pPr>
      <w:spacing w:after="120"/>
    </w:pPr>
    <w:rPr>
      <w:rFonts w:eastAsia="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locked/>
    <w:rsid w:val="002C6AFC"/>
    <w:pPr>
      <w:spacing w:after="120"/>
    </w:pPr>
    <w:rPr>
      <w:rFonts w:eastAsia="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locked/>
    <w:rsid w:val="002C6AFC"/>
    <w:pPr>
      <w:spacing w:after="120"/>
    </w:pPr>
    <w:rPr>
      <w:rFonts w:eastAsia="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locked/>
    <w:rsid w:val="002C6AFC"/>
    <w:pPr>
      <w:spacing w:after="120"/>
    </w:pPr>
    <w:rPr>
      <w:rFonts w:eastAsia="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locked/>
    <w:rsid w:val="002C6AFC"/>
    <w:pPr>
      <w:spacing w:after="120"/>
    </w:pPr>
    <w:rPr>
      <w:rFonts w:eastAsia="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locked/>
    <w:rsid w:val="002C6AFC"/>
    <w:pPr>
      <w:spacing w:after="120"/>
    </w:pPr>
    <w:rPr>
      <w:rFonts w:eastAsia="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locked/>
    <w:rsid w:val="002C6AFC"/>
    <w:pPr>
      <w:spacing w:after="120"/>
    </w:pPr>
    <w:rPr>
      <w:rFonts w:eastAsia="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locked/>
    <w:rsid w:val="002C6AFC"/>
    <w:pPr>
      <w:spacing w:after="120"/>
    </w:pPr>
    <w:rPr>
      <w:rFonts w:eastAsia="Times New Roman"/>
      <w:sz w:val="20"/>
      <w:szCs w:val="20"/>
    </w:rPr>
    <w:tblPr>
      <w:tblStyleColBandSize w:val="1"/>
      <w:tblInd w:w="0" w:type="dxa"/>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locked/>
    <w:rsid w:val="002C6AFC"/>
    <w:pPr>
      <w:spacing w:after="120"/>
    </w:pPr>
    <w:rPr>
      <w:rFonts w:eastAsia="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locked/>
    <w:rsid w:val="002C6AFC"/>
    <w:pPr>
      <w:spacing w:after="120"/>
    </w:pPr>
    <w:rPr>
      <w:rFonts w:eastAsia="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locked/>
    <w:rsid w:val="002C6AFC"/>
    <w:pPr>
      <w:spacing w:after="120"/>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TableGrid1">
    <w:name w:val="Table Grid 1"/>
    <w:basedOn w:val="TableNormal"/>
    <w:uiPriority w:val="99"/>
    <w:locked/>
    <w:rsid w:val="002C6AFC"/>
    <w:pPr>
      <w:spacing w:after="120"/>
    </w:pPr>
    <w:rPr>
      <w:rFonts w:eastAsia="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locked/>
    <w:rsid w:val="002C6AFC"/>
    <w:pPr>
      <w:spacing w:after="120"/>
    </w:pPr>
    <w:rPr>
      <w:rFonts w:eastAsia="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locked/>
    <w:rsid w:val="002C6AFC"/>
    <w:pPr>
      <w:spacing w:after="120"/>
    </w:pPr>
    <w:rPr>
      <w:rFonts w:eastAsia="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locked/>
    <w:rsid w:val="002C6AFC"/>
    <w:pPr>
      <w:spacing w:after="120"/>
    </w:pPr>
    <w:rPr>
      <w:rFonts w:eastAsia="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locked/>
    <w:rsid w:val="002C6AFC"/>
    <w:pPr>
      <w:spacing w:after="120"/>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locked/>
    <w:rsid w:val="002C6AFC"/>
    <w:pPr>
      <w:spacing w:after="120"/>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locked/>
    <w:rsid w:val="002C6AFC"/>
    <w:pPr>
      <w:spacing w:after="120"/>
    </w:pPr>
    <w:rPr>
      <w:rFonts w:eastAsia="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locked/>
    <w:rsid w:val="002C6AFC"/>
    <w:pPr>
      <w:spacing w:after="120"/>
    </w:pPr>
    <w:rPr>
      <w:rFonts w:eastAsia="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locked/>
    <w:rsid w:val="002C6AFC"/>
    <w:pPr>
      <w:spacing w:after="120"/>
    </w:pPr>
    <w:rPr>
      <w:rFonts w:eastAsia="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locked/>
    <w:rsid w:val="002C6AFC"/>
    <w:pPr>
      <w:spacing w:after="120"/>
    </w:pPr>
    <w:rPr>
      <w:rFonts w:eastAsia="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locked/>
    <w:rsid w:val="002C6AFC"/>
    <w:pPr>
      <w:spacing w:after="120"/>
    </w:pPr>
    <w:rPr>
      <w:rFonts w:eastAsia="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locked/>
    <w:rsid w:val="002C6AFC"/>
    <w:pPr>
      <w:spacing w:after="120"/>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locked/>
    <w:rsid w:val="002C6AFC"/>
    <w:pPr>
      <w:spacing w:after="120"/>
    </w:pPr>
    <w:rPr>
      <w:rFonts w:eastAsia="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locked/>
    <w:rsid w:val="002C6AFC"/>
    <w:pPr>
      <w:spacing w:after="120"/>
    </w:pPr>
    <w:rPr>
      <w:rFonts w:eastAsia="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locked/>
    <w:rsid w:val="002C6AFC"/>
    <w:pPr>
      <w:spacing w:after="120"/>
    </w:pPr>
    <w:rPr>
      <w:rFonts w:eastAsia="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locked/>
    <w:rsid w:val="002C6AFC"/>
    <w:pPr>
      <w:spacing w:after="120"/>
    </w:pPr>
    <w:rPr>
      <w:rFonts w:eastAsia="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locked/>
    <w:rsid w:val="002C6AFC"/>
    <w:pPr>
      <w:spacing w:after="120"/>
    </w:pPr>
    <w:rPr>
      <w:rFonts w:eastAsia="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locked/>
    <w:rsid w:val="002C6AFC"/>
    <w:pPr>
      <w:spacing w:after="120"/>
    </w:pPr>
    <w:rPr>
      <w:rFonts w:eastAsia="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locked/>
    <w:rsid w:val="002C6AFC"/>
    <w:pPr>
      <w:spacing w:after="120"/>
    </w:pPr>
    <w:rPr>
      <w:rFonts w:eastAsia="Times New Roman"/>
      <w:sz w:val="20"/>
      <w:szCs w:val="20"/>
    </w:rPr>
    <w:tblPr>
      <w:tblInd w:w="0" w:type="dxa"/>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locked/>
    <w:rsid w:val="002C6AFC"/>
    <w:pPr>
      <w:spacing w:after="120"/>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locked/>
    <w:rsid w:val="002C6AFC"/>
    <w:pPr>
      <w:spacing w:after="120"/>
    </w:pPr>
    <w:rPr>
      <w:rFonts w:eastAsia="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locked/>
    <w:rsid w:val="002C6AFC"/>
    <w:pPr>
      <w:spacing w:after="120"/>
    </w:pPr>
    <w:rPr>
      <w:rFonts w:eastAsia="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locked/>
    <w:rsid w:val="002C6AFC"/>
    <w:pPr>
      <w:spacing w:after="12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locked/>
    <w:rsid w:val="002C6AFC"/>
    <w:pPr>
      <w:spacing w:after="120"/>
    </w:pPr>
    <w:rPr>
      <w:rFonts w:eastAsia="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locked/>
    <w:rsid w:val="002C6AFC"/>
    <w:pPr>
      <w:spacing w:after="120"/>
    </w:pPr>
    <w:rPr>
      <w:rFonts w:eastAsia="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locked/>
    <w:rsid w:val="002C6AFC"/>
    <w:pPr>
      <w:spacing w:after="120"/>
    </w:pPr>
    <w:rPr>
      <w:rFonts w:eastAsia="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VersoPageHeading">
    <w:name w:val="Verso Page Heading"/>
    <w:uiPriority w:val="12"/>
    <w:qFormat/>
    <w:rsid w:val="002C6AFC"/>
    <w:pPr>
      <w:spacing w:before="180" w:after="60"/>
    </w:pPr>
    <w:rPr>
      <w:rFonts w:eastAsia="Times New Roman"/>
      <w:bCs/>
      <w:color w:val="41B6E6" w:themeColor="accent1"/>
      <w:sz w:val="24"/>
      <w:szCs w:val="26"/>
      <w:lang w:eastAsia="en-US"/>
    </w:rPr>
  </w:style>
  <w:style w:type="paragraph" w:customStyle="1" w:styleId="BusinessUnitName">
    <w:name w:val="Business Unit Name"/>
    <w:uiPriority w:val="12"/>
    <w:qFormat/>
    <w:rsid w:val="002C6AFC"/>
    <w:rPr>
      <w:b/>
      <w:caps/>
      <w:noProof/>
      <w:color w:val="FFFFFF"/>
      <w:spacing w:val="16"/>
      <w:szCs w:val="24"/>
      <w:lang w:eastAsia="en-US"/>
    </w:rPr>
  </w:style>
  <w:style w:type="character" w:styleId="CommentReference">
    <w:name w:val="annotation reference"/>
    <w:basedOn w:val="DefaultParagraphFont"/>
    <w:uiPriority w:val="99"/>
    <w:semiHidden/>
    <w:locked/>
    <w:rsid w:val="002C6AFC"/>
    <w:rPr>
      <w:rFonts w:cs="Times New Roman"/>
      <w:sz w:val="16"/>
      <w:szCs w:val="16"/>
    </w:rPr>
  </w:style>
  <w:style w:type="paragraph" w:styleId="CommentText">
    <w:name w:val="annotation text"/>
    <w:basedOn w:val="Normal"/>
    <w:link w:val="CommentTextChar"/>
    <w:uiPriority w:val="99"/>
    <w:semiHidden/>
    <w:locked/>
    <w:rsid w:val="002C6AFC"/>
    <w:rPr>
      <w:sz w:val="20"/>
      <w:szCs w:val="20"/>
    </w:rPr>
  </w:style>
  <w:style w:type="character" w:customStyle="1" w:styleId="CommentTextChar">
    <w:name w:val="Comment Text Char"/>
    <w:basedOn w:val="DefaultParagraphFont"/>
    <w:link w:val="CommentText"/>
    <w:uiPriority w:val="99"/>
    <w:semiHidden/>
    <w:rsid w:val="002C6AFC"/>
    <w:rPr>
      <w:rFonts w:eastAsia="Calibri"/>
      <w:color w:val="000000"/>
      <w:sz w:val="20"/>
      <w:szCs w:val="20"/>
    </w:rPr>
  </w:style>
  <w:style w:type="paragraph" w:styleId="CommentSubject">
    <w:name w:val="annotation subject"/>
    <w:basedOn w:val="CommentText"/>
    <w:next w:val="CommentText"/>
    <w:link w:val="CommentSubjectChar"/>
    <w:uiPriority w:val="99"/>
    <w:semiHidden/>
    <w:locked/>
    <w:rsid w:val="002C6AFC"/>
    <w:rPr>
      <w:b/>
      <w:bCs/>
    </w:rPr>
  </w:style>
  <w:style w:type="character" w:customStyle="1" w:styleId="CommentSubjectChar">
    <w:name w:val="Comment Subject Char"/>
    <w:basedOn w:val="CommentTextChar"/>
    <w:link w:val="CommentSubject"/>
    <w:uiPriority w:val="99"/>
    <w:semiHidden/>
    <w:rsid w:val="002C6AFC"/>
    <w:rPr>
      <w:b/>
      <w:bCs/>
    </w:rPr>
  </w:style>
  <w:style w:type="paragraph" w:styleId="DocumentMap">
    <w:name w:val="Document Map"/>
    <w:basedOn w:val="Normal"/>
    <w:link w:val="DocumentMapChar"/>
    <w:uiPriority w:val="99"/>
    <w:semiHidden/>
    <w:locked/>
    <w:rsid w:val="002C6AF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C6AFC"/>
    <w:rPr>
      <w:rFonts w:ascii="Tahoma" w:eastAsia="Calibri" w:hAnsi="Tahoma" w:cs="Tahoma"/>
      <w:color w:val="000000"/>
      <w:sz w:val="20"/>
      <w:szCs w:val="20"/>
      <w:shd w:val="clear" w:color="auto" w:fill="000080"/>
    </w:rPr>
  </w:style>
  <w:style w:type="character" w:styleId="EndnoteReference">
    <w:name w:val="endnote reference"/>
    <w:basedOn w:val="DefaultParagraphFont"/>
    <w:uiPriority w:val="99"/>
    <w:semiHidden/>
    <w:locked/>
    <w:rsid w:val="002C6AFC"/>
    <w:rPr>
      <w:rFonts w:cs="Times New Roman"/>
      <w:vertAlign w:val="superscript"/>
    </w:rPr>
  </w:style>
  <w:style w:type="paragraph" w:styleId="EndnoteText">
    <w:name w:val="endnote text"/>
    <w:basedOn w:val="Normal"/>
    <w:link w:val="EndnoteTextChar"/>
    <w:uiPriority w:val="99"/>
    <w:semiHidden/>
    <w:locked/>
    <w:rsid w:val="002C6AFC"/>
    <w:rPr>
      <w:sz w:val="20"/>
      <w:szCs w:val="20"/>
    </w:rPr>
  </w:style>
  <w:style w:type="character" w:customStyle="1" w:styleId="EndnoteTextChar">
    <w:name w:val="Endnote Text Char"/>
    <w:basedOn w:val="DefaultParagraphFont"/>
    <w:link w:val="EndnoteText"/>
    <w:uiPriority w:val="99"/>
    <w:semiHidden/>
    <w:rsid w:val="002C6AFC"/>
    <w:rPr>
      <w:rFonts w:eastAsia="Calibri"/>
      <w:color w:val="000000"/>
      <w:sz w:val="20"/>
      <w:szCs w:val="20"/>
    </w:rPr>
  </w:style>
  <w:style w:type="paragraph" w:styleId="Index1">
    <w:name w:val="index 1"/>
    <w:basedOn w:val="Normal"/>
    <w:next w:val="Normal"/>
    <w:autoRedefine/>
    <w:uiPriority w:val="99"/>
    <w:semiHidden/>
    <w:locked/>
    <w:rsid w:val="002C6AFC"/>
    <w:pPr>
      <w:ind w:left="220" w:hanging="220"/>
    </w:pPr>
  </w:style>
  <w:style w:type="paragraph" w:styleId="Index2">
    <w:name w:val="index 2"/>
    <w:basedOn w:val="Normal"/>
    <w:next w:val="Normal"/>
    <w:autoRedefine/>
    <w:uiPriority w:val="99"/>
    <w:semiHidden/>
    <w:locked/>
    <w:rsid w:val="002C6AFC"/>
    <w:pPr>
      <w:ind w:left="440" w:hanging="220"/>
    </w:pPr>
  </w:style>
  <w:style w:type="paragraph" w:styleId="Index3">
    <w:name w:val="index 3"/>
    <w:basedOn w:val="Normal"/>
    <w:next w:val="Normal"/>
    <w:autoRedefine/>
    <w:uiPriority w:val="99"/>
    <w:semiHidden/>
    <w:locked/>
    <w:rsid w:val="002C6AFC"/>
    <w:pPr>
      <w:ind w:left="660" w:hanging="220"/>
    </w:pPr>
  </w:style>
  <w:style w:type="paragraph" w:styleId="Index4">
    <w:name w:val="index 4"/>
    <w:basedOn w:val="Normal"/>
    <w:next w:val="Normal"/>
    <w:autoRedefine/>
    <w:uiPriority w:val="99"/>
    <w:semiHidden/>
    <w:locked/>
    <w:rsid w:val="002C6AFC"/>
    <w:pPr>
      <w:ind w:left="880" w:hanging="220"/>
    </w:pPr>
  </w:style>
  <w:style w:type="paragraph" w:styleId="Index5">
    <w:name w:val="index 5"/>
    <w:basedOn w:val="Normal"/>
    <w:next w:val="Normal"/>
    <w:autoRedefine/>
    <w:uiPriority w:val="99"/>
    <w:semiHidden/>
    <w:locked/>
    <w:rsid w:val="002C6AFC"/>
    <w:pPr>
      <w:ind w:left="1100" w:hanging="220"/>
    </w:pPr>
  </w:style>
  <w:style w:type="paragraph" w:styleId="Index6">
    <w:name w:val="index 6"/>
    <w:basedOn w:val="Normal"/>
    <w:next w:val="Normal"/>
    <w:autoRedefine/>
    <w:uiPriority w:val="99"/>
    <w:semiHidden/>
    <w:locked/>
    <w:rsid w:val="002C6AFC"/>
    <w:pPr>
      <w:ind w:left="1320" w:hanging="220"/>
    </w:pPr>
  </w:style>
  <w:style w:type="paragraph" w:styleId="Index7">
    <w:name w:val="index 7"/>
    <w:basedOn w:val="Normal"/>
    <w:next w:val="Normal"/>
    <w:autoRedefine/>
    <w:uiPriority w:val="99"/>
    <w:semiHidden/>
    <w:locked/>
    <w:rsid w:val="002C6AFC"/>
    <w:pPr>
      <w:ind w:left="1540" w:hanging="220"/>
    </w:pPr>
  </w:style>
  <w:style w:type="paragraph" w:styleId="Index8">
    <w:name w:val="index 8"/>
    <w:basedOn w:val="Normal"/>
    <w:next w:val="Normal"/>
    <w:autoRedefine/>
    <w:uiPriority w:val="99"/>
    <w:semiHidden/>
    <w:locked/>
    <w:rsid w:val="002C6AFC"/>
    <w:pPr>
      <w:ind w:left="1760" w:hanging="220"/>
    </w:pPr>
  </w:style>
  <w:style w:type="paragraph" w:styleId="Index9">
    <w:name w:val="index 9"/>
    <w:basedOn w:val="Normal"/>
    <w:next w:val="Normal"/>
    <w:autoRedefine/>
    <w:uiPriority w:val="99"/>
    <w:semiHidden/>
    <w:locked/>
    <w:rsid w:val="002C6AFC"/>
    <w:pPr>
      <w:ind w:left="1980" w:hanging="220"/>
    </w:pPr>
  </w:style>
  <w:style w:type="paragraph" w:styleId="IndexHeading">
    <w:name w:val="index heading"/>
    <w:basedOn w:val="Normal"/>
    <w:next w:val="Index1"/>
    <w:uiPriority w:val="99"/>
    <w:semiHidden/>
    <w:locked/>
    <w:rsid w:val="002C6AFC"/>
    <w:rPr>
      <w:rFonts w:ascii="Arial" w:hAnsi="Arial" w:cs="Arial"/>
      <w:b/>
      <w:bCs/>
    </w:rPr>
  </w:style>
  <w:style w:type="paragraph" w:styleId="MacroText">
    <w:name w:val="macro"/>
    <w:link w:val="MacroTextChar"/>
    <w:uiPriority w:val="99"/>
    <w:semiHidden/>
    <w:locked/>
    <w:rsid w:val="002C6AFC"/>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color w:val="000000"/>
      <w:sz w:val="20"/>
      <w:szCs w:val="20"/>
      <w:lang w:eastAsia="en-US"/>
    </w:rPr>
  </w:style>
  <w:style w:type="character" w:customStyle="1" w:styleId="MacroTextChar">
    <w:name w:val="Macro Text Char"/>
    <w:basedOn w:val="DefaultParagraphFont"/>
    <w:link w:val="MacroText"/>
    <w:uiPriority w:val="99"/>
    <w:semiHidden/>
    <w:rsid w:val="002C6AFC"/>
    <w:rPr>
      <w:rFonts w:ascii="Courier New" w:hAnsi="Courier New" w:cs="Courier New"/>
      <w:color w:val="000000"/>
      <w:sz w:val="20"/>
      <w:szCs w:val="20"/>
      <w:lang w:eastAsia="en-US"/>
    </w:rPr>
  </w:style>
  <w:style w:type="paragraph" w:styleId="TableofAuthorities">
    <w:name w:val="table of authorities"/>
    <w:basedOn w:val="Normal"/>
    <w:next w:val="Normal"/>
    <w:uiPriority w:val="99"/>
    <w:semiHidden/>
    <w:locked/>
    <w:rsid w:val="002C6AFC"/>
    <w:pPr>
      <w:ind w:left="220" w:hanging="220"/>
    </w:pPr>
  </w:style>
  <w:style w:type="paragraph" w:styleId="TableofFigures">
    <w:name w:val="table of figures"/>
    <w:basedOn w:val="Normal"/>
    <w:next w:val="Normal"/>
    <w:uiPriority w:val="99"/>
    <w:locked/>
    <w:rsid w:val="002C6AFC"/>
    <w:pPr>
      <w:tabs>
        <w:tab w:val="right" w:leader="dot" w:pos="9639"/>
      </w:tabs>
      <w:ind w:right="284"/>
    </w:pPr>
  </w:style>
  <w:style w:type="paragraph" w:styleId="TOAHeading">
    <w:name w:val="toa heading"/>
    <w:basedOn w:val="Normal"/>
    <w:next w:val="Normal"/>
    <w:uiPriority w:val="99"/>
    <w:semiHidden/>
    <w:locked/>
    <w:rsid w:val="002C6AFC"/>
    <w:pPr>
      <w:spacing w:before="120"/>
    </w:pPr>
    <w:rPr>
      <w:rFonts w:ascii="Arial" w:hAnsi="Arial" w:cs="Arial"/>
      <w:b/>
      <w:bCs/>
      <w:sz w:val="24"/>
      <w:szCs w:val="24"/>
    </w:rPr>
  </w:style>
  <w:style w:type="paragraph" w:styleId="TOC5">
    <w:name w:val="toc 5"/>
    <w:basedOn w:val="Normal"/>
    <w:next w:val="Normal"/>
    <w:autoRedefine/>
    <w:uiPriority w:val="99"/>
    <w:semiHidden/>
    <w:rsid w:val="002C6AFC"/>
    <w:pPr>
      <w:ind w:left="880"/>
    </w:pPr>
  </w:style>
  <w:style w:type="paragraph" w:styleId="TOC6">
    <w:name w:val="toc 6"/>
    <w:basedOn w:val="Normal"/>
    <w:next w:val="Normal"/>
    <w:autoRedefine/>
    <w:uiPriority w:val="99"/>
    <w:semiHidden/>
    <w:rsid w:val="002C6AFC"/>
    <w:pPr>
      <w:ind w:left="1100"/>
    </w:pPr>
  </w:style>
  <w:style w:type="paragraph" w:styleId="TOC7">
    <w:name w:val="toc 7"/>
    <w:basedOn w:val="Normal"/>
    <w:next w:val="Normal"/>
    <w:autoRedefine/>
    <w:uiPriority w:val="99"/>
    <w:semiHidden/>
    <w:rsid w:val="002C6AFC"/>
    <w:pPr>
      <w:ind w:left="1320"/>
    </w:pPr>
  </w:style>
  <w:style w:type="paragraph" w:styleId="TOC8">
    <w:name w:val="toc 8"/>
    <w:basedOn w:val="Normal"/>
    <w:next w:val="Normal"/>
    <w:autoRedefine/>
    <w:uiPriority w:val="99"/>
    <w:semiHidden/>
    <w:rsid w:val="002C6AFC"/>
    <w:pPr>
      <w:ind w:left="1540"/>
    </w:pPr>
  </w:style>
  <w:style w:type="numbering" w:customStyle="1" w:styleId="TableBullets">
    <w:name w:val="TableBullets"/>
    <w:uiPriority w:val="99"/>
    <w:rsid w:val="002C6AFC"/>
    <w:pPr>
      <w:numPr>
        <w:numId w:val="8"/>
      </w:numPr>
    </w:pPr>
  </w:style>
  <w:style w:type="numbering" w:customStyle="1" w:styleId="Sources">
    <w:name w:val="Sources"/>
    <w:rsid w:val="002C6AFC"/>
    <w:pPr>
      <w:numPr>
        <w:numId w:val="7"/>
      </w:numPr>
    </w:pPr>
  </w:style>
  <w:style w:type="numbering" w:styleId="1ai">
    <w:name w:val="Outline List 1"/>
    <w:basedOn w:val="NoList"/>
    <w:uiPriority w:val="99"/>
    <w:semiHidden/>
    <w:unhideWhenUsed/>
    <w:locked/>
    <w:rsid w:val="002C6AFC"/>
    <w:pPr>
      <w:numPr>
        <w:numId w:val="12"/>
      </w:numPr>
    </w:pPr>
  </w:style>
  <w:style w:type="numbering" w:styleId="111111">
    <w:name w:val="Outline List 2"/>
    <w:basedOn w:val="NoList"/>
    <w:uiPriority w:val="99"/>
    <w:semiHidden/>
    <w:unhideWhenUsed/>
    <w:locked/>
    <w:rsid w:val="002C6AFC"/>
    <w:pPr>
      <w:numPr>
        <w:numId w:val="11"/>
      </w:numPr>
    </w:pPr>
  </w:style>
  <w:style w:type="numbering" w:customStyle="1" w:styleId="Bullets">
    <w:name w:val="Bullets"/>
    <w:rsid w:val="002C6AFC"/>
    <w:pPr>
      <w:numPr>
        <w:numId w:val="6"/>
      </w:numPr>
    </w:pPr>
  </w:style>
  <w:style w:type="numbering" w:customStyle="1" w:styleId="Numbers">
    <w:name w:val="Numbers"/>
    <w:rsid w:val="002C6AFC"/>
    <w:pPr>
      <w:numPr>
        <w:numId w:val="9"/>
      </w:numPr>
    </w:pPr>
  </w:style>
  <w:style w:type="numbering" w:styleId="ArticleSection">
    <w:name w:val="Outline List 3"/>
    <w:basedOn w:val="NoList"/>
    <w:uiPriority w:val="99"/>
    <w:semiHidden/>
    <w:unhideWhenUsed/>
    <w:locked/>
    <w:rsid w:val="002C6AFC"/>
    <w:pPr>
      <w:numPr>
        <w:numId w:val="13"/>
      </w:numPr>
    </w:pPr>
  </w:style>
  <w:style w:type="paragraph" w:customStyle="1" w:styleId="AppendixHeading1base">
    <w:name w:val="Appendix Heading 1 base"/>
    <w:uiPriority w:val="20"/>
    <w:semiHidden/>
    <w:qFormat/>
    <w:rsid w:val="002C6AFC"/>
    <w:pPr>
      <w:keepNext/>
      <w:pageBreakBefore/>
      <w:numPr>
        <w:numId w:val="15"/>
      </w:numPr>
      <w:tabs>
        <w:tab w:val="left" w:pos="2268"/>
      </w:tabs>
    </w:pPr>
    <w:rPr>
      <w:rFonts w:eastAsiaTheme="majorEastAsia" w:cstheme="majorBidi"/>
      <w:b/>
      <w:bCs/>
      <w:color w:val="41B6E6" w:themeColor="accent1"/>
      <w:sz w:val="44"/>
      <w:szCs w:val="28"/>
    </w:rPr>
  </w:style>
  <w:style w:type="paragraph" w:customStyle="1" w:styleId="AppendixHeading2">
    <w:name w:val="Appendix Heading 2"/>
    <w:basedOn w:val="Heading2"/>
    <w:uiPriority w:val="11"/>
    <w:qFormat/>
    <w:rsid w:val="002C6AFC"/>
    <w:pPr>
      <w:numPr>
        <w:numId w:val="15"/>
      </w:numPr>
    </w:pPr>
  </w:style>
  <w:style w:type="paragraph" w:customStyle="1" w:styleId="AppendixHeading3">
    <w:name w:val="Appendix Heading 3"/>
    <w:basedOn w:val="Heading3"/>
    <w:uiPriority w:val="11"/>
    <w:qFormat/>
    <w:rsid w:val="002C6AFC"/>
    <w:pPr>
      <w:numPr>
        <w:numId w:val="15"/>
      </w:numPr>
    </w:pPr>
  </w:style>
  <w:style w:type="paragraph" w:customStyle="1" w:styleId="AppendixHeading4">
    <w:name w:val="Appendix Heading 4"/>
    <w:basedOn w:val="Heading4"/>
    <w:uiPriority w:val="11"/>
    <w:qFormat/>
    <w:rsid w:val="002C6AFC"/>
  </w:style>
  <w:style w:type="paragraph" w:customStyle="1" w:styleId="Equation">
    <w:name w:val="Equation"/>
    <w:basedOn w:val="Normal"/>
    <w:next w:val="Normal"/>
    <w:uiPriority w:val="7"/>
    <w:qFormat/>
    <w:rsid w:val="002C6AFC"/>
    <w:pPr>
      <w:tabs>
        <w:tab w:val="right" w:pos="7938"/>
      </w:tabs>
      <w:spacing w:before="284" w:after="284"/>
      <w:ind w:left="567"/>
    </w:pPr>
    <w:rPr>
      <w:rFonts w:asciiTheme="minorHAnsi" w:eastAsia="Times New Roman" w:hAnsiTheme="minorHAnsi"/>
      <w:color w:val="auto"/>
      <w:szCs w:val="24"/>
      <w:lang w:eastAsia="en-US"/>
    </w:rPr>
  </w:style>
  <w:style w:type="paragraph" w:customStyle="1" w:styleId="Reference">
    <w:name w:val="Reference"/>
    <w:basedOn w:val="Normal"/>
    <w:uiPriority w:val="9"/>
    <w:qFormat/>
    <w:rsid w:val="002C6AFC"/>
    <w:pPr>
      <w:ind w:left="567" w:hanging="567"/>
    </w:pPr>
  </w:style>
  <w:style w:type="paragraph" w:styleId="ListNumber2">
    <w:name w:val="List Number 2"/>
    <w:basedOn w:val="Normal"/>
    <w:uiPriority w:val="2"/>
    <w:qFormat/>
    <w:locked/>
    <w:rsid w:val="002C6AFC"/>
    <w:pPr>
      <w:numPr>
        <w:numId w:val="14"/>
      </w:numPr>
      <w:tabs>
        <w:tab w:val="left" w:pos="794"/>
      </w:tabs>
      <w:contextualSpacing/>
    </w:pPr>
  </w:style>
  <w:style w:type="character" w:customStyle="1" w:styleId="Italics">
    <w:name w:val="Italics"/>
    <w:basedOn w:val="DefaultParagraphFont"/>
    <w:uiPriority w:val="3"/>
    <w:qFormat/>
    <w:rsid w:val="002C6AFC"/>
    <w:rPr>
      <w:i/>
    </w:rPr>
  </w:style>
  <w:style w:type="paragraph" w:styleId="ListParagraph">
    <w:name w:val="List Paragraph"/>
    <w:basedOn w:val="Normal"/>
    <w:uiPriority w:val="99"/>
    <w:qFormat/>
    <w:rsid w:val="002C6AFC"/>
    <w:pPr>
      <w:ind w:left="720"/>
      <w:contextualSpacing/>
    </w:pPr>
  </w:style>
  <w:style w:type="paragraph" w:styleId="Revision">
    <w:name w:val="Revision"/>
    <w:hidden/>
    <w:uiPriority w:val="99"/>
    <w:semiHidden/>
    <w:rsid w:val="002C6AFC"/>
    <w:rPr>
      <w:rFonts w:eastAsia="Calibri"/>
      <w:color w:val="000000"/>
    </w:rPr>
  </w:style>
  <w:style w:type="character" w:customStyle="1" w:styleId="ReferencetextChar">
    <w:name w:val="Reference text Char"/>
    <w:link w:val="Referencetext"/>
    <w:uiPriority w:val="99"/>
    <w:locked/>
    <w:rsid w:val="002C6AFC"/>
    <w:rPr>
      <w:rFonts w:ascii="Arial" w:eastAsia="MS Mincho" w:hAnsi="Arial"/>
      <w:sz w:val="16"/>
      <w:lang w:eastAsia="ja-JP"/>
    </w:rPr>
  </w:style>
  <w:style w:type="paragraph" w:customStyle="1" w:styleId="Referencetext">
    <w:name w:val="Reference text"/>
    <w:basedOn w:val="Normal"/>
    <w:link w:val="ReferencetextChar"/>
    <w:uiPriority w:val="99"/>
    <w:rsid w:val="002C6AFC"/>
    <w:pPr>
      <w:spacing w:after="60" w:line="276" w:lineRule="auto"/>
      <w:ind w:left="425" w:hanging="425"/>
    </w:pPr>
    <w:rPr>
      <w:rFonts w:ascii="Arial" w:eastAsia="MS Mincho" w:hAnsi="Arial"/>
      <w:color w:val="auto"/>
      <w:sz w:val="16"/>
      <w:lang w:eastAsia="ja-JP"/>
    </w:rPr>
  </w:style>
  <w:style w:type="paragraph" w:customStyle="1" w:styleId="TableLeft">
    <w:name w:val="Table Left"/>
    <w:basedOn w:val="BodyText"/>
    <w:uiPriority w:val="2"/>
    <w:qFormat/>
    <w:rsid w:val="002C6AFC"/>
    <w:pPr>
      <w:spacing w:after="200" w:line="240" w:lineRule="atLeast"/>
    </w:pPr>
    <w:rPr>
      <w:rFonts w:ascii="Arial" w:eastAsia="MS Mincho" w:hAnsi="Arial" w:cstheme="minorBidi"/>
      <w:color w:val="auto"/>
      <w:sz w:val="16"/>
      <w:szCs w:val="24"/>
      <w:lang w:eastAsia="ja-JP"/>
    </w:rPr>
  </w:style>
  <w:style w:type="paragraph" w:styleId="Title">
    <w:name w:val="Title"/>
    <w:basedOn w:val="Normal"/>
    <w:next w:val="Normal"/>
    <w:link w:val="TitleChar"/>
    <w:semiHidden/>
    <w:qFormat/>
    <w:rsid w:val="002C6AFC"/>
    <w:pPr>
      <w:pBdr>
        <w:bottom w:val="single" w:sz="8" w:space="4" w:color="41B6E6" w:themeColor="accent1"/>
      </w:pBdr>
      <w:spacing w:after="300" w:line="276" w:lineRule="auto"/>
      <w:contextualSpacing/>
    </w:pPr>
    <w:rPr>
      <w:rFonts w:asciiTheme="majorHAnsi" w:eastAsiaTheme="majorEastAsia" w:hAnsiTheme="majorHAnsi" w:cstheme="majorBidi"/>
      <w:color w:val="000000" w:themeColor="text2" w:themeShade="BF"/>
      <w:spacing w:val="5"/>
      <w:kern w:val="28"/>
      <w:sz w:val="52"/>
      <w:szCs w:val="52"/>
      <w:lang w:eastAsia="en-US"/>
    </w:rPr>
  </w:style>
  <w:style w:type="character" w:customStyle="1" w:styleId="TitleChar">
    <w:name w:val="Title Char"/>
    <w:basedOn w:val="DefaultParagraphFont"/>
    <w:link w:val="Title"/>
    <w:semiHidden/>
    <w:rsid w:val="002C6AFC"/>
    <w:rPr>
      <w:rFonts w:asciiTheme="majorHAnsi" w:eastAsiaTheme="majorEastAsia" w:hAnsiTheme="majorHAnsi" w:cstheme="majorBidi"/>
      <w:color w:val="000000" w:themeColor="text2" w:themeShade="BF"/>
      <w:spacing w:val="5"/>
      <w:kern w:val="28"/>
      <w:sz w:val="52"/>
      <w:szCs w:val="52"/>
      <w:lang w:eastAsia="en-US"/>
    </w:rPr>
  </w:style>
  <w:style w:type="character" w:customStyle="1" w:styleId="CaptionChar">
    <w:name w:val="Caption Char"/>
    <w:basedOn w:val="DefaultParagraphFont"/>
    <w:link w:val="Caption"/>
    <w:uiPriority w:val="4"/>
    <w:rsid w:val="002C6AFC"/>
    <w:rPr>
      <w:rFonts w:eastAsia="Calibri"/>
      <w:b/>
      <w:bCs/>
      <w:color w:val="41B6E6" w:themeColor="accent1"/>
      <w:sz w:val="20"/>
      <w:szCs w:val="18"/>
    </w:rPr>
  </w:style>
  <w:style w:type="paragraph" w:customStyle="1" w:styleId="Captionwithnote">
    <w:name w:val="Caption (with note)"/>
    <w:basedOn w:val="Caption"/>
    <w:qFormat/>
    <w:rsid w:val="00D94A34"/>
    <w:pPr>
      <w:keepNext w:val="0"/>
      <w:spacing w:after="0"/>
    </w:pPr>
  </w:style>
  <w:style w:type="paragraph" w:customStyle="1" w:styleId="Captionnote">
    <w:name w:val="Caption note"/>
    <w:basedOn w:val="Caption"/>
    <w:qFormat/>
    <w:rsid w:val="00D94A34"/>
    <w:pPr>
      <w:keepNext w:val="0"/>
      <w:spacing w:before="0" w:after="240"/>
    </w:pPr>
    <w:rPr>
      <w:b w:val="0"/>
    </w:rPr>
  </w:style>
</w:styles>
</file>

<file path=word/webSettings.xml><?xml version="1.0" encoding="utf-8"?>
<w:webSettings xmlns:r="http://schemas.openxmlformats.org/officeDocument/2006/relationships" xmlns:w="http://schemas.openxmlformats.org/wordprocessingml/2006/main">
  <w:divs>
    <w:div w:id="822088071">
      <w:bodyDiv w:val="1"/>
      <w:marLeft w:val="0"/>
      <w:marRight w:val="0"/>
      <w:marTop w:val="0"/>
      <w:marBottom w:val="0"/>
      <w:divBdr>
        <w:top w:val="none" w:sz="0" w:space="0" w:color="auto"/>
        <w:left w:val="none" w:sz="0" w:space="0" w:color="auto"/>
        <w:bottom w:val="none" w:sz="0" w:space="0" w:color="auto"/>
        <w:right w:val="none" w:sz="0" w:space="0" w:color="auto"/>
      </w:divBdr>
      <w:divsChild>
        <w:div w:id="1925801358">
          <w:marLeft w:val="0"/>
          <w:marRight w:val="0"/>
          <w:marTop w:val="0"/>
          <w:marBottom w:val="0"/>
          <w:divBdr>
            <w:top w:val="none" w:sz="0" w:space="0" w:color="auto"/>
            <w:left w:val="none" w:sz="0" w:space="0" w:color="auto"/>
            <w:bottom w:val="none" w:sz="0" w:space="0" w:color="auto"/>
            <w:right w:val="none" w:sz="0" w:space="0" w:color="auto"/>
          </w:divBdr>
          <w:divsChild>
            <w:div w:id="2133863100">
              <w:marLeft w:val="0"/>
              <w:marRight w:val="0"/>
              <w:marTop w:val="0"/>
              <w:marBottom w:val="0"/>
              <w:divBdr>
                <w:top w:val="none" w:sz="0" w:space="0" w:color="auto"/>
                <w:left w:val="none" w:sz="0" w:space="0" w:color="auto"/>
                <w:bottom w:val="none" w:sz="0" w:space="0" w:color="auto"/>
                <w:right w:val="none" w:sz="0" w:space="0" w:color="auto"/>
              </w:divBdr>
              <w:divsChild>
                <w:div w:id="1500735515">
                  <w:marLeft w:val="0"/>
                  <w:marRight w:val="0"/>
                  <w:marTop w:val="0"/>
                  <w:marBottom w:val="0"/>
                  <w:divBdr>
                    <w:top w:val="none" w:sz="0" w:space="0" w:color="auto"/>
                    <w:left w:val="none" w:sz="0" w:space="0" w:color="auto"/>
                    <w:bottom w:val="none" w:sz="0" w:space="0" w:color="auto"/>
                    <w:right w:val="none" w:sz="0" w:space="0" w:color="auto"/>
                  </w:divBdr>
                  <w:divsChild>
                    <w:div w:id="52387202">
                      <w:marLeft w:val="0"/>
                      <w:marRight w:val="0"/>
                      <w:marTop w:val="0"/>
                      <w:marBottom w:val="0"/>
                      <w:divBdr>
                        <w:top w:val="none" w:sz="0" w:space="0" w:color="auto"/>
                        <w:left w:val="none" w:sz="0" w:space="0" w:color="auto"/>
                        <w:bottom w:val="none" w:sz="0" w:space="0" w:color="auto"/>
                        <w:right w:val="none" w:sz="0" w:space="0" w:color="auto"/>
                      </w:divBdr>
                      <w:divsChild>
                        <w:div w:id="1969971724">
                          <w:marLeft w:val="0"/>
                          <w:marRight w:val="0"/>
                          <w:marTop w:val="0"/>
                          <w:marBottom w:val="0"/>
                          <w:divBdr>
                            <w:top w:val="none" w:sz="0" w:space="0" w:color="auto"/>
                            <w:left w:val="none" w:sz="0" w:space="0" w:color="auto"/>
                            <w:bottom w:val="none" w:sz="0" w:space="0" w:color="auto"/>
                            <w:right w:val="none" w:sz="0" w:space="0" w:color="auto"/>
                          </w:divBdr>
                          <w:divsChild>
                            <w:div w:id="98651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068023">
      <w:bodyDiv w:val="1"/>
      <w:marLeft w:val="0"/>
      <w:marRight w:val="0"/>
      <w:marTop w:val="0"/>
      <w:marBottom w:val="0"/>
      <w:divBdr>
        <w:top w:val="none" w:sz="0" w:space="0" w:color="auto"/>
        <w:left w:val="none" w:sz="0" w:space="0" w:color="auto"/>
        <w:bottom w:val="none" w:sz="0" w:space="0" w:color="auto"/>
        <w:right w:val="none" w:sz="0" w:space="0" w:color="auto"/>
      </w:divBdr>
    </w:div>
    <w:div w:id="1340695421">
      <w:bodyDiv w:val="1"/>
      <w:marLeft w:val="0"/>
      <w:marRight w:val="0"/>
      <w:marTop w:val="0"/>
      <w:marBottom w:val="0"/>
      <w:divBdr>
        <w:top w:val="none" w:sz="0" w:space="0" w:color="auto"/>
        <w:left w:val="none" w:sz="0" w:space="0" w:color="auto"/>
        <w:bottom w:val="none" w:sz="0" w:space="0" w:color="auto"/>
        <w:right w:val="none" w:sz="0" w:space="0" w:color="auto"/>
      </w:divBdr>
      <w:divsChild>
        <w:div w:id="1118069048">
          <w:marLeft w:val="0"/>
          <w:marRight w:val="0"/>
          <w:marTop w:val="0"/>
          <w:marBottom w:val="0"/>
          <w:divBdr>
            <w:top w:val="none" w:sz="0" w:space="0" w:color="auto"/>
            <w:left w:val="none" w:sz="0" w:space="0" w:color="auto"/>
            <w:bottom w:val="none" w:sz="0" w:space="0" w:color="auto"/>
            <w:right w:val="none" w:sz="0" w:space="0" w:color="auto"/>
          </w:divBdr>
          <w:divsChild>
            <w:div w:id="846752430">
              <w:marLeft w:val="0"/>
              <w:marRight w:val="0"/>
              <w:marTop w:val="0"/>
              <w:marBottom w:val="0"/>
              <w:divBdr>
                <w:top w:val="none" w:sz="0" w:space="0" w:color="auto"/>
                <w:left w:val="none" w:sz="0" w:space="0" w:color="auto"/>
                <w:bottom w:val="none" w:sz="0" w:space="0" w:color="auto"/>
                <w:right w:val="none" w:sz="0" w:space="0" w:color="auto"/>
              </w:divBdr>
              <w:divsChild>
                <w:div w:id="1009143688">
                  <w:marLeft w:val="0"/>
                  <w:marRight w:val="0"/>
                  <w:marTop w:val="0"/>
                  <w:marBottom w:val="0"/>
                  <w:divBdr>
                    <w:top w:val="none" w:sz="0" w:space="0" w:color="auto"/>
                    <w:left w:val="none" w:sz="0" w:space="0" w:color="auto"/>
                    <w:bottom w:val="none" w:sz="0" w:space="0" w:color="auto"/>
                    <w:right w:val="none" w:sz="0" w:space="0" w:color="auto"/>
                  </w:divBdr>
                  <w:divsChild>
                    <w:div w:id="1150557064">
                      <w:marLeft w:val="0"/>
                      <w:marRight w:val="0"/>
                      <w:marTop w:val="0"/>
                      <w:marBottom w:val="0"/>
                      <w:divBdr>
                        <w:top w:val="none" w:sz="0" w:space="0" w:color="auto"/>
                        <w:left w:val="none" w:sz="0" w:space="0" w:color="auto"/>
                        <w:bottom w:val="none" w:sz="0" w:space="0" w:color="auto"/>
                        <w:right w:val="none" w:sz="0" w:space="0" w:color="auto"/>
                      </w:divBdr>
                      <w:divsChild>
                        <w:div w:id="318192579">
                          <w:marLeft w:val="0"/>
                          <w:marRight w:val="0"/>
                          <w:marTop w:val="0"/>
                          <w:marBottom w:val="0"/>
                          <w:divBdr>
                            <w:top w:val="none" w:sz="0" w:space="0" w:color="auto"/>
                            <w:left w:val="none" w:sz="0" w:space="0" w:color="auto"/>
                            <w:bottom w:val="none" w:sz="0" w:space="0" w:color="auto"/>
                            <w:right w:val="none" w:sz="0" w:space="0" w:color="auto"/>
                          </w:divBdr>
                          <w:divsChild>
                            <w:div w:id="11229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498\AppData\Roaming\Microsoft\Templates\GARA-reporting-template-v03.dotx" TargetMode="External"/></Relationships>
</file>

<file path=word/theme/theme1.xml><?xml version="1.0" encoding="utf-8"?>
<a:theme xmlns:a="http://schemas.openxmlformats.org/drawingml/2006/main" name="Office Theme">
  <a:themeElements>
    <a:clrScheme name="CSIRO Blue">
      <a:dk1>
        <a:sysClr val="windowText" lastClr="000000"/>
      </a:dk1>
      <a:lt1>
        <a:srgbClr val="FBFEFF"/>
      </a:lt1>
      <a:dk2>
        <a:srgbClr val="000000"/>
      </a:dk2>
      <a:lt2>
        <a:srgbClr val="FBFEFF"/>
      </a:lt2>
      <a:accent1>
        <a:srgbClr val="41B6E6"/>
      </a:accent1>
      <a:accent2>
        <a:srgbClr val="004B87"/>
      </a:accent2>
      <a:accent3>
        <a:srgbClr val="78BE20"/>
      </a:accent3>
      <a:accent4>
        <a:srgbClr val="4A7729"/>
      </a:accent4>
      <a:accent5>
        <a:srgbClr val="00A9CE"/>
      </a:accent5>
      <a:accent6>
        <a:srgbClr val="00313C"/>
      </a:accent6>
      <a:hlink>
        <a:srgbClr val="9FAEE5"/>
      </a:hlink>
      <a:folHlink>
        <a:srgbClr val="1E22A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4E10570903B4891FC3FB1B022A22B" ma:contentTypeVersion="7" ma:contentTypeDescription="Create a new document." ma:contentTypeScope="" ma:versionID="12f1f3a337556ab7d26ad62e7b6e7a87">
  <xsd:schema xmlns:xsd="http://www.w3.org/2001/XMLSchema" xmlns:xs="http://www.w3.org/2001/XMLSchema" xmlns:p="http://schemas.microsoft.com/office/2006/metadata/properties" xmlns:ns1="http://schemas.microsoft.com/sharepoint/v3" xmlns:ns2="1eb876b5-eb9d-403a-abb6-1b48262b2cac" xmlns:ns3="http://schemas.microsoft.com/sharepoint/v4" targetNamespace="http://schemas.microsoft.com/office/2006/metadata/properties" ma:root="true" ma:fieldsID="c4f57fa2ec23177be709adaddec997f0" ns1:_="" ns2:_="" ns3:_="">
    <xsd:import namespace="http://schemas.microsoft.com/sharepoint/v3"/>
    <xsd:import namespace="1eb876b5-eb9d-403a-abb6-1b48262b2cac"/>
    <xsd:import namespace="http://schemas.microsoft.com/sharepoint/v4"/>
    <xsd:element name="properties">
      <xsd:complexType>
        <xsd:sequence>
          <xsd:element name="documentManagement">
            <xsd:complexType>
              <xsd:all>
                <xsd:element ref="ns2:Notes0"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9" nillable="true" ma:displayName="E-Mail Sender" ma:hidden="true" ma:internalName="EmailSender">
      <xsd:simpleType>
        <xsd:restriction base="dms:Note">
          <xsd:maxLength value="255"/>
        </xsd:restriction>
      </xsd:simpleType>
    </xsd:element>
    <xsd:element name="EmailTo" ma:index="10" nillable="true" ma:displayName="E-Mail To" ma:hidden="true" ma:internalName="EmailTo">
      <xsd:simpleType>
        <xsd:restriction base="dms:Note">
          <xsd:maxLength value="255"/>
        </xsd:restriction>
      </xsd:simpleType>
    </xsd:element>
    <xsd:element name="EmailCc" ma:index="11" nillable="true" ma:displayName="E-Mail Cc" ma:hidden="true" ma:internalName="EmailCc">
      <xsd:simpleType>
        <xsd:restriction base="dms:Note">
          <xsd:maxLength value="255"/>
        </xsd:restriction>
      </xsd:simpleType>
    </xsd:element>
    <xsd:element name="EmailFrom" ma:index="12" nillable="true" ma:displayName="E-Mail From" ma:hidden="true" ma:internalName="EmailFrom">
      <xsd:simpleType>
        <xsd:restriction base="dms:Text"/>
      </xsd:simpleType>
    </xsd:element>
    <xsd:element name="EmailSubject" ma:index="13"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876b5-eb9d-403a-abb6-1b48262b2cac"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4" nillable="true" ma:displayName="E-Mail Headers" ma:hidden="true" ma:internalName="EmailHead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Notes0 xmlns="1eb876b5-eb9d-403a-abb6-1b48262b2cac">30.1 bks&gt; update this file for final final PDF</Notes0>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B3BB8-F9DD-4851-9276-F4A23CD6B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b876b5-eb9d-403a-abb6-1b48262b2ca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43DAD2-AA47-443C-8EBF-2C8105A4FAC0}">
  <ds:schemaRefs>
    <ds:schemaRef ds:uri="http://schemas.microsoft.com/sharepoint/v3/contenttype/forms"/>
  </ds:schemaRefs>
</ds:datastoreItem>
</file>

<file path=customXml/itemProps3.xml><?xml version="1.0" encoding="utf-8"?>
<ds:datastoreItem xmlns:ds="http://schemas.openxmlformats.org/officeDocument/2006/customXml" ds:itemID="{20F488D2-E7D2-4ABF-82AE-7E9A10009CB6}">
  <ds:schemaRefs>
    <ds:schemaRef ds:uri="http://schemas.microsoft.com/office/2006/metadata/properties"/>
    <ds:schemaRef ds:uri="1eb876b5-eb9d-403a-abb6-1b48262b2cac"/>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8C21F876-BD98-4924-BFB1-AA2150AF9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GARA-reporting-template-v03.dotx</Template>
  <TotalTime>2</TotalTime>
  <Pages>9</Pages>
  <Words>4048</Words>
  <Characters>23080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Appendix A: Assessment products</vt:lpstr>
    </vt:vector>
  </TitlesOfParts>
  <Company>CSIRO</Company>
  <LinksUpToDate>false</LinksUpToDate>
  <CharactersWithSpaces>27074</CharactersWithSpaces>
  <SharedDoc>false</SharedDoc>
  <HLinks>
    <vt:vector size="84" baseType="variant">
      <vt:variant>
        <vt:i4>1835069</vt:i4>
      </vt:variant>
      <vt:variant>
        <vt:i4>86</vt:i4>
      </vt:variant>
      <vt:variant>
        <vt:i4>0</vt:i4>
      </vt:variant>
      <vt:variant>
        <vt:i4>5</vt:i4>
      </vt:variant>
      <vt:variant>
        <vt:lpwstr/>
      </vt:variant>
      <vt:variant>
        <vt:lpwstr>_Toc316486081</vt:lpwstr>
      </vt:variant>
      <vt:variant>
        <vt:i4>1179709</vt:i4>
      </vt:variant>
      <vt:variant>
        <vt:i4>77</vt:i4>
      </vt:variant>
      <vt:variant>
        <vt:i4>0</vt:i4>
      </vt:variant>
      <vt:variant>
        <vt:i4>5</vt:i4>
      </vt:variant>
      <vt:variant>
        <vt:lpwstr/>
      </vt:variant>
      <vt:variant>
        <vt:lpwstr>_Toc316486069</vt:lpwstr>
      </vt:variant>
      <vt:variant>
        <vt:i4>1507380</vt:i4>
      </vt:variant>
      <vt:variant>
        <vt:i4>68</vt:i4>
      </vt:variant>
      <vt:variant>
        <vt:i4>0</vt:i4>
      </vt:variant>
      <vt:variant>
        <vt:i4>5</vt:i4>
      </vt:variant>
      <vt:variant>
        <vt:lpwstr/>
      </vt:variant>
      <vt:variant>
        <vt:lpwstr>_Toc316485903</vt:lpwstr>
      </vt:variant>
      <vt:variant>
        <vt:i4>1507380</vt:i4>
      </vt:variant>
      <vt:variant>
        <vt:i4>62</vt:i4>
      </vt:variant>
      <vt:variant>
        <vt:i4>0</vt:i4>
      </vt:variant>
      <vt:variant>
        <vt:i4>5</vt:i4>
      </vt:variant>
      <vt:variant>
        <vt:lpwstr/>
      </vt:variant>
      <vt:variant>
        <vt:lpwstr>_Toc316485902</vt:lpwstr>
      </vt:variant>
      <vt:variant>
        <vt:i4>1507380</vt:i4>
      </vt:variant>
      <vt:variant>
        <vt:i4>56</vt:i4>
      </vt:variant>
      <vt:variant>
        <vt:i4>0</vt:i4>
      </vt:variant>
      <vt:variant>
        <vt:i4>5</vt:i4>
      </vt:variant>
      <vt:variant>
        <vt:lpwstr/>
      </vt:variant>
      <vt:variant>
        <vt:lpwstr>_Toc316485901</vt:lpwstr>
      </vt:variant>
      <vt:variant>
        <vt:i4>1507380</vt:i4>
      </vt:variant>
      <vt:variant>
        <vt:i4>50</vt:i4>
      </vt:variant>
      <vt:variant>
        <vt:i4>0</vt:i4>
      </vt:variant>
      <vt:variant>
        <vt:i4>5</vt:i4>
      </vt:variant>
      <vt:variant>
        <vt:lpwstr/>
      </vt:variant>
      <vt:variant>
        <vt:lpwstr>_Toc316485900</vt:lpwstr>
      </vt:variant>
      <vt:variant>
        <vt:i4>1966133</vt:i4>
      </vt:variant>
      <vt:variant>
        <vt:i4>44</vt:i4>
      </vt:variant>
      <vt:variant>
        <vt:i4>0</vt:i4>
      </vt:variant>
      <vt:variant>
        <vt:i4>5</vt:i4>
      </vt:variant>
      <vt:variant>
        <vt:lpwstr/>
      </vt:variant>
      <vt:variant>
        <vt:lpwstr>_Toc316485899</vt:lpwstr>
      </vt:variant>
      <vt:variant>
        <vt:i4>1966133</vt:i4>
      </vt:variant>
      <vt:variant>
        <vt:i4>38</vt:i4>
      </vt:variant>
      <vt:variant>
        <vt:i4>0</vt:i4>
      </vt:variant>
      <vt:variant>
        <vt:i4>5</vt:i4>
      </vt:variant>
      <vt:variant>
        <vt:lpwstr/>
      </vt:variant>
      <vt:variant>
        <vt:lpwstr>_Toc316485898</vt:lpwstr>
      </vt:variant>
      <vt:variant>
        <vt:i4>1966133</vt:i4>
      </vt:variant>
      <vt:variant>
        <vt:i4>32</vt:i4>
      </vt:variant>
      <vt:variant>
        <vt:i4>0</vt:i4>
      </vt:variant>
      <vt:variant>
        <vt:i4>5</vt:i4>
      </vt:variant>
      <vt:variant>
        <vt:lpwstr/>
      </vt:variant>
      <vt:variant>
        <vt:lpwstr>_Toc316485897</vt:lpwstr>
      </vt:variant>
      <vt:variant>
        <vt:i4>1966133</vt:i4>
      </vt:variant>
      <vt:variant>
        <vt:i4>26</vt:i4>
      </vt:variant>
      <vt:variant>
        <vt:i4>0</vt:i4>
      </vt:variant>
      <vt:variant>
        <vt:i4>5</vt:i4>
      </vt:variant>
      <vt:variant>
        <vt:lpwstr/>
      </vt:variant>
      <vt:variant>
        <vt:lpwstr>_Toc316485896</vt:lpwstr>
      </vt:variant>
      <vt:variant>
        <vt:i4>1966133</vt:i4>
      </vt:variant>
      <vt:variant>
        <vt:i4>20</vt:i4>
      </vt:variant>
      <vt:variant>
        <vt:i4>0</vt:i4>
      </vt:variant>
      <vt:variant>
        <vt:i4>5</vt:i4>
      </vt:variant>
      <vt:variant>
        <vt:lpwstr/>
      </vt:variant>
      <vt:variant>
        <vt:lpwstr>_Toc316485895</vt:lpwstr>
      </vt:variant>
      <vt:variant>
        <vt:i4>1966133</vt:i4>
      </vt:variant>
      <vt:variant>
        <vt:i4>14</vt:i4>
      </vt:variant>
      <vt:variant>
        <vt:i4>0</vt:i4>
      </vt:variant>
      <vt:variant>
        <vt:i4>5</vt:i4>
      </vt:variant>
      <vt:variant>
        <vt:lpwstr/>
      </vt:variant>
      <vt:variant>
        <vt:lpwstr>_Toc316485894</vt:lpwstr>
      </vt:variant>
      <vt:variant>
        <vt:i4>1966133</vt:i4>
      </vt:variant>
      <vt:variant>
        <vt:i4>8</vt:i4>
      </vt:variant>
      <vt:variant>
        <vt:i4>0</vt:i4>
      </vt:variant>
      <vt:variant>
        <vt:i4>5</vt:i4>
      </vt:variant>
      <vt:variant>
        <vt:lpwstr/>
      </vt:variant>
      <vt:variant>
        <vt:lpwstr>_Toc316485893</vt:lpwstr>
      </vt:variant>
      <vt:variant>
        <vt:i4>1966133</vt:i4>
      </vt:variant>
      <vt:variant>
        <vt:i4>2</vt:i4>
      </vt:variant>
      <vt:variant>
        <vt:i4>0</vt:i4>
      </vt:variant>
      <vt:variant>
        <vt:i4>5</vt:i4>
      </vt:variant>
      <vt:variant>
        <vt:lpwstr/>
      </vt:variant>
      <vt:variant>
        <vt:lpwstr>_Toc316485892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Agricultural resource assessment for the Gilbert catchment</dc:title>
  <dc:creator>Cuan Petheram; Ian Watson and Peter Stone (eds); Ahmad, Maryam (CLW, Black Mountain)</dc:creator>
  <dc:description>v20140130a</dc:description>
  <cp:lastModifiedBy>Gallant, Simon (CLW, Black Mountain)</cp:lastModifiedBy>
  <cp:revision>4</cp:revision>
  <cp:lastPrinted>2013-11-04T22:21:00Z</cp:lastPrinted>
  <dcterms:created xsi:type="dcterms:W3CDTF">2014-01-31T04:49:00Z</dcterms:created>
  <dcterms:modified xsi:type="dcterms:W3CDTF">2014-01-31T04:50:00Z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Report Title</vt:lpwstr>
  </property>
  <property fmtid="{D5CDD505-2E9C-101B-9397-08002B2CF9AE}" pid="3" name="CoverSubtitle">
    <vt:lpwstr>Cover Subtitle</vt:lpwstr>
  </property>
  <property fmtid="{D5CDD505-2E9C-101B-9397-08002B2CF9AE}" pid="4" name="ContentTypeId">
    <vt:lpwstr>0x010100DCB4E10570903B4891FC3FB1B022A22B</vt:lpwstr>
  </property>
  <property fmtid="{D5CDD505-2E9C-101B-9397-08002B2CF9AE}" pid="5" name="Order">
    <vt:r8>4800</vt:r8>
  </property>
</Properties>
</file>