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753BAE" w14:textId="3285143A" w:rsidR="00DF1A83" w:rsidRPr="001C3137" w:rsidRDefault="00B11F7B" w:rsidP="00B11F7B">
      <w:pPr>
        <w:pStyle w:val="BusinessUnitName"/>
        <w:framePr w:w="6124" w:h="284" w:hRule="exact" w:vSpace="1276" w:wrap="notBeside" w:vAnchor="page" w:hAnchor="page" w:x="1141" w:y="805" w:anchorLock="1"/>
      </w:pPr>
      <w:r>
        <w:t>CSIRO IMPACT SCIENCE</w:t>
      </w:r>
    </w:p>
    <w:p w14:paraId="287F57C8" w14:textId="689ED8C3" w:rsidR="0017018E" w:rsidRPr="00447CD6" w:rsidRDefault="00FF09F3" w:rsidP="0017018E">
      <w:pPr>
        <w:pStyle w:val="CoverTitle"/>
        <w:rPr>
          <w:bCs/>
          <w:color w:val="00A9CE" w:themeColor="accent1"/>
          <w:sz w:val="72"/>
          <w:szCs w:val="72"/>
        </w:rPr>
      </w:pPr>
      <w:r w:rsidRPr="00447CD6">
        <w:rPr>
          <w:bCs/>
          <w:noProof/>
          <w:color w:val="00A9CE" w:themeColor="accent1"/>
          <w:sz w:val="72"/>
          <w:szCs w:val="72"/>
        </w:rPr>
        <mc:AlternateContent>
          <mc:Choice Requires="wps">
            <w:drawing>
              <wp:anchor distT="0" distB="0" distL="114300" distR="114300" simplePos="0" relativeHeight="251721725" behindDoc="1" locked="1" layoutInCell="1" allowOverlap="1" wp14:anchorId="3CB8A8E7" wp14:editId="1EBA5B44">
                <wp:simplePos x="0" y="0"/>
                <wp:positionH relativeFrom="page">
                  <wp:posOffset>-388620</wp:posOffset>
                </wp:positionH>
                <wp:positionV relativeFrom="page">
                  <wp:posOffset>-407670</wp:posOffset>
                </wp:positionV>
                <wp:extent cx="8143875" cy="8490585"/>
                <wp:effectExtent l="1905" t="1905" r="0" b="3810"/>
                <wp:wrapNone/>
                <wp:docPr id="87" name="Rectangle 123" descr="backgroun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3875" cy="8490585"/>
                        </a:xfrm>
                        <a:prstGeom prst="rect">
                          <a:avLst/>
                        </a:prstGeom>
                        <a:solidFill>
                          <a:schemeClr val="bg2">
                            <a:lumMod val="100000"/>
                            <a:lumOff val="0"/>
                          </a:scheme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71645A" id="Rectangle 123" o:spid="_x0000_s1026" alt="background" style="position:absolute;margin-left:-30.6pt;margin-top:-32.1pt;width:641.25pt;height:668.55pt;z-index:-2515947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" fillcolor="white [3214]" stroked="f">
                <w10:wrap anchorx="page" anchory="page"/>
                <w10:anchorlock/>
              </v:rect>
            </w:pict>
          </mc:Fallback>
        </mc:AlternateContent>
      </w:r>
      <w:r w:rsidRPr="00447CD6">
        <w:rPr>
          <w:bCs/>
          <w:noProof/>
          <w:color w:val="00A9CE" w:themeColor="accent1"/>
          <w:sz w:val="72"/>
          <w:szCs w:val="72"/>
        </w:rPr>
        <mc:AlternateContent>
          <mc:Choice Requires="wpg">
            <w:drawing>
              <wp:anchor distT="0" distB="0" distL="114300" distR="114300" simplePos="0" relativeHeight="251737088" behindDoc="1" locked="0" layoutInCell="1" allowOverlap="1" wp14:anchorId="5DFF5F34" wp14:editId="28F42688">
                <wp:simplePos x="0" y="0"/>
                <wp:positionH relativeFrom="column">
                  <wp:posOffset>-1245235</wp:posOffset>
                </wp:positionH>
                <wp:positionV relativeFrom="paragraph">
                  <wp:posOffset>-119380</wp:posOffset>
                </wp:positionV>
                <wp:extent cx="9381490" cy="10126345"/>
                <wp:effectExtent l="8255" t="635" r="1905" b="0"/>
                <wp:wrapNone/>
                <wp:docPr id="48" name="Group 103" descr="backgrou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81490" cy="10126345"/>
                          <a:chOff x="-827" y="918"/>
                          <a:chExt cx="14774" cy="15947"/>
                        </a:xfrm>
                      </wpg:grpSpPr>
                      <wpg:grpSp>
                        <wpg:cNvPr id="49" name="Group 99"/>
                        <wpg:cNvGrpSpPr>
                          <a:grpSpLocks/>
                        </wpg:cNvGrpSpPr>
                        <wpg:grpSpPr bwMode="auto">
                          <a:xfrm>
                            <a:off x="-262" y="918"/>
                            <a:ext cx="12749" cy="1610"/>
                            <a:chOff x="0" y="0"/>
                            <a:chExt cx="80962" cy="10223"/>
                          </a:xfrm>
                        </wpg:grpSpPr>
                        <wpg:grpSp>
                          <wpg:cNvPr id="50" name="Group 81"/>
                          <wpg:cNvGrpSpPr>
                            <a:grpSpLocks/>
                          </wpg:cNvGrpSpPr>
                          <wpg:grpSpPr bwMode="auto">
                            <a:xfrm>
                              <a:off x="0" y="0"/>
                              <a:ext cx="80962" cy="10223"/>
                              <a:chOff x="254" y="226"/>
                              <a:chExt cx="80962" cy="10223"/>
                            </a:xfrm>
                          </wpg:grpSpPr>
                          <wps:wsp>
                            <wps:cNvPr id="59" name="Freeform 70" descr="background"/>
                            <wps:cNvSpPr>
                              <a:spLocks noEditPoints="1"/>
                            </wps:cNvSpPr>
                            <wps:spPr bwMode="auto">
                              <a:xfrm>
                                <a:off x="254" y="226"/>
                                <a:ext cx="80962" cy="10224"/>
                              </a:xfrm>
                              <a:custGeom>
                                <a:avLst/>
                                <a:gdLst>
                                  <a:gd name="T0" fmla="*/ 2147483647 w 2488"/>
                                  <a:gd name="T1" fmla="*/ 2147483647 h 313"/>
                                  <a:gd name="T2" fmla="*/ 2147483647 w 2488"/>
                                  <a:gd name="T3" fmla="*/ 2147483647 h 313"/>
                                  <a:gd name="T4" fmla="*/ 2147483647 w 2488"/>
                                  <a:gd name="T5" fmla="*/ 2147483647 h 313"/>
                                  <a:gd name="T6" fmla="*/ 2147483647 w 2488"/>
                                  <a:gd name="T7" fmla="*/ 2147483647 h 313"/>
                                  <a:gd name="T8" fmla="*/ 2147483647 w 2488"/>
                                  <a:gd name="T9" fmla="*/ 2147483647 h 313"/>
                                  <a:gd name="T10" fmla="*/ 2147483647 w 2488"/>
                                  <a:gd name="T11" fmla="*/ 2147483647 h 313"/>
                                  <a:gd name="T12" fmla="*/ 2147483647 w 2488"/>
                                  <a:gd name="T13" fmla="*/ 0 h 313"/>
                                  <a:gd name="T14" fmla="*/ 0 w 2488"/>
                                  <a:gd name="T15" fmla="*/ 0 h 313"/>
                                  <a:gd name="T16" fmla="*/ 0 w 2488"/>
                                  <a:gd name="T17" fmla="*/ 2147483647 h 313"/>
                                  <a:gd name="T18" fmla="*/ 2147483647 w 2488"/>
                                  <a:gd name="T19" fmla="*/ 2147483647 h 313"/>
                                  <a:gd name="T20" fmla="*/ 2147483647 w 2488"/>
                                  <a:gd name="T21" fmla="*/ 2147483647 h 313"/>
                                  <a:gd name="T22" fmla="*/ 2147483647 w 2488"/>
                                  <a:gd name="T23" fmla="*/ 2147483647 h 313"/>
                                  <a:gd name="T24" fmla="*/ 2147483647 w 2488"/>
                                  <a:gd name="T25" fmla="*/ 2147483647 h 313"/>
                                  <a:gd name="T26" fmla="*/ 2147483647 w 2488"/>
                                  <a:gd name="T27" fmla="*/ 0 h 313"/>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488" h="313">
                                    <a:moveTo>
                                      <a:pt x="2488" y="21"/>
                                    </a:moveTo>
                                    <a:cubicBezTo>
                                      <a:pt x="2284" y="21"/>
                                      <a:pt x="2284" y="21"/>
                                      <a:pt x="2284" y="21"/>
                                    </a:cubicBezTo>
                                    <a:cubicBezTo>
                                      <a:pt x="1994" y="21"/>
                                      <a:pt x="1887" y="107"/>
                                      <a:pt x="1808" y="137"/>
                                    </a:cubicBezTo>
                                    <a:cubicBezTo>
                                      <a:pt x="1905" y="218"/>
                                      <a:pt x="2037" y="313"/>
                                      <a:pt x="2278" y="313"/>
                                    </a:cubicBezTo>
                                    <a:cubicBezTo>
                                      <a:pt x="2336" y="313"/>
                                      <a:pt x="2488" y="313"/>
                                      <a:pt x="2488" y="313"/>
                                    </a:cubicBezTo>
                                    <a:cubicBezTo>
                                      <a:pt x="2488" y="21"/>
                                      <a:pt x="2488" y="21"/>
                                      <a:pt x="2488" y="21"/>
                                    </a:cubicBezTo>
                                    <a:moveTo>
                                      <a:pt x="1354" y="0"/>
                                    </a:moveTo>
                                    <a:cubicBezTo>
                                      <a:pt x="0" y="0"/>
                                      <a:pt x="0" y="0"/>
                                      <a:pt x="0" y="0"/>
                                    </a:cubicBezTo>
                                    <a:cubicBezTo>
                                      <a:pt x="0" y="157"/>
                                      <a:pt x="0" y="157"/>
                                      <a:pt x="0" y="157"/>
                                    </a:cubicBezTo>
                                    <a:cubicBezTo>
                                      <a:pt x="1524" y="157"/>
                                      <a:pt x="1524" y="157"/>
                                      <a:pt x="1524" y="157"/>
                                    </a:cubicBezTo>
                                    <a:cubicBezTo>
                                      <a:pt x="1709" y="157"/>
                                      <a:pt x="1769" y="152"/>
                                      <a:pt x="1808" y="137"/>
                                    </a:cubicBezTo>
                                    <a:cubicBezTo>
                                      <a:pt x="1808" y="137"/>
                                      <a:pt x="1808" y="137"/>
                                      <a:pt x="1808" y="137"/>
                                    </a:cubicBezTo>
                                    <a:cubicBezTo>
                                      <a:pt x="1808" y="137"/>
                                      <a:pt x="1808" y="137"/>
                                      <a:pt x="1808" y="137"/>
                                    </a:cubicBezTo>
                                    <a:cubicBezTo>
                                      <a:pt x="1710" y="57"/>
                                      <a:pt x="1548" y="0"/>
                                      <a:pt x="1354" y="0"/>
                                    </a:cubicBezTo>
                                  </a:path>
                                </a:pathLst>
                              </a:custGeom>
                              <a:solidFill>
                                <a:srgbClr val="BFBFB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71" descr="background"/>
                            <wps:cNvSpPr>
                              <a:spLocks/>
                            </wps:cNvSpPr>
                            <wps:spPr bwMode="auto">
                              <a:xfrm>
                                <a:off x="254" y="912"/>
                                <a:ext cx="58837" cy="4442"/>
                              </a:xfrm>
                              <a:custGeom>
                                <a:avLst/>
                                <a:gdLst>
                                  <a:gd name="T0" fmla="*/ 2147483647 w 1808"/>
                                  <a:gd name="T1" fmla="*/ 2147483647 h 136"/>
                                  <a:gd name="T2" fmla="*/ 2147483647 w 1808"/>
                                  <a:gd name="T3" fmla="*/ 0 h 136"/>
                                  <a:gd name="T4" fmla="*/ 0 w 1808"/>
                                  <a:gd name="T5" fmla="*/ 0 h 136"/>
                                  <a:gd name="T6" fmla="*/ 0 w 1808"/>
                                  <a:gd name="T7" fmla="*/ 2147483647 h 136"/>
                                  <a:gd name="T8" fmla="*/ 2147483647 w 1808"/>
                                  <a:gd name="T9" fmla="*/ 2147483647 h 136"/>
                                  <a:gd name="T10" fmla="*/ 2147483647 w 1808"/>
                                  <a:gd name="T11" fmla="*/ 2147483647 h 13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808" h="136">
                                    <a:moveTo>
                                      <a:pt x="1808" y="116"/>
                                    </a:moveTo>
                                    <a:cubicBezTo>
                                      <a:pt x="1698" y="54"/>
                                      <a:pt x="1548" y="0"/>
                                      <a:pt x="1354" y="0"/>
                                    </a:cubicBezTo>
                                    <a:cubicBezTo>
                                      <a:pt x="0" y="0"/>
                                      <a:pt x="0" y="0"/>
                                      <a:pt x="0" y="0"/>
                                    </a:cubicBezTo>
                                    <a:cubicBezTo>
                                      <a:pt x="0" y="136"/>
                                      <a:pt x="0" y="136"/>
                                      <a:pt x="0" y="136"/>
                                    </a:cubicBezTo>
                                    <a:cubicBezTo>
                                      <a:pt x="1524" y="136"/>
                                      <a:pt x="1524" y="136"/>
                                      <a:pt x="1524" y="136"/>
                                    </a:cubicBezTo>
                                    <a:cubicBezTo>
                                      <a:pt x="1709" y="136"/>
                                      <a:pt x="1769" y="131"/>
                                      <a:pt x="1808" y="116"/>
                                    </a:cubicBezTo>
                                  </a:path>
                                </a:pathLst>
                              </a:custGeom>
                              <a:solidFill>
                                <a:schemeClr val="accent2">
                                  <a:lumMod val="100000"/>
                                  <a:lumOff val="0"/>
                                </a:scheme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1" name="Group 105"/>
                            <wpg:cNvGrpSpPr>
                              <a:grpSpLocks/>
                            </wpg:cNvGrpSpPr>
                            <wpg:grpSpPr bwMode="auto">
                              <a:xfrm>
                                <a:off x="9186" y="3326"/>
                                <a:ext cx="8853" cy="1049"/>
                                <a:chOff x="6800" y="3263"/>
                                <a:chExt cx="8851" cy="1047"/>
                              </a:xfrm>
                            </wpg:grpSpPr>
                            <wps:wsp>
                              <wps:cNvPr id="62" name="Freeform 72" descr="background"/>
                              <wps:cNvSpPr>
                                <a:spLocks/>
                              </wps:cNvSpPr>
                              <wps:spPr bwMode="auto">
                                <a:xfrm>
                                  <a:off x="6800" y="3556"/>
                                  <a:ext cx="1042" cy="717"/>
                                </a:xfrm>
                                <a:custGeom>
                                  <a:avLst/>
                                  <a:gdLst>
                                    <a:gd name="T0" fmla="*/ 110421359 w 32"/>
                                    <a:gd name="T1" fmla="*/ 0 h 22"/>
                                    <a:gd name="T2" fmla="*/ 89717600 w 32"/>
                                    <a:gd name="T3" fmla="*/ 76215829 h 22"/>
                                    <a:gd name="T4" fmla="*/ 69013874 w 32"/>
                                    <a:gd name="T5" fmla="*/ 76215829 h 22"/>
                                    <a:gd name="T6" fmla="*/ 58660953 w 32"/>
                                    <a:gd name="T7" fmla="*/ 31178875 h 22"/>
                                    <a:gd name="T8" fmla="*/ 55210663 w 32"/>
                                    <a:gd name="T9" fmla="*/ 24250341 h 22"/>
                                    <a:gd name="T10" fmla="*/ 55210663 w 32"/>
                                    <a:gd name="T11" fmla="*/ 24250341 h 22"/>
                                    <a:gd name="T12" fmla="*/ 51760406 w 32"/>
                                    <a:gd name="T13" fmla="*/ 31178875 h 22"/>
                                    <a:gd name="T14" fmla="*/ 41408526 w 32"/>
                                    <a:gd name="T15" fmla="*/ 76215829 h 22"/>
                                    <a:gd name="T16" fmla="*/ 20703726 w 32"/>
                                    <a:gd name="T17" fmla="*/ 76215829 h 22"/>
                                    <a:gd name="T18" fmla="*/ 0 w 32"/>
                                    <a:gd name="T19" fmla="*/ 0 h 22"/>
                                    <a:gd name="T20" fmla="*/ 17253469 w 32"/>
                                    <a:gd name="T21" fmla="*/ 0 h 22"/>
                                    <a:gd name="T22" fmla="*/ 27605348 w 32"/>
                                    <a:gd name="T23" fmla="*/ 45036954 h 22"/>
                                    <a:gd name="T24" fmla="*/ 31055605 w 32"/>
                                    <a:gd name="T25" fmla="*/ 58893989 h 22"/>
                                    <a:gd name="T26" fmla="*/ 31055605 w 32"/>
                                    <a:gd name="T27" fmla="*/ 58893989 h 22"/>
                                    <a:gd name="T28" fmla="*/ 34506937 w 32"/>
                                    <a:gd name="T29" fmla="*/ 45036954 h 22"/>
                                    <a:gd name="T30" fmla="*/ 44858816 w 32"/>
                                    <a:gd name="T31" fmla="*/ 0 h 22"/>
                                    <a:gd name="T32" fmla="*/ 65562542 w 32"/>
                                    <a:gd name="T33" fmla="*/ 0 h 22"/>
                                    <a:gd name="T34" fmla="*/ 79365754 w 32"/>
                                    <a:gd name="T35" fmla="*/ 48500683 h 22"/>
                                    <a:gd name="T36" fmla="*/ 79365754 w 32"/>
                                    <a:gd name="T37" fmla="*/ 58893989 h 22"/>
                                    <a:gd name="T38" fmla="*/ 79365754 w 32"/>
                                    <a:gd name="T39" fmla="*/ 58893989 h 22"/>
                                    <a:gd name="T40" fmla="*/ 82816011 w 32"/>
                                    <a:gd name="T41" fmla="*/ 45036954 h 22"/>
                                    <a:gd name="T42" fmla="*/ 93167890 w 32"/>
                                    <a:gd name="T43" fmla="*/ 0 h 22"/>
                                    <a:gd name="T44" fmla="*/ 110421359 w 32"/>
                                    <a:gd name="T45" fmla="*/ 0 h 2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32" h="22">
                                      <a:moveTo>
                                        <a:pt x="32" y="0"/>
                                      </a:moveTo>
                                      <a:cubicBezTo>
                                        <a:pt x="31" y="8"/>
                                        <a:pt x="29" y="15"/>
                                        <a:pt x="26" y="22"/>
                                      </a:cubicBezTo>
                                      <a:cubicBezTo>
                                        <a:pt x="20" y="22"/>
                                        <a:pt x="20" y="22"/>
                                        <a:pt x="20" y="22"/>
                                      </a:cubicBezTo>
                                      <a:cubicBezTo>
                                        <a:pt x="17" y="9"/>
                                        <a:pt x="17" y="9"/>
                                        <a:pt x="17" y="9"/>
                                      </a:cubicBezTo>
                                      <a:cubicBezTo>
                                        <a:pt x="16" y="7"/>
                                        <a:pt x="16" y="7"/>
                                        <a:pt x="16" y="7"/>
                                      </a:cubicBezTo>
                                      <a:cubicBezTo>
                                        <a:pt x="16" y="7"/>
                                        <a:pt x="16" y="7"/>
                                        <a:pt x="16" y="7"/>
                                      </a:cubicBezTo>
                                      <a:cubicBezTo>
                                        <a:pt x="15" y="9"/>
                                        <a:pt x="15" y="9"/>
                                        <a:pt x="15" y="9"/>
                                      </a:cubicBezTo>
                                      <a:cubicBezTo>
                                        <a:pt x="12" y="22"/>
                                        <a:pt x="12" y="22"/>
                                        <a:pt x="12" y="22"/>
                                      </a:cubicBezTo>
                                      <a:cubicBezTo>
                                        <a:pt x="6" y="22"/>
                                        <a:pt x="6" y="22"/>
                                        <a:pt x="6" y="22"/>
                                      </a:cubicBezTo>
                                      <a:cubicBezTo>
                                        <a:pt x="3" y="15"/>
                                        <a:pt x="1" y="8"/>
                                        <a:pt x="0" y="0"/>
                                      </a:cubicBezTo>
                                      <a:cubicBezTo>
                                        <a:pt x="5" y="0"/>
                                        <a:pt x="5" y="0"/>
                                        <a:pt x="5" y="0"/>
                                      </a:cubicBezTo>
                                      <a:cubicBezTo>
                                        <a:pt x="6" y="5"/>
                                        <a:pt x="7" y="9"/>
                                        <a:pt x="8" y="13"/>
                                      </a:cubicBezTo>
                                      <a:cubicBezTo>
                                        <a:pt x="9" y="14"/>
                                        <a:pt x="9" y="16"/>
                                        <a:pt x="9" y="17"/>
                                      </a:cubicBezTo>
                                      <a:cubicBezTo>
                                        <a:pt x="9" y="17"/>
                                        <a:pt x="9" y="17"/>
                                        <a:pt x="9" y="17"/>
                                      </a:cubicBezTo>
                                      <a:cubicBezTo>
                                        <a:pt x="10" y="13"/>
                                        <a:pt x="10" y="13"/>
                                        <a:pt x="10" y="13"/>
                                      </a:cubicBezTo>
                                      <a:cubicBezTo>
                                        <a:pt x="13" y="0"/>
                                        <a:pt x="13" y="0"/>
                                        <a:pt x="13" y="0"/>
                                      </a:cubicBezTo>
                                      <a:cubicBezTo>
                                        <a:pt x="19" y="0"/>
                                        <a:pt x="19" y="0"/>
                                        <a:pt x="19" y="0"/>
                                      </a:cubicBezTo>
                                      <a:cubicBezTo>
                                        <a:pt x="23" y="14"/>
                                        <a:pt x="23" y="14"/>
                                        <a:pt x="23" y="14"/>
                                      </a:cubicBezTo>
                                      <a:cubicBezTo>
                                        <a:pt x="23" y="17"/>
                                        <a:pt x="23" y="17"/>
                                        <a:pt x="23" y="17"/>
                                      </a:cubicBezTo>
                                      <a:cubicBezTo>
                                        <a:pt x="23" y="17"/>
                                        <a:pt x="23" y="17"/>
                                        <a:pt x="23" y="17"/>
                                      </a:cubicBezTo>
                                      <a:cubicBezTo>
                                        <a:pt x="24" y="16"/>
                                        <a:pt x="24" y="14"/>
                                        <a:pt x="24" y="13"/>
                                      </a:cubicBezTo>
                                      <a:cubicBezTo>
                                        <a:pt x="25" y="9"/>
                                        <a:pt x="26" y="5"/>
                                        <a:pt x="27" y="0"/>
                                      </a:cubicBezTo>
                                      <a:lnTo>
                                        <a:pt x="32" y="0"/>
                                      </a:lnTo>
                                      <a:close/>
                                    </a:path>
                                  </a:pathLst>
                                </a:custGeom>
                                <a:solidFill>
                                  <a:schemeClr val="accent1">
                                    <a:lumMod val="100000"/>
                                    <a:lumOff val="0"/>
                                  </a:scheme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73" descr="background"/>
                              <wps:cNvSpPr>
                                <a:spLocks/>
                              </wps:cNvSpPr>
                              <wps:spPr bwMode="auto">
                                <a:xfrm>
                                  <a:off x="7969" y="3556"/>
                                  <a:ext cx="1073" cy="717"/>
                                </a:xfrm>
                                <a:custGeom>
                                  <a:avLst/>
                                  <a:gdLst>
                                    <a:gd name="T0" fmla="*/ 113457167 w 33"/>
                                    <a:gd name="T1" fmla="*/ 0 h 22"/>
                                    <a:gd name="T2" fmla="*/ 89390297 w 33"/>
                                    <a:gd name="T3" fmla="*/ 76215829 h 22"/>
                                    <a:gd name="T4" fmla="*/ 68761514 w 33"/>
                                    <a:gd name="T5" fmla="*/ 76215829 h 22"/>
                                    <a:gd name="T6" fmla="*/ 58447123 w 33"/>
                                    <a:gd name="T7" fmla="*/ 31178875 h 22"/>
                                    <a:gd name="T8" fmla="*/ 55010044 w 33"/>
                                    <a:gd name="T9" fmla="*/ 24250341 h 22"/>
                                    <a:gd name="T10" fmla="*/ 55010044 w 33"/>
                                    <a:gd name="T11" fmla="*/ 24250341 h 22"/>
                                    <a:gd name="T12" fmla="*/ 55010044 w 33"/>
                                    <a:gd name="T13" fmla="*/ 31178875 h 22"/>
                                    <a:gd name="T14" fmla="*/ 41257533 w 33"/>
                                    <a:gd name="T15" fmla="*/ 76215829 h 22"/>
                                    <a:gd name="T16" fmla="*/ 20628783 w 33"/>
                                    <a:gd name="T17" fmla="*/ 76215829 h 22"/>
                                    <a:gd name="T18" fmla="*/ 0 w 33"/>
                                    <a:gd name="T19" fmla="*/ 0 h 22"/>
                                    <a:gd name="T20" fmla="*/ 17190631 w 33"/>
                                    <a:gd name="T21" fmla="*/ 0 h 22"/>
                                    <a:gd name="T22" fmla="*/ 30943141 w 33"/>
                                    <a:gd name="T23" fmla="*/ 45036954 h 22"/>
                                    <a:gd name="T24" fmla="*/ 30943141 w 33"/>
                                    <a:gd name="T25" fmla="*/ 58893989 h 22"/>
                                    <a:gd name="T26" fmla="*/ 30943141 w 33"/>
                                    <a:gd name="T27" fmla="*/ 58893989 h 22"/>
                                    <a:gd name="T28" fmla="*/ 34381294 w 33"/>
                                    <a:gd name="T29" fmla="*/ 45036954 h 22"/>
                                    <a:gd name="T30" fmla="*/ 48133805 w 33"/>
                                    <a:gd name="T31" fmla="*/ 0 h 22"/>
                                    <a:gd name="T32" fmla="*/ 65323395 w 33"/>
                                    <a:gd name="T33" fmla="*/ 0 h 22"/>
                                    <a:gd name="T34" fmla="*/ 79075906 w 33"/>
                                    <a:gd name="T35" fmla="*/ 48500683 h 22"/>
                                    <a:gd name="T36" fmla="*/ 82514025 w 33"/>
                                    <a:gd name="T37" fmla="*/ 58893989 h 22"/>
                                    <a:gd name="T38" fmla="*/ 82514025 w 33"/>
                                    <a:gd name="T39" fmla="*/ 58893989 h 22"/>
                                    <a:gd name="T40" fmla="*/ 85952145 w 33"/>
                                    <a:gd name="T41" fmla="*/ 45036954 h 22"/>
                                    <a:gd name="T42" fmla="*/ 96266536 w 33"/>
                                    <a:gd name="T43" fmla="*/ 0 h 22"/>
                                    <a:gd name="T44" fmla="*/ 113457167 w 33"/>
                                    <a:gd name="T45" fmla="*/ 0 h 2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33" h="22">
                                      <a:moveTo>
                                        <a:pt x="33" y="0"/>
                                      </a:moveTo>
                                      <a:cubicBezTo>
                                        <a:pt x="31" y="8"/>
                                        <a:pt x="29" y="15"/>
                                        <a:pt x="26" y="22"/>
                                      </a:cubicBezTo>
                                      <a:cubicBezTo>
                                        <a:pt x="20" y="22"/>
                                        <a:pt x="20" y="22"/>
                                        <a:pt x="20" y="22"/>
                                      </a:cubicBezTo>
                                      <a:cubicBezTo>
                                        <a:pt x="17" y="9"/>
                                        <a:pt x="17" y="9"/>
                                        <a:pt x="17" y="9"/>
                                      </a:cubicBezTo>
                                      <a:cubicBezTo>
                                        <a:pt x="16" y="7"/>
                                        <a:pt x="16" y="7"/>
                                        <a:pt x="16" y="7"/>
                                      </a:cubicBezTo>
                                      <a:cubicBezTo>
                                        <a:pt x="16" y="7"/>
                                        <a:pt x="16" y="7"/>
                                        <a:pt x="16" y="7"/>
                                      </a:cubicBezTo>
                                      <a:cubicBezTo>
                                        <a:pt x="16" y="9"/>
                                        <a:pt x="16" y="9"/>
                                        <a:pt x="16" y="9"/>
                                      </a:cubicBezTo>
                                      <a:cubicBezTo>
                                        <a:pt x="12" y="22"/>
                                        <a:pt x="12" y="22"/>
                                        <a:pt x="12" y="22"/>
                                      </a:cubicBezTo>
                                      <a:cubicBezTo>
                                        <a:pt x="6" y="22"/>
                                        <a:pt x="6" y="22"/>
                                        <a:pt x="6" y="22"/>
                                      </a:cubicBezTo>
                                      <a:cubicBezTo>
                                        <a:pt x="4" y="15"/>
                                        <a:pt x="1" y="8"/>
                                        <a:pt x="0" y="0"/>
                                      </a:cubicBezTo>
                                      <a:cubicBezTo>
                                        <a:pt x="5" y="0"/>
                                        <a:pt x="5" y="0"/>
                                        <a:pt x="5" y="0"/>
                                      </a:cubicBezTo>
                                      <a:cubicBezTo>
                                        <a:pt x="6" y="5"/>
                                        <a:pt x="7" y="9"/>
                                        <a:pt x="9" y="13"/>
                                      </a:cubicBezTo>
                                      <a:cubicBezTo>
                                        <a:pt x="9" y="14"/>
                                        <a:pt x="9" y="16"/>
                                        <a:pt x="9" y="17"/>
                                      </a:cubicBezTo>
                                      <a:cubicBezTo>
                                        <a:pt x="9" y="17"/>
                                        <a:pt x="9" y="17"/>
                                        <a:pt x="9" y="17"/>
                                      </a:cubicBezTo>
                                      <a:cubicBezTo>
                                        <a:pt x="10" y="13"/>
                                        <a:pt x="10" y="13"/>
                                        <a:pt x="10" y="13"/>
                                      </a:cubicBezTo>
                                      <a:cubicBezTo>
                                        <a:pt x="14" y="0"/>
                                        <a:pt x="14" y="0"/>
                                        <a:pt x="14" y="0"/>
                                      </a:cubicBezTo>
                                      <a:cubicBezTo>
                                        <a:pt x="19" y="0"/>
                                        <a:pt x="19" y="0"/>
                                        <a:pt x="19" y="0"/>
                                      </a:cubicBezTo>
                                      <a:cubicBezTo>
                                        <a:pt x="23" y="14"/>
                                        <a:pt x="23" y="14"/>
                                        <a:pt x="23" y="14"/>
                                      </a:cubicBezTo>
                                      <a:cubicBezTo>
                                        <a:pt x="24" y="17"/>
                                        <a:pt x="24" y="17"/>
                                        <a:pt x="24" y="17"/>
                                      </a:cubicBezTo>
                                      <a:cubicBezTo>
                                        <a:pt x="24" y="17"/>
                                        <a:pt x="24" y="17"/>
                                        <a:pt x="24" y="17"/>
                                      </a:cubicBezTo>
                                      <a:cubicBezTo>
                                        <a:pt x="24" y="16"/>
                                        <a:pt x="24" y="14"/>
                                        <a:pt x="25" y="13"/>
                                      </a:cubicBezTo>
                                      <a:cubicBezTo>
                                        <a:pt x="26" y="9"/>
                                        <a:pt x="27" y="5"/>
                                        <a:pt x="28" y="0"/>
                                      </a:cubicBezTo>
                                      <a:lnTo>
                                        <a:pt x="33" y="0"/>
                                      </a:lnTo>
                                      <a:close/>
                                    </a:path>
                                  </a:pathLst>
                                </a:custGeom>
                                <a:solidFill>
                                  <a:schemeClr val="accent1">
                                    <a:lumMod val="100000"/>
                                    <a:lumOff val="0"/>
                                  </a:scheme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74" descr="background"/>
                              <wps:cNvSpPr>
                                <a:spLocks/>
                              </wps:cNvSpPr>
                              <wps:spPr bwMode="auto">
                                <a:xfrm>
                                  <a:off x="9144" y="3556"/>
                                  <a:ext cx="1073" cy="717"/>
                                </a:xfrm>
                                <a:custGeom>
                                  <a:avLst/>
                                  <a:gdLst>
                                    <a:gd name="T0" fmla="*/ 113457167 w 33"/>
                                    <a:gd name="T1" fmla="*/ 0 h 22"/>
                                    <a:gd name="T2" fmla="*/ 92828416 w 33"/>
                                    <a:gd name="T3" fmla="*/ 76215829 h 22"/>
                                    <a:gd name="T4" fmla="*/ 72199634 w 33"/>
                                    <a:gd name="T5" fmla="*/ 76215829 h 22"/>
                                    <a:gd name="T6" fmla="*/ 58447123 w 33"/>
                                    <a:gd name="T7" fmla="*/ 31178875 h 22"/>
                                    <a:gd name="T8" fmla="*/ 55010044 w 33"/>
                                    <a:gd name="T9" fmla="*/ 24250341 h 22"/>
                                    <a:gd name="T10" fmla="*/ 55010044 w 33"/>
                                    <a:gd name="T11" fmla="*/ 24250341 h 22"/>
                                    <a:gd name="T12" fmla="*/ 55010044 w 33"/>
                                    <a:gd name="T13" fmla="*/ 31178875 h 22"/>
                                    <a:gd name="T14" fmla="*/ 44695685 w 33"/>
                                    <a:gd name="T15" fmla="*/ 76215829 h 22"/>
                                    <a:gd name="T16" fmla="*/ 20628783 w 33"/>
                                    <a:gd name="T17" fmla="*/ 76215829 h 22"/>
                                    <a:gd name="T18" fmla="*/ 0 w 33"/>
                                    <a:gd name="T19" fmla="*/ 0 h 22"/>
                                    <a:gd name="T20" fmla="*/ 20628783 w 33"/>
                                    <a:gd name="T21" fmla="*/ 0 h 22"/>
                                    <a:gd name="T22" fmla="*/ 30943141 w 33"/>
                                    <a:gd name="T23" fmla="*/ 45036954 h 22"/>
                                    <a:gd name="T24" fmla="*/ 34381294 w 33"/>
                                    <a:gd name="T25" fmla="*/ 58893989 h 22"/>
                                    <a:gd name="T26" fmla="*/ 34381294 w 33"/>
                                    <a:gd name="T27" fmla="*/ 58893989 h 22"/>
                                    <a:gd name="T28" fmla="*/ 37819413 w 33"/>
                                    <a:gd name="T29" fmla="*/ 45036954 h 22"/>
                                    <a:gd name="T30" fmla="*/ 48133805 w 33"/>
                                    <a:gd name="T31" fmla="*/ 0 h 22"/>
                                    <a:gd name="T32" fmla="*/ 65323395 w 33"/>
                                    <a:gd name="T33" fmla="*/ 0 h 22"/>
                                    <a:gd name="T34" fmla="*/ 79075906 w 33"/>
                                    <a:gd name="T35" fmla="*/ 48500683 h 22"/>
                                    <a:gd name="T36" fmla="*/ 82514025 w 33"/>
                                    <a:gd name="T37" fmla="*/ 58893989 h 22"/>
                                    <a:gd name="T38" fmla="*/ 82514025 w 33"/>
                                    <a:gd name="T39" fmla="*/ 58893989 h 22"/>
                                    <a:gd name="T40" fmla="*/ 85952145 w 33"/>
                                    <a:gd name="T41" fmla="*/ 45036954 h 22"/>
                                    <a:gd name="T42" fmla="*/ 96266536 w 33"/>
                                    <a:gd name="T43" fmla="*/ 0 h 22"/>
                                    <a:gd name="T44" fmla="*/ 113457167 w 33"/>
                                    <a:gd name="T45" fmla="*/ 0 h 2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33" h="22">
                                      <a:moveTo>
                                        <a:pt x="33" y="0"/>
                                      </a:moveTo>
                                      <a:cubicBezTo>
                                        <a:pt x="31" y="8"/>
                                        <a:pt x="29" y="15"/>
                                        <a:pt x="27" y="22"/>
                                      </a:cubicBezTo>
                                      <a:cubicBezTo>
                                        <a:pt x="21" y="22"/>
                                        <a:pt x="21" y="22"/>
                                        <a:pt x="21" y="22"/>
                                      </a:cubicBezTo>
                                      <a:cubicBezTo>
                                        <a:pt x="17" y="9"/>
                                        <a:pt x="17" y="9"/>
                                        <a:pt x="17" y="9"/>
                                      </a:cubicBezTo>
                                      <a:cubicBezTo>
                                        <a:pt x="16" y="7"/>
                                        <a:pt x="16" y="7"/>
                                        <a:pt x="16" y="7"/>
                                      </a:cubicBezTo>
                                      <a:cubicBezTo>
                                        <a:pt x="16" y="7"/>
                                        <a:pt x="16" y="7"/>
                                        <a:pt x="16" y="7"/>
                                      </a:cubicBezTo>
                                      <a:cubicBezTo>
                                        <a:pt x="16" y="9"/>
                                        <a:pt x="16" y="9"/>
                                        <a:pt x="16" y="9"/>
                                      </a:cubicBezTo>
                                      <a:cubicBezTo>
                                        <a:pt x="13" y="22"/>
                                        <a:pt x="13" y="22"/>
                                        <a:pt x="13" y="22"/>
                                      </a:cubicBezTo>
                                      <a:cubicBezTo>
                                        <a:pt x="6" y="22"/>
                                        <a:pt x="6" y="22"/>
                                        <a:pt x="6" y="22"/>
                                      </a:cubicBezTo>
                                      <a:cubicBezTo>
                                        <a:pt x="4" y="15"/>
                                        <a:pt x="2" y="8"/>
                                        <a:pt x="0" y="0"/>
                                      </a:cubicBezTo>
                                      <a:cubicBezTo>
                                        <a:pt x="6" y="0"/>
                                        <a:pt x="6" y="0"/>
                                        <a:pt x="6" y="0"/>
                                      </a:cubicBezTo>
                                      <a:cubicBezTo>
                                        <a:pt x="7" y="5"/>
                                        <a:pt x="8" y="9"/>
                                        <a:pt x="9" y="13"/>
                                      </a:cubicBezTo>
                                      <a:cubicBezTo>
                                        <a:pt x="9" y="14"/>
                                        <a:pt x="9" y="16"/>
                                        <a:pt x="10" y="17"/>
                                      </a:cubicBezTo>
                                      <a:cubicBezTo>
                                        <a:pt x="10" y="17"/>
                                        <a:pt x="10" y="17"/>
                                        <a:pt x="10" y="17"/>
                                      </a:cubicBezTo>
                                      <a:cubicBezTo>
                                        <a:pt x="11" y="13"/>
                                        <a:pt x="11" y="13"/>
                                        <a:pt x="11" y="13"/>
                                      </a:cubicBezTo>
                                      <a:cubicBezTo>
                                        <a:pt x="14" y="0"/>
                                        <a:pt x="14" y="0"/>
                                        <a:pt x="14" y="0"/>
                                      </a:cubicBezTo>
                                      <a:cubicBezTo>
                                        <a:pt x="19" y="0"/>
                                        <a:pt x="19" y="0"/>
                                        <a:pt x="19" y="0"/>
                                      </a:cubicBezTo>
                                      <a:cubicBezTo>
                                        <a:pt x="23" y="14"/>
                                        <a:pt x="23" y="14"/>
                                        <a:pt x="23" y="14"/>
                                      </a:cubicBezTo>
                                      <a:cubicBezTo>
                                        <a:pt x="24" y="17"/>
                                        <a:pt x="24" y="17"/>
                                        <a:pt x="24" y="17"/>
                                      </a:cubicBezTo>
                                      <a:cubicBezTo>
                                        <a:pt x="24" y="17"/>
                                        <a:pt x="24" y="17"/>
                                        <a:pt x="24" y="17"/>
                                      </a:cubicBezTo>
                                      <a:cubicBezTo>
                                        <a:pt x="24" y="16"/>
                                        <a:pt x="25" y="14"/>
                                        <a:pt x="25" y="13"/>
                                      </a:cubicBezTo>
                                      <a:cubicBezTo>
                                        <a:pt x="26" y="9"/>
                                        <a:pt x="27" y="5"/>
                                        <a:pt x="28" y="0"/>
                                      </a:cubicBezTo>
                                      <a:lnTo>
                                        <a:pt x="33" y="0"/>
                                      </a:lnTo>
                                      <a:close/>
                                    </a:path>
                                  </a:pathLst>
                                </a:custGeom>
                                <a:solidFill>
                                  <a:schemeClr val="accent1">
                                    <a:lumMod val="100000"/>
                                    <a:lumOff val="0"/>
                                  </a:scheme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Oval 75" descr="background"/>
                              <wps:cNvSpPr>
                                <a:spLocks noChangeArrowheads="1"/>
                              </wps:cNvSpPr>
                              <wps:spPr bwMode="auto">
                                <a:xfrm>
                                  <a:off x="10312" y="4044"/>
                                  <a:ext cx="229" cy="229"/>
                                </a:xfrm>
                                <a:prstGeom prst="ellipse">
                                  <a:avLst/>
                                </a:prstGeom>
                                <a:solidFill>
                                  <a:schemeClr val="accent1">
                                    <a:lumMod val="100000"/>
                                    <a:lumOff val="0"/>
                                  </a:scheme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76" descr="background"/>
                              <wps:cNvSpPr>
                                <a:spLocks/>
                              </wps:cNvSpPr>
                              <wps:spPr bwMode="auto">
                                <a:xfrm>
                                  <a:off x="10674" y="3556"/>
                                  <a:ext cx="552" cy="717"/>
                                </a:xfrm>
                                <a:custGeom>
                                  <a:avLst/>
                                  <a:gdLst>
                                    <a:gd name="T0" fmla="*/ 58246975 w 17"/>
                                    <a:gd name="T1" fmla="*/ 72751024 h 22"/>
                                    <a:gd name="T2" fmla="*/ 34262867 w 17"/>
                                    <a:gd name="T3" fmla="*/ 76215829 h 22"/>
                                    <a:gd name="T4" fmla="*/ 0 w 17"/>
                                    <a:gd name="T5" fmla="*/ 41572181 h 22"/>
                                    <a:gd name="T6" fmla="*/ 37689456 w 17"/>
                                    <a:gd name="T7" fmla="*/ 0 h 22"/>
                                    <a:gd name="T8" fmla="*/ 54820354 w 17"/>
                                    <a:gd name="T9" fmla="*/ 3464805 h 22"/>
                                    <a:gd name="T10" fmla="*/ 51394804 w 17"/>
                                    <a:gd name="T11" fmla="*/ 17321840 h 22"/>
                                    <a:gd name="T12" fmla="*/ 37689456 w 17"/>
                                    <a:gd name="T13" fmla="*/ 13857035 h 22"/>
                                    <a:gd name="T14" fmla="*/ 20557519 w 17"/>
                                    <a:gd name="T15" fmla="*/ 38108452 h 22"/>
                                    <a:gd name="T16" fmla="*/ 37689456 w 17"/>
                                    <a:gd name="T17" fmla="*/ 62358794 h 22"/>
                                    <a:gd name="T18" fmla="*/ 54820354 w 17"/>
                                    <a:gd name="T19" fmla="*/ 58893989 h 22"/>
                                    <a:gd name="T20" fmla="*/ 58246975 w 17"/>
                                    <a:gd name="T21" fmla="*/ 72751024 h 2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7" h="22">
                                      <a:moveTo>
                                        <a:pt x="17" y="21"/>
                                      </a:moveTo>
                                      <a:cubicBezTo>
                                        <a:pt x="14" y="22"/>
                                        <a:pt x="12" y="22"/>
                                        <a:pt x="10" y="22"/>
                                      </a:cubicBezTo>
                                      <a:cubicBezTo>
                                        <a:pt x="3" y="22"/>
                                        <a:pt x="0" y="18"/>
                                        <a:pt x="0" y="12"/>
                                      </a:cubicBezTo>
                                      <a:cubicBezTo>
                                        <a:pt x="0" y="4"/>
                                        <a:pt x="5" y="0"/>
                                        <a:pt x="11" y="0"/>
                                      </a:cubicBezTo>
                                      <a:cubicBezTo>
                                        <a:pt x="13" y="0"/>
                                        <a:pt x="15" y="0"/>
                                        <a:pt x="16" y="1"/>
                                      </a:cubicBezTo>
                                      <a:cubicBezTo>
                                        <a:pt x="15" y="5"/>
                                        <a:pt x="15" y="5"/>
                                        <a:pt x="15" y="5"/>
                                      </a:cubicBezTo>
                                      <a:cubicBezTo>
                                        <a:pt x="14" y="5"/>
                                        <a:pt x="13" y="4"/>
                                        <a:pt x="11" y="4"/>
                                      </a:cubicBezTo>
                                      <a:cubicBezTo>
                                        <a:pt x="8" y="4"/>
                                        <a:pt x="6" y="7"/>
                                        <a:pt x="6" y="11"/>
                                      </a:cubicBezTo>
                                      <a:cubicBezTo>
                                        <a:pt x="6" y="16"/>
                                        <a:pt x="8" y="18"/>
                                        <a:pt x="11" y="18"/>
                                      </a:cubicBezTo>
                                      <a:cubicBezTo>
                                        <a:pt x="13" y="18"/>
                                        <a:pt x="14" y="18"/>
                                        <a:pt x="16" y="17"/>
                                      </a:cubicBezTo>
                                      <a:lnTo>
                                        <a:pt x="17" y="21"/>
                                      </a:lnTo>
                                      <a:close/>
                                    </a:path>
                                  </a:pathLst>
                                </a:custGeom>
                                <a:solidFill>
                                  <a:schemeClr val="accent1">
                                    <a:lumMod val="100000"/>
                                    <a:lumOff val="0"/>
                                  </a:scheme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77" descr="background"/>
                              <wps:cNvSpPr>
                                <a:spLocks/>
                              </wps:cNvSpPr>
                              <wps:spPr bwMode="auto">
                                <a:xfrm>
                                  <a:off x="11322" y="3556"/>
                                  <a:ext cx="520" cy="755"/>
                                </a:xfrm>
                                <a:custGeom>
                                  <a:avLst/>
                                  <a:gdLst>
                                    <a:gd name="T0" fmla="*/ 24062448 w 16"/>
                                    <a:gd name="T1" fmla="*/ 81425207 h 23"/>
                                    <a:gd name="T2" fmla="*/ 0 w 16"/>
                                    <a:gd name="T3" fmla="*/ 77885472 h 23"/>
                                    <a:gd name="T4" fmla="*/ 3437038 w 16"/>
                                    <a:gd name="T5" fmla="*/ 60183446 h 23"/>
                                    <a:gd name="T6" fmla="*/ 24062448 w 16"/>
                                    <a:gd name="T7" fmla="*/ 63724265 h 23"/>
                                    <a:gd name="T8" fmla="*/ 34374600 w 16"/>
                                    <a:gd name="T9" fmla="*/ 56643678 h 23"/>
                                    <a:gd name="T10" fmla="*/ 20624338 w 16"/>
                                    <a:gd name="T11" fmla="*/ 46023323 h 23"/>
                                    <a:gd name="T12" fmla="*/ 3437038 w 16"/>
                                    <a:gd name="T13" fmla="*/ 24781529 h 23"/>
                                    <a:gd name="T14" fmla="*/ 30936523 w 16"/>
                                    <a:gd name="T15" fmla="*/ 0 h 23"/>
                                    <a:gd name="T16" fmla="*/ 48123823 w 16"/>
                                    <a:gd name="T17" fmla="*/ 3539768 h 23"/>
                                    <a:gd name="T18" fmla="*/ 48123823 w 16"/>
                                    <a:gd name="T19" fmla="*/ 17700942 h 23"/>
                                    <a:gd name="T20" fmla="*/ 30936523 w 16"/>
                                    <a:gd name="T21" fmla="*/ 14161174 h 23"/>
                                    <a:gd name="T22" fmla="*/ 20624338 w 16"/>
                                    <a:gd name="T23" fmla="*/ 21241794 h 23"/>
                                    <a:gd name="T24" fmla="*/ 34374600 w 16"/>
                                    <a:gd name="T25" fmla="*/ 31862149 h 23"/>
                                    <a:gd name="T26" fmla="*/ 54998938 w 16"/>
                                    <a:gd name="T27" fmla="*/ 53103910 h 23"/>
                                    <a:gd name="T28" fmla="*/ 24062448 w 16"/>
                                    <a:gd name="T29" fmla="*/ 81425207 h 2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6" h="23">
                                      <a:moveTo>
                                        <a:pt x="7" y="23"/>
                                      </a:moveTo>
                                      <a:cubicBezTo>
                                        <a:pt x="5" y="23"/>
                                        <a:pt x="3" y="22"/>
                                        <a:pt x="0" y="22"/>
                                      </a:cubicBezTo>
                                      <a:cubicBezTo>
                                        <a:pt x="1" y="17"/>
                                        <a:pt x="1" y="17"/>
                                        <a:pt x="1" y="17"/>
                                      </a:cubicBezTo>
                                      <a:cubicBezTo>
                                        <a:pt x="3" y="18"/>
                                        <a:pt x="5" y="18"/>
                                        <a:pt x="7" y="18"/>
                                      </a:cubicBezTo>
                                      <a:cubicBezTo>
                                        <a:pt x="9" y="18"/>
                                        <a:pt x="10" y="18"/>
                                        <a:pt x="10" y="16"/>
                                      </a:cubicBezTo>
                                      <a:cubicBezTo>
                                        <a:pt x="10" y="15"/>
                                        <a:pt x="9" y="14"/>
                                        <a:pt x="6" y="13"/>
                                      </a:cubicBezTo>
                                      <a:cubicBezTo>
                                        <a:pt x="3" y="12"/>
                                        <a:pt x="1" y="10"/>
                                        <a:pt x="1" y="7"/>
                                      </a:cubicBezTo>
                                      <a:cubicBezTo>
                                        <a:pt x="1" y="3"/>
                                        <a:pt x="4" y="0"/>
                                        <a:pt x="9" y="0"/>
                                      </a:cubicBezTo>
                                      <a:cubicBezTo>
                                        <a:pt x="11" y="0"/>
                                        <a:pt x="13" y="0"/>
                                        <a:pt x="14" y="1"/>
                                      </a:cubicBezTo>
                                      <a:cubicBezTo>
                                        <a:pt x="14" y="5"/>
                                        <a:pt x="14" y="5"/>
                                        <a:pt x="14" y="5"/>
                                      </a:cubicBezTo>
                                      <a:cubicBezTo>
                                        <a:pt x="12" y="4"/>
                                        <a:pt x="11" y="4"/>
                                        <a:pt x="9" y="4"/>
                                      </a:cubicBezTo>
                                      <a:cubicBezTo>
                                        <a:pt x="7" y="4"/>
                                        <a:pt x="6" y="5"/>
                                        <a:pt x="6" y="6"/>
                                      </a:cubicBezTo>
                                      <a:cubicBezTo>
                                        <a:pt x="6" y="8"/>
                                        <a:pt x="7" y="8"/>
                                        <a:pt x="10" y="9"/>
                                      </a:cubicBezTo>
                                      <a:cubicBezTo>
                                        <a:pt x="14" y="10"/>
                                        <a:pt x="16" y="12"/>
                                        <a:pt x="16" y="15"/>
                                      </a:cubicBezTo>
                                      <a:cubicBezTo>
                                        <a:pt x="16" y="20"/>
                                        <a:pt x="12" y="23"/>
                                        <a:pt x="7" y="23"/>
                                      </a:cubicBezTo>
                                      <a:close/>
                                    </a:path>
                                  </a:pathLst>
                                </a:custGeom>
                                <a:solidFill>
                                  <a:schemeClr val="accent1">
                                    <a:lumMod val="100000"/>
                                    <a:lumOff val="0"/>
                                  </a:scheme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78" descr="background"/>
                              <wps:cNvSpPr>
                                <a:spLocks noEditPoints="1"/>
                              </wps:cNvSpPr>
                              <wps:spPr bwMode="auto">
                                <a:xfrm>
                                  <a:off x="11938" y="3263"/>
                                  <a:ext cx="298" cy="1010"/>
                                </a:xfrm>
                                <a:custGeom>
                                  <a:avLst/>
                                  <a:gdLst>
                                    <a:gd name="T0" fmla="*/ 10906436 w 9"/>
                                    <a:gd name="T1" fmla="*/ 107174195 h 31"/>
                                    <a:gd name="T2" fmla="*/ 10906436 w 9"/>
                                    <a:gd name="T3" fmla="*/ 44943860 h 31"/>
                                    <a:gd name="T4" fmla="*/ 0 w 9"/>
                                    <a:gd name="T5" fmla="*/ 44943860 h 31"/>
                                    <a:gd name="T6" fmla="*/ 0 w 9"/>
                                    <a:gd name="T7" fmla="*/ 31114646 h 31"/>
                                    <a:gd name="T8" fmla="*/ 29084966 w 9"/>
                                    <a:gd name="T9" fmla="*/ 31114646 h 31"/>
                                    <a:gd name="T10" fmla="*/ 29084966 w 9"/>
                                    <a:gd name="T11" fmla="*/ 107174195 h 31"/>
                                    <a:gd name="T12" fmla="*/ 10906436 w 9"/>
                                    <a:gd name="T13" fmla="*/ 107174195 h 31"/>
                                    <a:gd name="T14" fmla="*/ 21813997 w 9"/>
                                    <a:gd name="T15" fmla="*/ 20743804 h 31"/>
                                    <a:gd name="T16" fmla="*/ 7270968 w 9"/>
                                    <a:gd name="T17" fmla="*/ 10371885 h 31"/>
                                    <a:gd name="T18" fmla="*/ 21813997 w 9"/>
                                    <a:gd name="T19" fmla="*/ 0 h 31"/>
                                    <a:gd name="T20" fmla="*/ 32720433 w 9"/>
                                    <a:gd name="T21" fmla="*/ 10371885 h 31"/>
                                    <a:gd name="T22" fmla="*/ 21813997 w 9"/>
                                    <a:gd name="T23" fmla="*/ 20743804 h 3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9" h="31">
                                      <a:moveTo>
                                        <a:pt x="3" y="31"/>
                                      </a:moveTo>
                                      <a:cubicBezTo>
                                        <a:pt x="3" y="13"/>
                                        <a:pt x="3" y="13"/>
                                        <a:pt x="3" y="13"/>
                                      </a:cubicBezTo>
                                      <a:cubicBezTo>
                                        <a:pt x="0" y="13"/>
                                        <a:pt x="0" y="13"/>
                                        <a:pt x="0" y="13"/>
                                      </a:cubicBezTo>
                                      <a:cubicBezTo>
                                        <a:pt x="0" y="9"/>
                                        <a:pt x="0" y="9"/>
                                        <a:pt x="0" y="9"/>
                                      </a:cubicBezTo>
                                      <a:cubicBezTo>
                                        <a:pt x="8" y="9"/>
                                        <a:pt x="8" y="9"/>
                                        <a:pt x="8" y="9"/>
                                      </a:cubicBezTo>
                                      <a:cubicBezTo>
                                        <a:pt x="8" y="31"/>
                                        <a:pt x="8" y="31"/>
                                        <a:pt x="8" y="31"/>
                                      </a:cubicBezTo>
                                      <a:lnTo>
                                        <a:pt x="3" y="31"/>
                                      </a:lnTo>
                                      <a:close/>
                                      <a:moveTo>
                                        <a:pt x="6" y="6"/>
                                      </a:moveTo>
                                      <a:cubicBezTo>
                                        <a:pt x="4" y="6"/>
                                        <a:pt x="2" y="5"/>
                                        <a:pt x="2" y="3"/>
                                      </a:cubicBezTo>
                                      <a:cubicBezTo>
                                        <a:pt x="2" y="1"/>
                                        <a:pt x="4" y="0"/>
                                        <a:pt x="6" y="0"/>
                                      </a:cubicBezTo>
                                      <a:cubicBezTo>
                                        <a:pt x="8" y="0"/>
                                        <a:pt x="9" y="1"/>
                                        <a:pt x="9" y="3"/>
                                      </a:cubicBezTo>
                                      <a:cubicBezTo>
                                        <a:pt x="9" y="5"/>
                                        <a:pt x="8" y="6"/>
                                        <a:pt x="6" y="6"/>
                                      </a:cubicBezTo>
                                      <a:close/>
                                    </a:path>
                                  </a:pathLst>
                                </a:custGeom>
                                <a:solidFill>
                                  <a:schemeClr val="accent1">
                                    <a:lumMod val="100000"/>
                                    <a:lumOff val="0"/>
                                  </a:scheme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79" descr="background"/>
                              <wps:cNvSpPr>
                                <a:spLocks/>
                              </wps:cNvSpPr>
                              <wps:spPr bwMode="auto">
                                <a:xfrm>
                                  <a:off x="12426" y="3556"/>
                                  <a:ext cx="426" cy="717"/>
                                </a:xfrm>
                                <a:custGeom>
                                  <a:avLst/>
                                  <a:gdLst>
                                    <a:gd name="T0" fmla="*/ 42171149 w 13"/>
                                    <a:gd name="T1" fmla="*/ 17321840 h 22"/>
                                    <a:gd name="T2" fmla="*/ 35143001 w 13"/>
                                    <a:gd name="T3" fmla="*/ 17321840 h 22"/>
                                    <a:gd name="T4" fmla="*/ 17570960 w 13"/>
                                    <a:gd name="T5" fmla="*/ 31178875 h 22"/>
                                    <a:gd name="T6" fmla="*/ 17570960 w 13"/>
                                    <a:gd name="T7" fmla="*/ 76215829 h 22"/>
                                    <a:gd name="T8" fmla="*/ 0 w 13"/>
                                    <a:gd name="T9" fmla="*/ 76215829 h 22"/>
                                    <a:gd name="T10" fmla="*/ 0 w 13"/>
                                    <a:gd name="T11" fmla="*/ 0 h 22"/>
                                    <a:gd name="T12" fmla="*/ 14057410 w 13"/>
                                    <a:gd name="T13" fmla="*/ 0 h 22"/>
                                    <a:gd name="T14" fmla="*/ 17570960 w 13"/>
                                    <a:gd name="T15" fmla="*/ 13857035 h 22"/>
                                    <a:gd name="T16" fmla="*/ 35143001 w 13"/>
                                    <a:gd name="T17" fmla="*/ 0 h 22"/>
                                    <a:gd name="T18" fmla="*/ 45685780 w 13"/>
                                    <a:gd name="T19" fmla="*/ 0 h 22"/>
                                    <a:gd name="T20" fmla="*/ 42171149 w 13"/>
                                    <a:gd name="T21" fmla="*/ 17321840 h 2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3" h="22">
                                      <a:moveTo>
                                        <a:pt x="12" y="5"/>
                                      </a:moveTo>
                                      <a:cubicBezTo>
                                        <a:pt x="12" y="5"/>
                                        <a:pt x="11" y="5"/>
                                        <a:pt x="10" y="5"/>
                                      </a:cubicBezTo>
                                      <a:cubicBezTo>
                                        <a:pt x="9" y="5"/>
                                        <a:pt x="7" y="6"/>
                                        <a:pt x="5" y="9"/>
                                      </a:cubicBezTo>
                                      <a:cubicBezTo>
                                        <a:pt x="5" y="22"/>
                                        <a:pt x="5" y="22"/>
                                        <a:pt x="5" y="22"/>
                                      </a:cubicBezTo>
                                      <a:cubicBezTo>
                                        <a:pt x="0" y="22"/>
                                        <a:pt x="0" y="22"/>
                                        <a:pt x="0" y="22"/>
                                      </a:cubicBezTo>
                                      <a:cubicBezTo>
                                        <a:pt x="0" y="0"/>
                                        <a:pt x="0" y="0"/>
                                        <a:pt x="0" y="0"/>
                                      </a:cubicBezTo>
                                      <a:cubicBezTo>
                                        <a:pt x="4" y="0"/>
                                        <a:pt x="4" y="0"/>
                                        <a:pt x="4" y="0"/>
                                      </a:cubicBezTo>
                                      <a:cubicBezTo>
                                        <a:pt x="5" y="4"/>
                                        <a:pt x="5" y="4"/>
                                        <a:pt x="5" y="4"/>
                                      </a:cubicBezTo>
                                      <a:cubicBezTo>
                                        <a:pt x="7" y="1"/>
                                        <a:pt x="8" y="0"/>
                                        <a:pt x="10" y="0"/>
                                      </a:cubicBezTo>
                                      <a:cubicBezTo>
                                        <a:pt x="11" y="0"/>
                                        <a:pt x="12" y="0"/>
                                        <a:pt x="13" y="0"/>
                                      </a:cubicBezTo>
                                      <a:lnTo>
                                        <a:pt x="12" y="5"/>
                                      </a:lnTo>
                                      <a:close/>
                                    </a:path>
                                  </a:pathLst>
                                </a:custGeom>
                                <a:solidFill>
                                  <a:schemeClr val="accent1">
                                    <a:lumMod val="100000"/>
                                    <a:lumOff val="0"/>
                                  </a:scheme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80" descr="background"/>
                              <wps:cNvSpPr>
                                <a:spLocks noEditPoints="1"/>
                              </wps:cNvSpPr>
                              <wps:spPr bwMode="auto">
                                <a:xfrm>
                                  <a:off x="12947" y="3556"/>
                                  <a:ext cx="718" cy="755"/>
                                </a:xfrm>
                                <a:custGeom>
                                  <a:avLst/>
                                  <a:gdLst>
                                    <a:gd name="T0" fmla="*/ 38214799 w 22"/>
                                    <a:gd name="T1" fmla="*/ 81425207 h 23"/>
                                    <a:gd name="T2" fmla="*/ 0 w 22"/>
                                    <a:gd name="T3" fmla="*/ 42482471 h 23"/>
                                    <a:gd name="T4" fmla="*/ 38214799 w 22"/>
                                    <a:gd name="T5" fmla="*/ 0 h 23"/>
                                    <a:gd name="T6" fmla="*/ 76428554 w 22"/>
                                    <a:gd name="T7" fmla="*/ 38942736 h 23"/>
                                    <a:gd name="T8" fmla="*/ 38214799 w 22"/>
                                    <a:gd name="T9" fmla="*/ 81425207 h 23"/>
                                    <a:gd name="T10" fmla="*/ 38214799 w 22"/>
                                    <a:gd name="T11" fmla="*/ 14161174 h 23"/>
                                    <a:gd name="T12" fmla="*/ 17370182 w 22"/>
                                    <a:gd name="T13" fmla="*/ 38942736 h 23"/>
                                    <a:gd name="T14" fmla="*/ 38214799 w 22"/>
                                    <a:gd name="T15" fmla="*/ 63724265 h 23"/>
                                    <a:gd name="T16" fmla="*/ 55583937 w 22"/>
                                    <a:gd name="T17" fmla="*/ 38942736 h 23"/>
                                    <a:gd name="T18" fmla="*/ 38214799 w 22"/>
                                    <a:gd name="T19" fmla="*/ 14161174 h 2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2" h="23">
                                      <a:moveTo>
                                        <a:pt x="11" y="23"/>
                                      </a:moveTo>
                                      <a:cubicBezTo>
                                        <a:pt x="3" y="23"/>
                                        <a:pt x="0" y="18"/>
                                        <a:pt x="0" y="12"/>
                                      </a:cubicBezTo>
                                      <a:cubicBezTo>
                                        <a:pt x="0" y="4"/>
                                        <a:pt x="4" y="0"/>
                                        <a:pt x="11" y="0"/>
                                      </a:cubicBezTo>
                                      <a:cubicBezTo>
                                        <a:pt x="18" y="0"/>
                                        <a:pt x="22" y="4"/>
                                        <a:pt x="22" y="11"/>
                                      </a:cubicBezTo>
                                      <a:cubicBezTo>
                                        <a:pt x="22" y="18"/>
                                        <a:pt x="18" y="23"/>
                                        <a:pt x="11" y="23"/>
                                      </a:cubicBezTo>
                                      <a:close/>
                                      <a:moveTo>
                                        <a:pt x="11" y="4"/>
                                      </a:moveTo>
                                      <a:cubicBezTo>
                                        <a:pt x="7" y="4"/>
                                        <a:pt x="5" y="7"/>
                                        <a:pt x="5" y="11"/>
                                      </a:cubicBezTo>
                                      <a:cubicBezTo>
                                        <a:pt x="5" y="15"/>
                                        <a:pt x="7" y="18"/>
                                        <a:pt x="11" y="18"/>
                                      </a:cubicBezTo>
                                      <a:cubicBezTo>
                                        <a:pt x="15" y="18"/>
                                        <a:pt x="16" y="15"/>
                                        <a:pt x="16" y="11"/>
                                      </a:cubicBezTo>
                                      <a:cubicBezTo>
                                        <a:pt x="16" y="7"/>
                                        <a:pt x="15" y="4"/>
                                        <a:pt x="11" y="4"/>
                                      </a:cubicBezTo>
                                      <a:close/>
                                    </a:path>
                                  </a:pathLst>
                                </a:custGeom>
                                <a:solidFill>
                                  <a:schemeClr val="accent1">
                                    <a:lumMod val="100000"/>
                                    <a:lumOff val="0"/>
                                  </a:scheme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Oval 81" descr="background"/>
                              <wps:cNvSpPr>
                                <a:spLocks noChangeArrowheads="1"/>
                              </wps:cNvSpPr>
                              <wps:spPr bwMode="auto">
                                <a:xfrm>
                                  <a:off x="13830" y="4044"/>
                                  <a:ext cx="190" cy="229"/>
                                </a:xfrm>
                                <a:prstGeom prst="ellipse">
                                  <a:avLst/>
                                </a:prstGeom>
                                <a:solidFill>
                                  <a:schemeClr val="accent1">
                                    <a:lumMod val="100000"/>
                                    <a:lumOff val="0"/>
                                  </a:scheme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82" descr="background"/>
                              <wps:cNvSpPr>
                                <a:spLocks noEditPoints="1"/>
                              </wps:cNvSpPr>
                              <wps:spPr bwMode="auto">
                                <a:xfrm>
                                  <a:off x="14217" y="3556"/>
                                  <a:ext cx="584" cy="755"/>
                                </a:xfrm>
                                <a:custGeom>
                                  <a:avLst/>
                                  <a:gdLst>
                                    <a:gd name="T0" fmla="*/ 47829957 w 18"/>
                                    <a:gd name="T1" fmla="*/ 77885472 h 23"/>
                                    <a:gd name="T2" fmla="*/ 47829957 w 18"/>
                                    <a:gd name="T3" fmla="*/ 70804852 h 23"/>
                                    <a:gd name="T4" fmla="*/ 23914962 w 18"/>
                                    <a:gd name="T5" fmla="*/ 81425207 h 23"/>
                                    <a:gd name="T6" fmla="*/ 0 w 18"/>
                                    <a:gd name="T7" fmla="*/ 56643678 h 23"/>
                                    <a:gd name="T8" fmla="*/ 34164552 w 18"/>
                                    <a:gd name="T9" fmla="*/ 31862149 h 23"/>
                                    <a:gd name="T10" fmla="*/ 44413070 w 18"/>
                                    <a:gd name="T11" fmla="*/ 31862149 h 23"/>
                                    <a:gd name="T12" fmla="*/ 44413070 w 18"/>
                                    <a:gd name="T13" fmla="*/ 28321297 h 23"/>
                                    <a:gd name="T14" fmla="*/ 27330811 w 18"/>
                                    <a:gd name="T15" fmla="*/ 14161174 h 23"/>
                                    <a:gd name="T16" fmla="*/ 6832703 w 18"/>
                                    <a:gd name="T17" fmla="*/ 17700942 h 23"/>
                                    <a:gd name="T18" fmla="*/ 3416887 w 18"/>
                                    <a:gd name="T19" fmla="*/ 3539768 h 23"/>
                                    <a:gd name="T20" fmla="*/ 30747665 w 18"/>
                                    <a:gd name="T21" fmla="*/ 0 h 23"/>
                                    <a:gd name="T22" fmla="*/ 61495330 w 18"/>
                                    <a:gd name="T23" fmla="*/ 24781529 h 23"/>
                                    <a:gd name="T24" fmla="*/ 61495330 w 18"/>
                                    <a:gd name="T25" fmla="*/ 77885472 h 23"/>
                                    <a:gd name="T26" fmla="*/ 47829957 w 18"/>
                                    <a:gd name="T27" fmla="*/ 77885472 h 23"/>
                                    <a:gd name="T28" fmla="*/ 44413070 w 18"/>
                                    <a:gd name="T29" fmla="*/ 42482471 h 23"/>
                                    <a:gd name="T30" fmla="*/ 34164552 w 18"/>
                                    <a:gd name="T31" fmla="*/ 42482471 h 23"/>
                                    <a:gd name="T32" fmla="*/ 17082260 w 18"/>
                                    <a:gd name="T33" fmla="*/ 56643678 h 23"/>
                                    <a:gd name="T34" fmla="*/ 27330811 w 18"/>
                                    <a:gd name="T35" fmla="*/ 67264033 h 23"/>
                                    <a:gd name="T36" fmla="*/ 44413070 w 18"/>
                                    <a:gd name="T37" fmla="*/ 60183446 h 23"/>
                                    <a:gd name="T38" fmla="*/ 44413070 w 18"/>
                                    <a:gd name="T39" fmla="*/ 42482471 h 23"/>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8" h="23">
                                      <a:moveTo>
                                        <a:pt x="14" y="22"/>
                                      </a:moveTo>
                                      <a:cubicBezTo>
                                        <a:pt x="14" y="20"/>
                                        <a:pt x="14" y="20"/>
                                        <a:pt x="14" y="20"/>
                                      </a:cubicBezTo>
                                      <a:cubicBezTo>
                                        <a:pt x="12" y="22"/>
                                        <a:pt x="10" y="23"/>
                                        <a:pt x="7" y="23"/>
                                      </a:cubicBezTo>
                                      <a:cubicBezTo>
                                        <a:pt x="2" y="23"/>
                                        <a:pt x="0" y="20"/>
                                        <a:pt x="0" y="16"/>
                                      </a:cubicBezTo>
                                      <a:cubicBezTo>
                                        <a:pt x="0" y="11"/>
                                        <a:pt x="4" y="9"/>
                                        <a:pt x="10" y="9"/>
                                      </a:cubicBezTo>
                                      <a:cubicBezTo>
                                        <a:pt x="13" y="9"/>
                                        <a:pt x="13" y="9"/>
                                        <a:pt x="13" y="9"/>
                                      </a:cubicBezTo>
                                      <a:cubicBezTo>
                                        <a:pt x="13" y="8"/>
                                        <a:pt x="13" y="8"/>
                                        <a:pt x="13" y="8"/>
                                      </a:cubicBezTo>
                                      <a:cubicBezTo>
                                        <a:pt x="13" y="5"/>
                                        <a:pt x="12" y="4"/>
                                        <a:pt x="8" y="4"/>
                                      </a:cubicBezTo>
                                      <a:cubicBezTo>
                                        <a:pt x="6" y="4"/>
                                        <a:pt x="4" y="4"/>
                                        <a:pt x="2" y="5"/>
                                      </a:cubicBezTo>
                                      <a:cubicBezTo>
                                        <a:pt x="1" y="1"/>
                                        <a:pt x="1" y="1"/>
                                        <a:pt x="1" y="1"/>
                                      </a:cubicBezTo>
                                      <a:cubicBezTo>
                                        <a:pt x="3" y="0"/>
                                        <a:pt x="6" y="0"/>
                                        <a:pt x="9" y="0"/>
                                      </a:cubicBezTo>
                                      <a:cubicBezTo>
                                        <a:pt x="16" y="0"/>
                                        <a:pt x="18" y="3"/>
                                        <a:pt x="18" y="7"/>
                                      </a:cubicBezTo>
                                      <a:cubicBezTo>
                                        <a:pt x="18" y="22"/>
                                        <a:pt x="18" y="22"/>
                                        <a:pt x="18" y="22"/>
                                      </a:cubicBezTo>
                                      <a:lnTo>
                                        <a:pt x="14" y="22"/>
                                      </a:lnTo>
                                      <a:close/>
                                      <a:moveTo>
                                        <a:pt x="13" y="12"/>
                                      </a:moveTo>
                                      <a:cubicBezTo>
                                        <a:pt x="10" y="12"/>
                                        <a:pt x="10" y="12"/>
                                        <a:pt x="10" y="12"/>
                                      </a:cubicBezTo>
                                      <a:cubicBezTo>
                                        <a:pt x="7" y="12"/>
                                        <a:pt x="5" y="14"/>
                                        <a:pt x="5" y="16"/>
                                      </a:cubicBezTo>
                                      <a:cubicBezTo>
                                        <a:pt x="5" y="17"/>
                                        <a:pt x="6" y="19"/>
                                        <a:pt x="8" y="19"/>
                                      </a:cubicBezTo>
                                      <a:cubicBezTo>
                                        <a:pt x="10" y="19"/>
                                        <a:pt x="12" y="18"/>
                                        <a:pt x="13" y="17"/>
                                      </a:cubicBezTo>
                                      <a:lnTo>
                                        <a:pt x="13" y="12"/>
                                      </a:lnTo>
                                      <a:close/>
                                    </a:path>
                                  </a:pathLst>
                                </a:custGeom>
                                <a:solidFill>
                                  <a:schemeClr val="accent1">
                                    <a:lumMod val="100000"/>
                                    <a:lumOff val="0"/>
                                  </a:scheme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83" descr="background"/>
                              <wps:cNvSpPr>
                                <a:spLocks/>
                              </wps:cNvSpPr>
                              <wps:spPr bwMode="auto">
                                <a:xfrm>
                                  <a:off x="15030" y="3556"/>
                                  <a:ext cx="622" cy="755"/>
                                </a:xfrm>
                                <a:custGeom>
                                  <a:avLst/>
                                  <a:gdLst>
                                    <a:gd name="T0" fmla="*/ 52651580 w 19"/>
                                    <a:gd name="T1" fmla="*/ 77885472 h 23"/>
                                    <a:gd name="T2" fmla="*/ 52651580 w 19"/>
                                    <a:gd name="T3" fmla="*/ 67264033 h 23"/>
                                    <a:gd name="T4" fmla="*/ 24570899 w 19"/>
                                    <a:gd name="T5" fmla="*/ 81425207 h 23"/>
                                    <a:gd name="T6" fmla="*/ 0 w 19"/>
                                    <a:gd name="T7" fmla="*/ 49563091 h 23"/>
                                    <a:gd name="T8" fmla="*/ 0 w 19"/>
                                    <a:gd name="T9" fmla="*/ 0 h 23"/>
                                    <a:gd name="T10" fmla="*/ 17550188 w 19"/>
                                    <a:gd name="T11" fmla="*/ 0 h 23"/>
                                    <a:gd name="T12" fmla="*/ 17550188 w 19"/>
                                    <a:gd name="T13" fmla="*/ 46023323 h 23"/>
                                    <a:gd name="T14" fmla="*/ 31590529 w 19"/>
                                    <a:gd name="T15" fmla="*/ 63724265 h 23"/>
                                    <a:gd name="T16" fmla="*/ 49141765 w 19"/>
                                    <a:gd name="T17" fmla="*/ 53103910 h 23"/>
                                    <a:gd name="T18" fmla="*/ 49141765 w 19"/>
                                    <a:gd name="T19" fmla="*/ 0 h 23"/>
                                    <a:gd name="T20" fmla="*/ 66691953 w 19"/>
                                    <a:gd name="T21" fmla="*/ 0 h 23"/>
                                    <a:gd name="T22" fmla="*/ 66691953 w 19"/>
                                    <a:gd name="T23" fmla="*/ 77885472 h 23"/>
                                    <a:gd name="T24" fmla="*/ 52651580 w 19"/>
                                    <a:gd name="T25" fmla="*/ 77885472 h 2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9" h="23">
                                      <a:moveTo>
                                        <a:pt x="15" y="22"/>
                                      </a:moveTo>
                                      <a:cubicBezTo>
                                        <a:pt x="15" y="19"/>
                                        <a:pt x="15" y="19"/>
                                        <a:pt x="15" y="19"/>
                                      </a:cubicBezTo>
                                      <a:cubicBezTo>
                                        <a:pt x="12" y="22"/>
                                        <a:pt x="10" y="23"/>
                                        <a:pt x="7" y="23"/>
                                      </a:cubicBezTo>
                                      <a:cubicBezTo>
                                        <a:pt x="2" y="23"/>
                                        <a:pt x="0" y="19"/>
                                        <a:pt x="0" y="14"/>
                                      </a:cubicBezTo>
                                      <a:cubicBezTo>
                                        <a:pt x="0" y="0"/>
                                        <a:pt x="0" y="0"/>
                                        <a:pt x="0" y="0"/>
                                      </a:cubicBezTo>
                                      <a:cubicBezTo>
                                        <a:pt x="5" y="0"/>
                                        <a:pt x="5" y="0"/>
                                        <a:pt x="5" y="0"/>
                                      </a:cubicBezTo>
                                      <a:cubicBezTo>
                                        <a:pt x="5" y="13"/>
                                        <a:pt x="5" y="13"/>
                                        <a:pt x="5" y="13"/>
                                      </a:cubicBezTo>
                                      <a:cubicBezTo>
                                        <a:pt x="5" y="16"/>
                                        <a:pt x="6" y="18"/>
                                        <a:pt x="9" y="18"/>
                                      </a:cubicBezTo>
                                      <a:cubicBezTo>
                                        <a:pt x="11" y="18"/>
                                        <a:pt x="12" y="17"/>
                                        <a:pt x="14" y="15"/>
                                      </a:cubicBezTo>
                                      <a:cubicBezTo>
                                        <a:pt x="14" y="0"/>
                                        <a:pt x="14" y="0"/>
                                        <a:pt x="14" y="0"/>
                                      </a:cubicBezTo>
                                      <a:cubicBezTo>
                                        <a:pt x="19" y="0"/>
                                        <a:pt x="19" y="0"/>
                                        <a:pt x="19" y="0"/>
                                      </a:cubicBezTo>
                                      <a:cubicBezTo>
                                        <a:pt x="19" y="22"/>
                                        <a:pt x="19" y="22"/>
                                        <a:pt x="19" y="22"/>
                                      </a:cubicBezTo>
                                      <a:lnTo>
                                        <a:pt x="15" y="22"/>
                                      </a:lnTo>
                                      <a:close/>
                                    </a:path>
                                  </a:pathLst>
                                </a:custGeom>
                                <a:solidFill>
                                  <a:schemeClr val="accent1">
                                    <a:lumMod val="100000"/>
                                    <a:lumOff val="0"/>
                                  </a:scheme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4" name="Freeform 84"/>
                            <wps:cNvSpPr>
                              <a:spLocks/>
                            </wps:cNvSpPr>
                            <wps:spPr bwMode="auto">
                              <a:xfrm>
                                <a:off x="59091" y="912"/>
                                <a:ext cx="22125" cy="8883"/>
                              </a:xfrm>
                              <a:custGeom>
                                <a:avLst/>
                                <a:gdLst>
                                  <a:gd name="T0" fmla="*/ 2147483647 w 680"/>
                                  <a:gd name="T1" fmla="*/ 0 h 272"/>
                                  <a:gd name="T2" fmla="*/ 0 w 680"/>
                                  <a:gd name="T3" fmla="*/ 2147483647 h 272"/>
                                  <a:gd name="T4" fmla="*/ 2147483647 w 680"/>
                                  <a:gd name="T5" fmla="*/ 2147483647 h 272"/>
                                  <a:gd name="T6" fmla="*/ 2147483647 w 680"/>
                                  <a:gd name="T7" fmla="*/ 2147483647 h 272"/>
                                  <a:gd name="T8" fmla="*/ 2147483647 w 680"/>
                                  <a:gd name="T9" fmla="*/ 0 h 272"/>
                                  <a:gd name="T10" fmla="*/ 2147483647 w 680"/>
                                  <a:gd name="T11" fmla="*/ 0 h 27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80" h="272">
                                    <a:moveTo>
                                      <a:pt x="476" y="0"/>
                                    </a:moveTo>
                                    <a:cubicBezTo>
                                      <a:pt x="186" y="0"/>
                                      <a:pt x="79" y="86"/>
                                      <a:pt x="0" y="116"/>
                                    </a:cubicBezTo>
                                    <a:cubicBezTo>
                                      <a:pt x="128" y="189"/>
                                      <a:pt x="229" y="272"/>
                                      <a:pt x="470" y="272"/>
                                    </a:cubicBezTo>
                                    <a:cubicBezTo>
                                      <a:pt x="528" y="272"/>
                                      <a:pt x="680" y="272"/>
                                      <a:pt x="680" y="272"/>
                                    </a:cubicBezTo>
                                    <a:cubicBezTo>
                                      <a:pt x="680" y="0"/>
                                      <a:pt x="680" y="0"/>
                                      <a:pt x="680" y="0"/>
                                    </a:cubicBezTo>
                                    <a:lnTo>
                                      <a:pt x="476" y="0"/>
                                    </a:lnTo>
                                    <a:close/>
                                  </a:path>
                                </a:pathLst>
                              </a:custGeom>
                              <a:solidFill>
                                <a:schemeClr val="bg1">
                                  <a:lumMod val="100000"/>
                                  <a:lumOff val="0"/>
                                </a:scheme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104" descr="background"/>
                            <wps:cNvSpPr>
                              <a:spLocks/>
                            </wps:cNvSpPr>
                            <wps:spPr bwMode="auto">
                              <a:xfrm>
                                <a:off x="59103" y="929"/>
                                <a:ext cx="22106" cy="8861"/>
                              </a:xfrm>
                              <a:custGeom>
                                <a:avLst/>
                                <a:gdLst>
                                  <a:gd name="T0" fmla="*/ 2147483647 w 680"/>
                                  <a:gd name="T1" fmla="*/ 0 h 272"/>
                                  <a:gd name="T2" fmla="*/ 0 w 680"/>
                                  <a:gd name="T3" fmla="*/ 2147483647 h 272"/>
                                  <a:gd name="T4" fmla="*/ 2147483647 w 680"/>
                                  <a:gd name="T5" fmla="*/ 2147483647 h 272"/>
                                  <a:gd name="T6" fmla="*/ 2147483647 w 680"/>
                                  <a:gd name="T7" fmla="*/ 2147483647 h 272"/>
                                  <a:gd name="T8" fmla="*/ 2147483647 w 680"/>
                                  <a:gd name="T9" fmla="*/ 0 h 272"/>
                                  <a:gd name="T10" fmla="*/ 2147483647 w 680"/>
                                  <a:gd name="T11" fmla="*/ 0 h 272"/>
                                  <a:gd name="T12" fmla="*/ 0 60000 65536"/>
                                  <a:gd name="T13" fmla="*/ 0 60000 65536"/>
                                  <a:gd name="T14" fmla="*/ 0 60000 65536"/>
                                  <a:gd name="T15" fmla="*/ 0 60000 65536"/>
                                  <a:gd name="T16" fmla="*/ 0 60000 65536"/>
                                  <a:gd name="T17" fmla="*/ 0 60000 65536"/>
                                  <a:gd name="T18" fmla="*/ 0 w 680"/>
                                  <a:gd name="T19" fmla="*/ 0 h 272"/>
                                  <a:gd name="T20" fmla="*/ 680 w 680"/>
                                  <a:gd name="T21" fmla="*/ 272 h 272"/>
                                </a:gdLst>
                                <a:ahLst/>
                                <a:cxnLst>
                                  <a:cxn ang="T12">
                                    <a:pos x="T0" y="T1"/>
                                  </a:cxn>
                                  <a:cxn ang="T13">
                                    <a:pos x="T2" y="T3"/>
                                  </a:cxn>
                                  <a:cxn ang="T14">
                                    <a:pos x="T4" y="T5"/>
                                  </a:cxn>
                                  <a:cxn ang="T15">
                                    <a:pos x="T6" y="T7"/>
                                  </a:cxn>
                                  <a:cxn ang="T16">
                                    <a:pos x="T8" y="T9"/>
                                  </a:cxn>
                                  <a:cxn ang="T17">
                                    <a:pos x="T10" y="T11"/>
                                  </a:cxn>
                                </a:cxnLst>
                                <a:rect l="T18" t="T19" r="T20" b="T21"/>
                                <a:pathLst>
                                  <a:path w="680" h="272">
                                    <a:moveTo>
                                      <a:pt x="476" y="0"/>
                                    </a:moveTo>
                                    <a:cubicBezTo>
                                      <a:pt x="186" y="0"/>
                                      <a:pt x="79" y="86"/>
                                      <a:pt x="0" y="116"/>
                                    </a:cubicBezTo>
                                    <a:cubicBezTo>
                                      <a:pt x="128" y="189"/>
                                      <a:pt x="229" y="272"/>
                                      <a:pt x="470" y="272"/>
                                    </a:cubicBezTo>
                                    <a:cubicBezTo>
                                      <a:pt x="528" y="272"/>
                                      <a:pt x="680" y="272"/>
                                      <a:pt x="680" y="272"/>
                                    </a:cubicBezTo>
                                    <a:cubicBezTo>
                                      <a:pt x="680" y="0"/>
                                      <a:pt x="680" y="0"/>
                                      <a:pt x="680" y="0"/>
                                    </a:cubicBezTo>
                                    <a:lnTo>
                                      <a:pt x="476" y="0"/>
                                    </a:lnTo>
                                    <a:close/>
                                  </a:path>
                                </a:pathLst>
                              </a:custGeom>
                              <a:solidFill>
                                <a:srgbClr val="F8F8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A69A878" w14:textId="77777777" w:rsidR="0073787E" w:rsidRPr="007367A7" w:rsidRDefault="0073787E" w:rsidP="00A65678">
                                  <w:pPr>
                                    <w:rPr>
                                      <w:rFonts w:eastAsia="Times New Roman"/>
                                      <w:color w:val="00A9CE" w:themeColor="accent1"/>
                                    </w:rPr>
                                  </w:pPr>
                                </w:p>
                              </w:txbxContent>
                            </wps:txbx>
                            <wps:bodyPr rot="0" vert="horz" wrap="square" lIns="91440" tIns="45720" rIns="91440" bIns="45720" anchor="t" anchorCtr="0" upright="1">
                              <a:noAutofit/>
                            </wps:bodyPr>
                          </wps:wsp>
                        </wpg:grpSp>
                        <pic:pic xmlns:pic="http://schemas.openxmlformats.org/drawingml/2006/picture">
                          <pic:nvPicPr>
                            <pic:cNvPr id="76" name="Picture 40" descr="CSIRO log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65836" y="863"/>
                              <a:ext cx="8941" cy="8789"/>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g:grpSp>
                      <wpg:grpSp>
                        <wpg:cNvPr id="77" name="Group 69"/>
                        <wpg:cNvGrpSpPr>
                          <a:grpSpLocks/>
                        </wpg:cNvGrpSpPr>
                        <wpg:grpSpPr bwMode="auto">
                          <a:xfrm>
                            <a:off x="-827" y="10206"/>
                            <a:ext cx="14774" cy="6659"/>
                            <a:chOff x="0" y="0"/>
                            <a:chExt cx="93818" cy="42291"/>
                          </a:xfrm>
                        </wpg:grpSpPr>
                        <wps:wsp>
                          <wps:cNvPr id="78" name="Rectangle 68"/>
                          <wps:cNvSpPr>
                            <a:spLocks noChangeArrowheads="1"/>
                          </wps:cNvSpPr>
                          <wps:spPr bwMode="auto">
                            <a:xfrm>
                              <a:off x="5257" y="10287"/>
                              <a:ext cx="75990" cy="32004"/>
                            </a:xfrm>
                            <a:prstGeom prst="rect">
                              <a:avLst/>
                            </a:prstGeom>
                            <a:solidFill>
                              <a:schemeClr val="bg1">
                                <a:lumMod val="100000"/>
                                <a:lumOff val="0"/>
                              </a:scheme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g:grpSp>
                          <wpg:cNvPr id="79" name="Group 67"/>
                          <wpg:cNvGrpSpPr>
                            <a:grpSpLocks/>
                          </wpg:cNvGrpSpPr>
                          <wpg:grpSpPr bwMode="auto">
                            <a:xfrm>
                              <a:off x="0" y="0"/>
                              <a:ext cx="93818" cy="26426"/>
                              <a:chOff x="0" y="0"/>
                              <a:chExt cx="93818" cy="26426"/>
                            </a:xfrm>
                          </wpg:grpSpPr>
                          <wps:wsp>
                            <wps:cNvPr id="80" name="Freeform 115" descr="background"/>
                            <wps:cNvSpPr>
                              <a:spLocks/>
                            </wps:cNvSpPr>
                            <wps:spPr bwMode="auto">
                              <a:xfrm>
                                <a:off x="0" y="0"/>
                                <a:ext cx="47104" cy="12071"/>
                              </a:xfrm>
                              <a:custGeom>
                                <a:avLst/>
                                <a:gdLst>
                                  <a:gd name="T0" fmla="*/ 2147483647 w 1458"/>
                                  <a:gd name="T1" fmla="*/ 2147483647 h 374"/>
                                  <a:gd name="T2" fmla="*/ 2147483647 w 1458"/>
                                  <a:gd name="T3" fmla="*/ 0 h 374"/>
                                  <a:gd name="T4" fmla="*/ 0 w 1458"/>
                                  <a:gd name="T5" fmla="*/ 0 h 374"/>
                                  <a:gd name="T6" fmla="*/ 0 w 1458"/>
                                  <a:gd name="T7" fmla="*/ 2147483647 h 374"/>
                                  <a:gd name="T8" fmla="*/ 2147483647 w 1458"/>
                                  <a:gd name="T9" fmla="*/ 2147483647 h 374"/>
                                  <a:gd name="T10" fmla="*/ 2147483647 w 1458"/>
                                  <a:gd name="T11" fmla="*/ 2147483647 h 37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458" h="374">
                                    <a:moveTo>
                                      <a:pt x="1458" y="321"/>
                                    </a:moveTo>
                                    <a:cubicBezTo>
                                      <a:pt x="1158" y="150"/>
                                      <a:pt x="746" y="0"/>
                                      <a:pt x="214" y="0"/>
                                    </a:cubicBezTo>
                                    <a:cubicBezTo>
                                      <a:pt x="0" y="0"/>
                                      <a:pt x="0" y="0"/>
                                      <a:pt x="0" y="0"/>
                                    </a:cubicBezTo>
                                    <a:cubicBezTo>
                                      <a:pt x="0" y="374"/>
                                      <a:pt x="0" y="374"/>
                                      <a:pt x="0" y="374"/>
                                    </a:cubicBezTo>
                                    <a:cubicBezTo>
                                      <a:pt x="680" y="374"/>
                                      <a:pt x="680" y="374"/>
                                      <a:pt x="680" y="374"/>
                                    </a:cubicBezTo>
                                    <a:cubicBezTo>
                                      <a:pt x="1186" y="374"/>
                                      <a:pt x="1351" y="362"/>
                                      <a:pt x="1458" y="321"/>
                                    </a:cubicBezTo>
                                  </a:path>
                                </a:pathLst>
                              </a:custGeom>
                              <a:solidFill>
                                <a:schemeClr val="accent2">
                                  <a:lumMod val="100000"/>
                                  <a:lumOff val="0"/>
                                </a:scheme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16" descr="background"/>
                            <wps:cNvSpPr>
                              <a:spLocks/>
                            </wps:cNvSpPr>
                            <wps:spPr bwMode="auto">
                              <a:xfrm>
                                <a:off x="0" y="14031"/>
                                <a:ext cx="21545" cy="6197"/>
                              </a:xfrm>
                              <a:custGeom>
                                <a:avLst/>
                                <a:gdLst>
                                  <a:gd name="T0" fmla="*/ 2147483647 w 667"/>
                                  <a:gd name="T1" fmla="*/ 2147483647 h 192"/>
                                  <a:gd name="T2" fmla="*/ 2147483647 w 667"/>
                                  <a:gd name="T3" fmla="*/ 0 h 192"/>
                                  <a:gd name="T4" fmla="*/ 0 w 667"/>
                                  <a:gd name="T5" fmla="*/ 0 h 192"/>
                                  <a:gd name="T6" fmla="*/ 0 w 667"/>
                                  <a:gd name="T7" fmla="*/ 2147483647 h 192"/>
                                  <a:gd name="T8" fmla="*/ 2147483647 w 667"/>
                                  <a:gd name="T9" fmla="*/ 2147483647 h 192"/>
                                  <a:gd name="T10" fmla="*/ 2147483647 w 667"/>
                                  <a:gd name="T11" fmla="*/ 2147483647 h 19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67" h="192">
                                    <a:moveTo>
                                      <a:pt x="667" y="165"/>
                                    </a:moveTo>
                                    <a:cubicBezTo>
                                      <a:pt x="513" y="77"/>
                                      <a:pt x="302" y="0"/>
                                      <a:pt x="29" y="0"/>
                                    </a:cubicBezTo>
                                    <a:cubicBezTo>
                                      <a:pt x="0" y="0"/>
                                      <a:pt x="0" y="0"/>
                                      <a:pt x="0" y="0"/>
                                    </a:cubicBezTo>
                                    <a:cubicBezTo>
                                      <a:pt x="0" y="192"/>
                                      <a:pt x="0" y="192"/>
                                      <a:pt x="0" y="192"/>
                                    </a:cubicBezTo>
                                    <a:cubicBezTo>
                                      <a:pt x="268" y="192"/>
                                      <a:pt x="268" y="192"/>
                                      <a:pt x="268" y="192"/>
                                    </a:cubicBezTo>
                                    <a:cubicBezTo>
                                      <a:pt x="528" y="192"/>
                                      <a:pt x="612" y="186"/>
                                      <a:pt x="667" y="165"/>
                                    </a:cubicBezTo>
                                  </a:path>
                                </a:pathLst>
                              </a:custGeom>
                              <a:solidFill>
                                <a:schemeClr val="accent1">
                                  <a:lumMod val="100000"/>
                                  <a:lumOff val="0"/>
                                </a:scheme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17" descr="background"/>
                            <wps:cNvSpPr>
                              <a:spLocks/>
                            </wps:cNvSpPr>
                            <wps:spPr bwMode="auto">
                              <a:xfrm>
                                <a:off x="21441" y="14031"/>
                                <a:ext cx="72269" cy="12395"/>
                              </a:xfrm>
                              <a:custGeom>
                                <a:avLst/>
                                <a:gdLst>
                                  <a:gd name="T0" fmla="*/ 2147483647 w 2237"/>
                                  <a:gd name="T1" fmla="*/ 0 h 384"/>
                                  <a:gd name="T2" fmla="*/ 0 w 2237"/>
                                  <a:gd name="T3" fmla="*/ 2147483647 h 384"/>
                                  <a:gd name="T4" fmla="*/ 2147483647 w 2237"/>
                                  <a:gd name="T5" fmla="*/ 2147483647 h 384"/>
                                  <a:gd name="T6" fmla="*/ 2147483647 w 2237"/>
                                  <a:gd name="T7" fmla="*/ 2147483647 h 384"/>
                                  <a:gd name="T8" fmla="*/ 2147483647 w 2237"/>
                                  <a:gd name="T9" fmla="*/ 0 h 384"/>
                                  <a:gd name="T10" fmla="*/ 2147483647 w 2237"/>
                                  <a:gd name="T11" fmla="*/ 0 h 38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237" h="384">
                                    <a:moveTo>
                                      <a:pt x="669" y="0"/>
                                    </a:moveTo>
                                    <a:cubicBezTo>
                                      <a:pt x="262" y="0"/>
                                      <a:pt x="112" y="122"/>
                                      <a:pt x="0" y="165"/>
                                    </a:cubicBezTo>
                                    <a:cubicBezTo>
                                      <a:pt x="180" y="268"/>
                                      <a:pt x="322" y="384"/>
                                      <a:pt x="661" y="384"/>
                                    </a:cubicBezTo>
                                    <a:cubicBezTo>
                                      <a:pt x="743" y="384"/>
                                      <a:pt x="2237" y="384"/>
                                      <a:pt x="2237" y="384"/>
                                    </a:cubicBezTo>
                                    <a:cubicBezTo>
                                      <a:pt x="2237" y="0"/>
                                      <a:pt x="2237" y="0"/>
                                      <a:pt x="2237" y="0"/>
                                    </a:cubicBezTo>
                                    <a:lnTo>
                                      <a:pt x="669" y="0"/>
                                    </a:lnTo>
                                    <a:close/>
                                  </a:path>
                                </a:pathLst>
                              </a:custGeom>
                              <a:solidFill>
                                <a:schemeClr val="accent1">
                                  <a:lumMod val="100000"/>
                                  <a:lumOff val="0"/>
                                </a:scheme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18" descr="background"/>
                            <wps:cNvSpPr>
                              <a:spLocks/>
                            </wps:cNvSpPr>
                            <wps:spPr bwMode="auto">
                              <a:xfrm>
                                <a:off x="46981" y="0"/>
                                <a:ext cx="46837" cy="24180"/>
                              </a:xfrm>
                              <a:custGeom>
                                <a:avLst/>
                                <a:gdLst>
                                  <a:gd name="T0" fmla="*/ 2147483647 w 1450"/>
                                  <a:gd name="T1" fmla="*/ 0 h 749"/>
                                  <a:gd name="T2" fmla="*/ 0 w 1450"/>
                                  <a:gd name="T3" fmla="*/ 2147483647 h 749"/>
                                  <a:gd name="T4" fmla="*/ 2147483647 w 1450"/>
                                  <a:gd name="T5" fmla="*/ 2147483647 h 749"/>
                                  <a:gd name="T6" fmla="*/ 2147483647 w 1450"/>
                                  <a:gd name="T7" fmla="*/ 2147483647 h 749"/>
                                  <a:gd name="T8" fmla="*/ 2147483647 w 1450"/>
                                  <a:gd name="T9" fmla="*/ 0 h 749"/>
                                  <a:gd name="T10" fmla="*/ 2147483647 w 1450"/>
                                  <a:gd name="T11" fmla="*/ 0 h 749"/>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450" h="749">
                                    <a:moveTo>
                                      <a:pt x="1306" y="0"/>
                                    </a:moveTo>
                                    <a:cubicBezTo>
                                      <a:pt x="512" y="0"/>
                                      <a:pt x="218" y="238"/>
                                      <a:pt x="0" y="321"/>
                                    </a:cubicBezTo>
                                    <a:cubicBezTo>
                                      <a:pt x="351" y="522"/>
                                      <a:pt x="628" y="749"/>
                                      <a:pt x="1291" y="749"/>
                                    </a:cubicBezTo>
                                    <a:cubicBezTo>
                                      <a:pt x="1450" y="749"/>
                                      <a:pt x="1446" y="749"/>
                                      <a:pt x="1446" y="749"/>
                                    </a:cubicBezTo>
                                    <a:cubicBezTo>
                                      <a:pt x="1446" y="0"/>
                                      <a:pt x="1446" y="0"/>
                                      <a:pt x="1446" y="0"/>
                                    </a:cubicBezTo>
                                    <a:lnTo>
                                      <a:pt x="1306" y="0"/>
                                    </a:lnTo>
                                    <a:close/>
                                  </a:path>
                                </a:pathLst>
                              </a:custGeom>
                              <a:solidFill>
                                <a:schemeClr val="accent2">
                                  <a:lumMod val="100000"/>
                                  <a:lumOff val="0"/>
                                </a:scheme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19" descr="background"/>
                            <wps:cNvSpPr>
                              <a:spLocks/>
                            </wps:cNvSpPr>
                            <wps:spPr bwMode="auto">
                              <a:xfrm>
                                <a:off x="0" y="22702"/>
                                <a:ext cx="71170" cy="1422"/>
                              </a:xfrm>
                              <a:custGeom>
                                <a:avLst/>
                                <a:gdLst>
                                  <a:gd name="T0" fmla="*/ 2147483647 w 2203"/>
                                  <a:gd name="T1" fmla="*/ 2147483647 h 44"/>
                                  <a:gd name="T2" fmla="*/ 2147483647 w 2203"/>
                                  <a:gd name="T3" fmla="*/ 0 h 44"/>
                                  <a:gd name="T4" fmla="*/ 0 w 2203"/>
                                  <a:gd name="T5" fmla="*/ 0 h 44"/>
                                  <a:gd name="T6" fmla="*/ 0 w 2203"/>
                                  <a:gd name="T7" fmla="*/ 2147483647 h 44"/>
                                  <a:gd name="T8" fmla="*/ 2147483647 w 2203"/>
                                  <a:gd name="T9" fmla="*/ 2147483647 h 44"/>
                                  <a:gd name="T10" fmla="*/ 2147483647 w 2203"/>
                                  <a:gd name="T11" fmla="*/ 2147483647 h 4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203" h="44">
                                    <a:moveTo>
                                      <a:pt x="2203" y="38"/>
                                    </a:moveTo>
                                    <a:cubicBezTo>
                                      <a:pt x="2169" y="21"/>
                                      <a:pt x="2120" y="0"/>
                                      <a:pt x="2058" y="0"/>
                                    </a:cubicBezTo>
                                    <a:cubicBezTo>
                                      <a:pt x="0" y="0"/>
                                      <a:pt x="0" y="0"/>
                                      <a:pt x="0" y="0"/>
                                    </a:cubicBezTo>
                                    <a:cubicBezTo>
                                      <a:pt x="0" y="44"/>
                                      <a:pt x="0" y="44"/>
                                      <a:pt x="0" y="44"/>
                                    </a:cubicBezTo>
                                    <a:cubicBezTo>
                                      <a:pt x="2112" y="44"/>
                                      <a:pt x="2112" y="44"/>
                                      <a:pt x="2112" y="44"/>
                                    </a:cubicBezTo>
                                    <a:cubicBezTo>
                                      <a:pt x="2112" y="44"/>
                                      <a:pt x="2193" y="40"/>
                                      <a:pt x="2203" y="38"/>
                                    </a:cubicBezTo>
                                  </a:path>
                                </a:pathLst>
                              </a:custGeom>
                              <a:solidFill>
                                <a:schemeClr val="accent2">
                                  <a:lumMod val="100000"/>
                                  <a:lumOff val="0"/>
                                </a:scheme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20" descr="background"/>
                            <wps:cNvSpPr>
                              <a:spLocks/>
                            </wps:cNvSpPr>
                            <wps:spPr bwMode="auto">
                              <a:xfrm>
                                <a:off x="71102" y="22702"/>
                                <a:ext cx="22644" cy="2838"/>
                              </a:xfrm>
                              <a:custGeom>
                                <a:avLst/>
                                <a:gdLst>
                                  <a:gd name="T0" fmla="*/ 2147483647 w 701"/>
                                  <a:gd name="T1" fmla="*/ 0 h 88"/>
                                  <a:gd name="T2" fmla="*/ 0 w 701"/>
                                  <a:gd name="T3" fmla="*/ 2147483647 h 88"/>
                                  <a:gd name="T4" fmla="*/ 2147483647 w 701"/>
                                  <a:gd name="T5" fmla="*/ 2147483647 h 88"/>
                                  <a:gd name="T6" fmla="*/ 2147483647 w 701"/>
                                  <a:gd name="T7" fmla="*/ 2147483647 h 88"/>
                                  <a:gd name="T8" fmla="*/ 2147483647 w 701"/>
                                  <a:gd name="T9" fmla="*/ 0 h 88"/>
                                  <a:gd name="T10" fmla="*/ 2147483647 w 701"/>
                                  <a:gd name="T11" fmla="*/ 0 h 8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01" h="88">
                                    <a:moveTo>
                                      <a:pt x="153" y="0"/>
                                    </a:moveTo>
                                    <a:cubicBezTo>
                                      <a:pt x="60" y="0"/>
                                      <a:pt x="26" y="28"/>
                                      <a:pt x="0" y="38"/>
                                    </a:cubicBezTo>
                                    <a:cubicBezTo>
                                      <a:pt x="41" y="61"/>
                                      <a:pt x="74" y="88"/>
                                      <a:pt x="151" y="88"/>
                                    </a:cubicBezTo>
                                    <a:cubicBezTo>
                                      <a:pt x="701" y="88"/>
                                      <a:pt x="701" y="88"/>
                                      <a:pt x="701" y="88"/>
                                    </a:cubicBezTo>
                                    <a:cubicBezTo>
                                      <a:pt x="701" y="0"/>
                                      <a:pt x="701" y="0"/>
                                      <a:pt x="701" y="0"/>
                                    </a:cubicBezTo>
                                    <a:lnTo>
                                      <a:pt x="153" y="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22" descr="background"/>
                            <wps:cNvSpPr>
                              <a:spLocks/>
                            </wps:cNvSpPr>
                            <wps:spPr bwMode="auto">
                              <a:xfrm>
                                <a:off x="0" y="18445"/>
                                <a:ext cx="60090" cy="2807"/>
                              </a:xfrm>
                              <a:custGeom>
                                <a:avLst/>
                                <a:gdLst>
                                  <a:gd name="T0" fmla="*/ 2147483647 w 1860"/>
                                  <a:gd name="T1" fmla="*/ 2147483647 h 87"/>
                                  <a:gd name="T2" fmla="*/ 2147483647 w 1860"/>
                                  <a:gd name="T3" fmla="*/ 2147483647 h 87"/>
                                  <a:gd name="T4" fmla="*/ 2147483647 w 1860"/>
                                  <a:gd name="T5" fmla="*/ 0 h 87"/>
                                  <a:gd name="T6" fmla="*/ 0 w 1860"/>
                                  <a:gd name="T7" fmla="*/ 0 h 87"/>
                                  <a:gd name="T8" fmla="*/ 0 w 1860"/>
                                  <a:gd name="T9" fmla="*/ 2147483647 h 87"/>
                                  <a:gd name="T10" fmla="*/ 2147483647 w 1860"/>
                                  <a:gd name="T11" fmla="*/ 2147483647 h 8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860" h="87">
                                    <a:moveTo>
                                      <a:pt x="1707" y="87"/>
                                    </a:moveTo>
                                    <a:cubicBezTo>
                                      <a:pt x="1800" y="87"/>
                                      <a:pt x="1834" y="59"/>
                                      <a:pt x="1860" y="50"/>
                                    </a:cubicBezTo>
                                    <a:cubicBezTo>
                                      <a:pt x="1819" y="26"/>
                                      <a:pt x="1786" y="0"/>
                                      <a:pt x="1709" y="0"/>
                                    </a:cubicBezTo>
                                    <a:cubicBezTo>
                                      <a:pt x="0" y="0"/>
                                      <a:pt x="0" y="0"/>
                                      <a:pt x="0" y="0"/>
                                    </a:cubicBezTo>
                                    <a:cubicBezTo>
                                      <a:pt x="0" y="87"/>
                                      <a:pt x="0" y="87"/>
                                      <a:pt x="0" y="87"/>
                                    </a:cubicBezTo>
                                    <a:lnTo>
                                      <a:pt x="1707" y="87"/>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5DFF5F34" id="Group 103" o:spid="_x0000_s1026" alt="background" style="position:absolute;margin-left:-98.05pt;margin-top:-9.4pt;width:738.7pt;height:797.35pt;z-index:-251579392" coordorigin="-827,918" coordsize="14774,1594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">
                <v:group id="Group 99" o:spid="_x0000_s1027" style="position:absolute;left:-262;top:918;width:12749;height:1610" coordsize="80962,10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group id="Group 81" o:spid="_x0000_s1028" style="position:absolute;width:80962;height:10223" coordorigin="254,226" coordsize="80962,10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Freeform 70" o:spid="_x0000_s1029" alt="background" style="position:absolute;left:254;top:226;width:80962;height:10224;visibility:visible;mso-wrap-style:square;v-text-anchor:top" coordsize="2488,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Tsv8MA&#10;AADbAAAADwAAAGRycy9kb3ducmV2LnhtbESPT4vCMBTE7wt+h/AEb2uqUFmrUUQRBdkF/1z29mye&#10;bbF5CU3U+u03grDHYWZ+w0znranFnRpfWVYw6CcgiHOrKy4UnI7rzy8QPiBrrC2Tgid5mM86H1PM&#10;tH3wnu6HUIgIYZ+hgjIEl0np85IM+r51xNG72MZgiLIppG7wEeGmlsMkGUmDFceFEh0tS8qvh5tR&#10;8LPbBzc8r/h3k6bupI/j6676VqrXbRcTEIHa8B9+t7daQTqG1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Tsv8MAAADbAAAADwAAAAAAAAAAAAAAAACYAgAAZHJzL2Rv&#10;d25yZXYueG1sUEsFBgAAAAAEAAQA9QAAAIgDAAAAAA==&#10;" path="m2488,21v-204,,-204,,-204,c1994,21,1887,107,1808,137v97,81,229,176,470,176c2336,313,2488,313,2488,313v,-292,,-292,,-292m1354,c,,,,,,,157,,157,,157v1524,,1524,,1524,c1709,157,1769,152,1808,137v,,,,,c1808,137,1808,137,1808,137,1710,57,1548,,1354,e" fillcolor="#bfbfbf" stroked="f">
                      <v:path arrowok="t" o:connecttype="custom" o:connectlocs="2147483646,2147483646;2147483646,2147483646;2147483646,2147483646;2147483646,2147483646;2147483646,2147483646;2147483646,2147483646;2147483646,0;0,0;0,2147483646;2147483646,2147483646;2147483646,2147483646;2147483646,2147483646;2147483646,2147483646;2147483646,0" o:connectangles="0,0,0,0,0,0,0,0,0,0,0,0,0,0"/>
                      <o:lock v:ext="edit" verticies="t"/>
                    </v:shape>
                    <v:shape id="Freeform 71" o:spid="_x0000_s1030" alt="background" style="position:absolute;left:254;top:912;width:58837;height:4442;visibility:visible;mso-wrap-style:square;v-text-anchor:top" coordsize="1808,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43GrwA&#10;AADbAAAADwAAAGRycy9kb3ducmV2LnhtbERPuwrCMBTdBf8hXMFFNNWhSG0UEQRXq4jjpbl9aHNT&#10;mqjVrzeD4Hg473TTm0Y8qXO1ZQXzWQSCOLe65lLB+bSfLkE4j6yxsUwK3uRgsx4OUky0ffGRnpkv&#10;RQhhl6CCyvs2kdLlFRl0M9sSB66wnUEfYFdK3eErhJtGLqIolgZrDg0VtrSrKL9nD6Pgejlkruhv&#10;u7Mrsu2H75NYLx9KjUf9dgXCU+//4p/7oBXEYX34En6AXH8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ezjcavAAAANsAAAAPAAAAAAAAAAAAAAAAAJgCAABkcnMvZG93bnJldi54&#10;bWxQSwUGAAAAAAQABAD1AAAAgQMAAAAA&#10;" path="m1808,116c1698,54,1548,,1354,,,,,,,,,136,,136,,136v1524,,1524,,1524,c1709,136,1769,131,1808,116e" fillcolor="#00313c [3205]" stroked="f">
                      <v:path arrowok="t" o:connecttype="custom" o:connectlocs="2147483646,2147483646;2147483646,0;0,0;0,2147483646;2147483646,2147483646;2147483646,2147483646" o:connectangles="0,0,0,0,0,0"/>
                    </v:shape>
                    <v:group id="Group 105" o:spid="_x0000_s1031" style="position:absolute;left:9186;top:3326;width:8853;height:1049" coordorigin="6800,3263" coordsize="8851,10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Freeform 72" o:spid="_x0000_s1032" alt="background" style="position:absolute;left:6800;top:3556;width:1042;height:717;visibility:visible;mso-wrap-style:square;v-text-anchor:top" coordsize="3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FSEcUA&#10;AADbAAAADwAAAGRycy9kb3ducmV2LnhtbESPT2sCMRTE74LfITyhN83Wg9XVKKJIBXvxT6vHZ/K6&#10;u7p5WTZRt9++KQg9DjPzG2Yya2wp7lT7wrGC114Cglg7U3Cm4LBfdYcgfEA2WDomBT/kYTZttyaY&#10;GvfgLd13IRMRwj5FBXkIVSql1zlZ9D1XEUfv29UWQ5R1Jk2Njwi3pewnyUBaLDgu5FjRIid93d2s&#10;Av1+3F5P+mvkP+bL9d5uzp8X/6bUS6eZj0EEasJ/+NleGwWDPvx9iT9AT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wVIRxQAAANsAAAAPAAAAAAAAAAAAAAAAAJgCAABkcnMv&#10;ZG93bnJldi54bWxQSwUGAAAAAAQABAD1AAAAigMAAAAA&#10;" path="m32,c31,8,29,15,26,22v-6,,-6,,-6,c17,9,17,9,17,9,16,7,16,7,16,7v,,,,,c15,9,15,9,15,9,12,22,12,22,12,22v-6,,-6,,-6,c3,15,1,8,,,5,,5,,5,,6,5,7,9,8,13v1,1,1,3,1,4c9,17,9,17,9,17v1,-4,1,-4,1,-4c13,,13,,13,v6,,6,,6,c23,14,23,14,23,14v,3,,3,,3c23,17,23,17,23,17v1,-1,1,-3,1,-4c25,9,26,5,27,r5,xe" fillcolor="#00a9ce [3204]" stroked="f">
                        <v:path arrowok="t" o:connecttype="custom" o:connectlocs="2147483646,0;2147483646,2147483646;2147483646,2147483646;1910147282,1016147881;1797797214,790340659;1797797214,790340659;1685448220,1016147881;1348365128,2147483646;674165078,2147483646;0,0;561816084,0;898899144,1467795274;1011248138,1919408642;1011248138,1919408642;1123632136,1467795274;1460715196,0;2134880274,0;2147483646,1580681351;2147483646,1919408642;2147483646,1919408642;2147483646,1467795274;2147483646,0;2147483646,0" o:connectangles="0,0,0,0,0,0,0,0,0,0,0,0,0,0,0,0,0,0,0,0,0,0,0"/>
                      </v:shape>
                      <v:shape id="Freeform 73" o:spid="_x0000_s1033" alt="background" style="position:absolute;left:7969;top:3556;width:1073;height:717;visibility:visible;mso-wrap-style:square;v-text-anchor:top" coordsize="3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wx/8MA&#10;AADbAAAADwAAAGRycy9kb3ducmV2LnhtbESPzWrDMBCE74W8g9hAb7XcFtzgWAklIcbgS/PzAIu1&#10;/iHWylhqbL99VSj0OMzMN0y2n00vHjS6zrKC1ygGQVxZ3XGj4HY9vWxAOI+ssbdMChZysN+tnjJM&#10;tZ34TI+Lb0SAsEtRQev9kErpqpYMusgOxMGr7WjQBzk2Uo84Bbjp5VscJ9Jgx2GhxYEOLVX3y7dR&#10;8NHIc5nkxWyLSZ6OS1mX+Vet1PN6/tyC8DT7//Bfu9AKknf4/RJ+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wx/8MAAADbAAAADwAAAAAAAAAAAAAAAACYAgAAZHJzL2Rv&#10;d25yZXYueG1sUEsFBgAAAAAEAAQA9QAAAIgDAAAAAA==&#10;" path="m33,c31,8,29,15,26,22v-6,,-6,,-6,c17,9,17,9,17,9,16,7,16,7,16,7v,,,,,c16,9,16,9,16,9,12,22,12,22,12,22v-6,,-6,,-6,c4,15,1,8,,,5,,5,,5,,6,5,7,9,9,13v,1,,3,,4c9,17,9,17,9,17v1,-4,1,-4,1,-4c14,,14,,14,v5,,5,,5,c23,14,23,14,23,14v1,3,1,3,1,3c24,17,24,17,24,17v,-1,,-3,1,-4c26,9,27,5,28,r5,xe" fillcolor="#00a9ce [3204]" stroked="f">
                        <v:path arrowok="t" o:connecttype="custom" o:connectlocs="2147483646,0;2147483646,2147483646;2147483646,2147483646;1900417060,1016147881;1788659916,790340659;1788659916,790340659;1788659916,1016147881;1341494937,2147483646;670748005,2147483646;0,0;558955972,0;1006120918,1467795274;1006120918,1919408642;1006120918,1919408642;1117912984,1467795274;1565077963,0;2124000086,0;2147483646,1580681351;2147483646,1919408642;2147483646,1919408642;2147483646,1467795274;2147483646,0;2147483646,0" o:connectangles="0,0,0,0,0,0,0,0,0,0,0,0,0,0,0,0,0,0,0,0,0,0,0"/>
                      </v:shape>
                      <v:shape id="Freeform 74" o:spid="_x0000_s1034" alt="background" style="position:absolute;left:9144;top:3556;width:1073;height:717;visibility:visible;mso-wrap-style:square;v-text-anchor:top" coordsize="3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Wpi8MA&#10;AADbAAAADwAAAGRycy9kb3ducmV2LnhtbESPzWrDMBCE74W8g9hAb7XcUtzgWAklIcbgS/PzAIu1&#10;/iHWylhqbL99VSj0OMzMN0y2n00vHjS6zrKC1ygGQVxZ3XGj4HY9vWxAOI+ssbdMChZysN+tnjJM&#10;tZ34TI+Lb0SAsEtRQev9kErpqpYMusgOxMGr7WjQBzk2Uo84Bbjp5VscJ9Jgx2GhxYEOLVX3y7dR&#10;8NHIc5nkxWyLSZ6OS1mX+Vet1PN6/tyC8DT7//Bfu9AKknf4/RJ+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Wpi8MAAADbAAAADwAAAAAAAAAAAAAAAACYAgAAZHJzL2Rv&#10;d25yZXYueG1sUEsFBgAAAAAEAAQA9QAAAIgDAAAAAA==&#10;" path="m33,c31,8,29,15,27,22v-6,,-6,,-6,c17,9,17,9,17,9,16,7,16,7,16,7v,,,,,c16,9,16,9,16,9,13,22,13,22,13,22v-7,,-7,,-7,c4,15,2,8,,,6,,6,,6,,7,5,8,9,9,13v,1,,3,1,4c10,17,10,17,10,17v1,-4,1,-4,1,-4c14,,14,,14,v5,,5,,5,c23,14,23,14,23,14v1,3,1,3,1,3c24,17,24,17,24,17v,-1,1,-3,1,-4c26,9,27,5,28,r5,xe" fillcolor="#00a9ce [3204]" stroked="f">
                        <v:path arrowok="t" o:connecttype="custom" o:connectlocs="2147483646,0;2147483646,2147483646;2147483646,2147483646;1900417060,1016147881;1788659916,790340659;1788659916,790340659;1788659916,1016147881;1453286970,2147483646;670748005,2147483646;0,0;670748005,0;1006120918,1467795274;1117912984,1919408642;1117912984,1919408642;1229703944,1467795274;1565077963,0;2124000086,0;2147483646,1580681351;2147483646,1919408642;2147483646,1919408642;2147483646,1467795274;2147483646,0;2147483646,0" o:connectangles="0,0,0,0,0,0,0,0,0,0,0,0,0,0,0,0,0,0,0,0,0,0,0"/>
                      </v:shape>
                      <v:oval id="Oval 75" o:spid="_x0000_s1035" alt="background" style="position:absolute;left:10312;top:4044;width:229;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qZ48QA&#10;AADbAAAADwAAAGRycy9kb3ducmV2LnhtbESPQWvCQBSE7wX/w/KE3upuC0pJXaWKlV5aGpXi8Zl9&#10;JsHs25B91fTfdwuCx2FmvmGm89436kxdrANbeBwZUMRFcDWXFnbbt4dnUFGQHTaBycIvRZjPBndT&#10;zFy4cE7njZQqQThmaKESaTOtY1GRxzgKLXHyjqHzKEl2pXYdXhLcN/rJmIn2WHNaqLClZUXFafPj&#10;LXycFquj2X1/frVi8v3a5/1BFtbeD/vXF1BCvdzC1/a7szAZw/+X9AP0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KmePEAAAA2wAAAA8AAAAAAAAAAAAAAAAAmAIAAGRycy9k&#10;b3ducmV2LnhtbFBLBQYAAAAABAAEAPUAAACJAwAAAAA=&#10;" fillcolor="#00a9ce [3204]" stroked="f"/>
                      <v:shape id="Freeform 76" o:spid="_x0000_s1036" alt="background" style="position:absolute;left:10674;top:3556;width:552;height:717;visibility:visible;mso-wrap-style:square;v-text-anchor:top" coordsize="1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oCP8QA&#10;AADbAAAADwAAAGRycy9kb3ducmV2LnhtbESPX2vCMBTF3wd+h3CFvQxNHVKlayoiDITJhm4Pe7w0&#10;17bY3NQk1uqnXwaDPR7Onx8nXw2mFT0531hWMJsmIIhLqxuuFHx9vk6WIHxA1thaJgU38rAqRg85&#10;ZtpeeU/9IVQijrDPUEEdQpdJ6cuaDPqp7Yijd7TOYIjSVVI7vMZx08rnJEmlwYYjocaONjWVp8PF&#10;RMj3rn9P0H3ctzwneV5c/Fv3pNTjeFi/gAg0hP/wX3urFaQp/H6JP0A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KAj/EAAAA2wAAAA8AAAAAAAAAAAAAAAAAmAIAAGRycy9k&#10;b3ducmV2LnhtbFBLBQYAAAAABAAEAPUAAACJAwAAAAA=&#10;" path="m17,21v-3,1,-5,1,-7,1c3,22,,18,,12,,4,5,,11,v2,,4,,5,1c15,5,15,5,15,5,14,5,13,4,11,4,8,4,6,7,6,11v,5,2,7,5,7c13,18,14,18,16,17r1,4xe" fillcolor="#00a9ce [3204]" stroked="f">
                        <v:path arrowok="t" o:connecttype="custom" o:connectlocs="1891313541,2147483646;1112535446,2147483646;0,1354875172;1223798807,0;1780049142,112921145;1668819518,564534513;1223798807,451613368;667514735,1241989095;1223798807,2032329786;1780049142,1919408642;1891313541,2147483646" o:connectangles="0,0,0,0,0,0,0,0,0,0,0"/>
                      </v:shape>
                      <v:shape id="Freeform 77" o:spid="_x0000_s1037" alt="background" style="position:absolute;left:11322;top:3556;width:520;height:755;visibility:visible;mso-wrap-style:square;v-text-anchor:top" coordsize="1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eyrcMA&#10;AADbAAAADwAAAGRycy9kb3ducmV2LnhtbESPwWrDMBBE74X8g9hAbrWcQNLiWgkhEOghPdguPW+t&#10;rW1irYykOk6/vjIUehxm3gyTHybTi5Gc7ywrWCcpCOLa6o4bBe/V+fEZhA/IGnvLpOBOHg77xUOO&#10;mbY3LmgsQyNiCfsMFbQhDJmUvm7JoE/sQBy9L+sMhihdI7XDWyw3vdyk6U4a7DgutDjQqaX6Wn4b&#10;BbunxsmP4m363F4vm7p0409RSaVWy+n4AiLQFP7Df/SrnjmYv8Qf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jeyrcMAAADbAAAADwAAAAAAAAAAAAAAAACYAgAAZHJzL2Rv&#10;d25yZXYueG1sUEsFBgAAAAAEAAQA9QAAAIgDAAAAAA==&#10;" path="m7,23c5,23,3,22,,22,1,17,1,17,1,17v2,1,4,1,6,1c9,18,10,18,10,16,10,15,9,14,6,13,3,12,1,10,1,7,1,3,4,,9,v2,,4,,5,1c14,5,14,5,14,5,12,4,11,4,9,4,7,4,6,5,6,6v,2,1,2,4,3c14,10,16,12,16,15v,5,-4,8,-9,8xe" fillcolor="#00a9ce [3204]" stroked="f">
                        <v:path arrowok="t" o:connecttype="custom" o:connectlocs="782029560,2147483646;0,2147483646;111703735,1975587032;782029560,2091818264;1117174500,1859390300;670290985,1510765603;111703735,813480626;1005436998,0;1564024248,116196732;1564024248,581052661;1005436998,464855929;670290985,697284977;1117174500,1045909674;1787465485,1743193567;782029560,2147483646" o:connectangles="0,0,0,0,0,0,0,0,0,0,0,0,0,0,0"/>
                      </v:shape>
                      <v:shape id="Freeform 78" o:spid="_x0000_s1038" alt="background" style="position:absolute;left:11938;top:3263;width:298;height:1010;visibility:visible;mso-wrap-style:square;v-text-anchor:top" coordsize="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Y69sMA&#10;AADbAAAADwAAAGRycy9kb3ducmV2LnhtbERPS0/CQBC+m/AfNkPiTbaIAlYWIhKjF2N4XLhNukPb&#10;2J2t3aEt/nr2YOLxy/derHpXqZaaUHo2MB4loIgzb0vODRz2b3dzUEGQLVaeycCFAqyWg5sFptZ3&#10;vKV2J7mKIRxSNFCI1KnWISvIYRj5mjhyJ984lAibXNsGuxjuKn2fJFPtsOTYUGBNrwVl37uzM7Dm&#10;2Xu3mfivX3lMHqQ9fv7sZ0/G3A77l2dQQr38i//cH9bANI6NX+IP0M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Y69sMAAADbAAAADwAAAAAAAAAAAAAAAACYAgAAZHJzL2Rv&#10;d25yZXYueG1sUEsFBgAAAAAEAAQA9QAAAIgDAAAAAA==&#10;" path="m3,31c3,13,3,13,3,13,,13,,13,,13,,9,,9,,9v8,,8,,8,c8,31,8,31,8,31r-5,xm6,6c4,6,2,5,2,3,2,1,4,,6,,8,,9,1,9,3,9,5,8,6,6,6xe" fillcolor="#00a9ce [3204]" stroked="f">
                        <v:path arrowok="t" o:connecttype="custom" o:connectlocs="361124214,2147483646;361124214,1464299955;0,1464299955;0,1013735241;963035541,1013735241;963035541,2147483646;361124214,2147483646;722285678,675846517;240749829,337922705;722285678,0;1083409893,337922705;722285678,675846517" o:connectangles="0,0,0,0,0,0,0,0,0,0,0,0"/>
                        <o:lock v:ext="edit" verticies="t"/>
                      </v:shape>
                      <v:shape id="Freeform 79" o:spid="_x0000_s1039" alt="background" style="position:absolute;left:12426;top:3556;width:426;height:717;visibility:visible;mso-wrap-style:square;v-text-anchor:top" coordsize="1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OZ2sMA&#10;AADbAAAADwAAAGRycy9kb3ducmV2LnhtbESPT4vCMBTE74LfITzBi6ypfxC3GkVFYQ8ebN3DHh/N&#10;sy02L6WJWr+9WRA8DjPzG2a5bk0l7tS40rKC0TACQZxZXXKu4Pd8+JqDcB5ZY2WZFDzJwXrV7Swx&#10;1vbBCd1Tn4sAYRejgsL7OpbSZQUZdENbEwfvYhuDPsgml7rBR4CbSo6jaCYNlhwWCqxpV1B2TW9G&#10;QZJOJ8fotJ1P8JLQnhLaTf8GSvV77WYBwlPrP+F3+0crmH3D/5fwA+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OZ2sMAAADbAAAADwAAAAAAAAAAAAAAAACYAgAAZHJzL2Rv&#10;d25yZXYueG1sUEsFBgAAAAAEAAQA9QAAAIgDAAAAAA==&#10;" path="m12,5v,,-1,,-2,c9,5,7,6,5,9v,13,,13,,13c,22,,22,,22,,,,,,,4,,4,,4,,5,4,5,4,5,4,7,1,8,,10,v1,,2,,3,l12,5xe" fillcolor="#00a9ce [3204]" stroked="f">
                        <v:path arrowok="t" o:connecttype="custom" o:connectlocs="1381916113,564534513;1151609110,564534513;575786843,1016147881;575786843,2147483646;0,2147483646;0,0;460650512,0;575786843,451613368;1151609110,0;1497087868,0;1381916113,564534513" o:connectangles="0,0,0,0,0,0,0,0,0,0,0"/>
                      </v:shape>
                      <v:shape id="Freeform 80" o:spid="_x0000_s1040" alt="background" style="position:absolute;left:12947;top:3556;width:718;height:755;visibility:visible;mso-wrap-style:square;v-text-anchor:top" coordsize="2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oWk8EA&#10;AADbAAAADwAAAGRycy9kb3ducmV2LnhtbERPTWvCQBC9F/wPywje6sYebImuokLRi2BtEY9DdpKs&#10;ZmdDdtS0v757KPT4eN/zZe8bdacuusAGJuMMFHERrOPKwNfn+/MbqCjIFpvAZOCbIiwXg6c55jY8&#10;+IPuR6lUCuGYo4FapM21jkVNHuM4tMSJK0PnURLsKm07fKRw3+iXLJtqj45TQ40tbWoqrsebN3DY&#10;6vJwEnRnLG/Tcn3Zu5+TGDMa9qsZKKFe/sV/7p018JrWpy/pB+j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56FpPBAAAA2wAAAA8AAAAAAAAAAAAAAAAAmAIAAGRycy9kb3du&#10;cmV2LnhtbFBLBQYAAAAABAAEAPUAAACGAwAAAAA=&#10;" path="m11,23c3,23,,18,,12,,4,4,,11,v7,,11,4,11,11c22,18,18,23,11,23xm11,4c7,4,5,7,5,11v,4,2,7,6,7c15,18,16,15,16,11,16,7,15,4,11,4xe" fillcolor="#00a9ce [3204]" stroked="f">
                        <v:path arrowok="t" o:connecttype="custom" o:connectlocs="1247192076,2147483646;0,1394533287;1247192076,0;2147483646,1278337638;1247192076,2147483646;1247192076,464855929;566899576,1278337638;1247192076,2091818264;1814057580,1278337638;1247192076,464855929" o:connectangles="0,0,0,0,0,0,0,0,0,0"/>
                        <o:lock v:ext="edit" verticies="t"/>
                      </v:shape>
                      <v:oval id="Oval 81" o:spid="_x0000_s1041" alt="background" style="position:absolute;left:13830;top:4044;width:190;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gJPcUA&#10;AADbAAAADwAAAGRycy9kb3ducmV2LnhtbESPQWvCQBSE74X+h+UJvdVde6gluoqWtvSiNFbE4zP7&#10;TILZtyH7qum/7wpCj8PMfMNM571v1Jm6WAe2MBoaUMRFcDWXFrbf748voKIgO2wCk4VfijCf3d9N&#10;MXPhwjmdN1KqBOGYoYVKpM20jkVFHuMwtMTJO4bOoyTZldp1eElw3+gnY561x5rTQoUtvVZUnDY/&#10;3sLqtHw7mu1u/dWKyfcfPu8PsrT2YdAvJqCEevkP39qfzsJ4BNcv6Qfo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qAk9xQAAANsAAAAPAAAAAAAAAAAAAAAAAJgCAABkcnMv&#10;ZG93bnJldi54bWxQSwUGAAAAAAQABAD1AAAAigMAAAAA&#10;" fillcolor="#00a9ce [3204]" stroked="f"/>
                      <v:shape id="Freeform 82" o:spid="_x0000_s1042" alt="background" style="position:absolute;left:14217;top:3556;width:584;height:755;visibility:visible;mso-wrap-style:square;v-text-anchor:top" coordsize="1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poMIA&#10;AADbAAAADwAAAGRycy9kb3ducmV2LnhtbESPX2vCMBTF3wW/Q7iDvWlSB1aqUYY4tketPmxvl+ba&#10;Fpub0mSafftFEHw8nD8/zmoTbSeuNPjWsYZsqkAQV860XGs4HT8mCxA+IBvsHJOGP/KwWY9HKyyM&#10;u/GBrmWoRRphX6CGJoS+kNJXDVn0U9cTJ+/sBoshyaGWZsBbGrednCk1lxZbToQGe9o2VF3KX5u4&#10;qsw+1ZbP2e7N5uqUx/33T9T69SW+L0EEiuEZfrS/jIZ8Bvcv6Qf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lmmgwgAAANsAAAAPAAAAAAAAAAAAAAAAAJgCAABkcnMvZG93&#10;bnJldi54bWxQSwUGAAAAAAQABAD1AAAAhwMAAAAA&#10;" path="m14,22v,-2,,-2,,-2c12,22,10,23,7,23,2,23,,20,,16,,11,4,9,10,9v3,,3,,3,c13,8,13,8,13,8,13,5,12,4,8,4,6,4,4,4,2,5,1,1,1,1,1,1,3,,6,,9,v7,,9,3,9,7c18,22,18,22,18,22r-4,xm13,12v-3,,-3,,-3,c7,12,5,14,5,16v,1,1,3,3,3c10,19,12,18,13,17r,-5xe" fillcolor="#00a9ce [3204]" stroked="f">
                        <v:path arrowok="t" o:connecttype="custom" o:connectlocs="1551816383,2147483646;1551816383,2147483646;775907656,2147483646;0,1859390300;1108449909,1045909674;1440957382,1045909674;1440957382,929677358;886732979,464855929;221683253,581052661;110859000,116196732;997590909,0;1995181818,813480626;1995181818,2147483646;1551816383,2147483646;1440957382,1394533287;1108449909,1394533287;554224436,1859390300;886732979,2147483646;1440957382,1975587032;1440957382,1394533287" o:connectangles="0,0,0,0,0,0,0,0,0,0,0,0,0,0,0,0,0,0,0,0"/>
                        <o:lock v:ext="edit" verticies="t"/>
                      </v:shape>
                      <v:shape id="Freeform 83" o:spid="_x0000_s1043" alt="background" style="position:absolute;left:15030;top:3556;width:622;height:755;visibility:visible;mso-wrap-style:square;v-text-anchor:top" coordsize="1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N4GcEA&#10;AADbAAAADwAAAGRycy9kb3ducmV2LnhtbESP3YrCMBSE7wXfIRzBO01dcZVqFFlURLzx5wGOzbEt&#10;NieliW19eyMIeznMfDPMYtWaQtRUudyygtEwAkGcWJ1zquB62Q5mIJxH1lhYJgUvcrBadjsLjLVt&#10;+ET12acilLCLUUHmfRlL6ZKMDLqhLYmDd7eVQR9klUpdYRPKTSF/ouhXGsw5LGRY0l9GyeP8NAqm&#10;4+awzam19TO51Pfd5ji5RUel+r12PQfhqfX/4S+91x8OPl/CD5D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jeBnBAAAA2wAAAA8AAAAAAAAAAAAAAAAAmAIAAGRycy9kb3du&#10;cmV2LnhtbFBLBQYAAAAABAAEAPUAAACGAwAAAAA=&#10;" path="m15,22v,-3,,-3,,-3c12,22,10,23,7,23,2,23,,19,,14,,,,,,,5,,5,,5,v,13,,13,,13c5,16,6,18,9,18v2,,3,-1,5,-3c14,,14,,14,v5,,5,,5,c19,22,19,22,19,22r-4,xe" fillcolor="#00a9ce [3204]" stroked="f">
                        <v:path arrowok="t" o:connecttype="custom" o:connectlocs="1723646461,2147483646;1723646461,2147483646;804373641,2147483646;0,1626962335;0,0;574537733,0;574537733,1510765603;1034174160,2091818264;1608746202,1743193567;1608746202,0;2147483646,0;2147483646,2147483646;1723646461,2147483646" o:connectangles="0,0,0,0,0,0,0,0,0,0,0,0,0"/>
                      </v:shape>
                    </v:group>
                    <v:shape id="Freeform 84" o:spid="_x0000_s1044" style="position:absolute;left:59091;top:912;width:22125;height:8883;visibility:visible;mso-wrap-style:square;v-text-anchor:top" coordsize="680,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lwMEA&#10;AADbAAAADwAAAGRycy9kb3ducmV2LnhtbESPzYvCMBTE7wv+D+EJ3tbUxS+qUUQQ6mEP68f90Tyb&#10;0ualJFmt/71ZEPY4zMxvmPW2t624kw+1YwWTcQaCuHS65krB5Xz4XIIIEVlj65gUPCnAdjP4WGOu&#10;3YN/6H6KlUgQDjkqMDF2uZShNGQxjF1HnLyb8xZjkr6S2uMjwW0rv7JsLi3WnBYMdrQ3VDanX6sg&#10;zlpX6Kv1TfF97AvTzHdMqNRo2O9WICL18T/8bhdawWIKf1/SD5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JcDBAAAA2wAAAA8AAAAAAAAAAAAAAAAAmAIAAGRycy9kb3du&#10;cmV2LnhtbFBLBQYAAAAABAAEAPUAAACGAwAAAAA=&#10;" path="m476,c186,,79,86,,116v128,73,229,156,470,156c528,272,680,272,680,272,680,,680,,680,l476,xe" fillcolor="white [3212]" stroked="f">
                      <v:path arrowok="t" o:connecttype="custom" o:connectlocs="2147483646,0;0,2147483646;2147483646,2147483646;2147483646,2147483646;2147483646,0;2147483646,0" o:connectangles="0,0,0,0,0,0"/>
                    </v:shape>
                    <v:shape id="Freeform 104" o:spid="_x0000_s1045" alt="background" style="position:absolute;left:59103;top:929;width:22106;height:8861;visibility:visible;mso-wrap-style:square;v-text-anchor:top" coordsize="680,2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6L8sMA&#10;AADbAAAADwAAAGRycy9kb3ducmV2LnhtbESPQWvCQBSE7wX/w/IK3uqmQlMbXUUCFm9pE6HXR/aZ&#10;RLNvQ3aj8d+7BcHjMDPfMKvNaFpxod41lhW8zyIQxKXVDVcKDsXubQHCeWSNrWVScCMHm/XkZYWJ&#10;tlf+pUvuKxEg7BJUUHvfJVK6siaDbmY74uAdbW/QB9lXUvd4DXDTynkUxdJgw2Ghxo7SmspzPhgF&#10;WTxkx/TrbMu8+/6h01/hpS2Umr6O2yUIT6N/hh/tvVbw+QH/X8IP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6L8sMAAADbAAAADwAAAAAAAAAAAAAAAACYAgAAZHJzL2Rv&#10;d25yZXYueG1sUEsFBgAAAAAEAAQA9QAAAIgDAAAAAA==&#10;" adj="-11796480,,5400" path="m476,c186,,79,86,,116v128,73,229,156,470,156c528,272,680,272,680,272,680,,680,,680,l476,xe" fillcolor="#f8f8f8" stroked="f">
                      <v:stroke joinstyle="miter"/>
                      <v:formulas/>
                      <v:path arrowok="t" o:connecttype="custom" o:connectlocs="2147483646,0;0,2147483646;2147483646,2147483646;2147483646,2147483646;2147483646,0;2147483646,0" o:connectangles="0,0,0,0,0,0" textboxrect="0,0,680,272"/>
                      <v:textbox>
                        <w:txbxContent>
                          <w:p w14:paraId="6A69A878" w14:textId="77777777" w:rsidR="0073787E" w:rsidRPr="007367A7" w:rsidRDefault="0073787E" w:rsidP="00A65678">
                            <w:pPr>
                              <w:rPr>
                                <w:rFonts w:eastAsia="Times New Roman"/>
                                <w:color w:val="00A9CE" w:themeColor="accent1"/>
                              </w:rPr>
                            </w:pP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46" type="#_x0000_t75" alt="CSIRO logo" style="position:absolute;left:65836;top:863;width:8941;height:87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FkeHEAAAA2wAAAA8AAABkcnMvZG93bnJldi54bWxEj0FrAjEUhO8F/0N4Qm81Ww9ruxqlCEIp&#10;K6Xag96em+dmcfOyblKN/74pFDwOM/MNM1tE24oL9b5xrOB5lIEgrpxuuFbwvV09vYDwAVlj65gU&#10;3MjDYj54mGGh3ZW/6LIJtUgQ9gUqMCF0hZS+MmTRj1xHnLyj6y2GJPta6h6vCW5bOc6yXFpsOC0Y&#10;7GhpqDptfqyCQ3ludzv3mn+auI64/yiPEy6VehzGtymIQDHcw//td61gksPfl/QD5P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3FkeHEAAAA2wAAAA8AAAAAAAAAAAAAAAAA&#10;nwIAAGRycy9kb3ducmV2LnhtbFBLBQYAAAAABAAEAPcAAACQAwAAAAA=&#10;">
                    <v:imagedata r:id="rId9" o:title="CSIRO logo"/>
                    <v:path arrowok="t"/>
                  </v:shape>
                </v:group>
                <v:group id="Group 69" o:spid="_x0000_s1047" style="position:absolute;left:-827;top:10206;width:14774;height:6659" coordsize="93818,42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rect id="Rectangle 68" o:spid="_x0000_s1048" style="position:absolute;left:5257;top:10287;width:75990;height:320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oQmsAA&#10;AADbAAAADwAAAGRycy9kb3ducmV2LnhtbERPTYvCMBC9L/gfwgje1lTBXalGUUFwWQWtHjwOzdgW&#10;m0ltsrX6681hwePjfU/nrSlFQ7UrLCsY9CMQxKnVBWcKTsf15xiE88gaS8uk4EEO5rPOxxRjbe98&#10;oCbxmQgh7GJUkHtfxVK6NCeDrm8r4sBdbG3QB1hnUtd4D+GmlMMo+pIGCw4NOVa0yim9Jn9GwXK7&#10;+232fNOX9me0f3q7Qjw/lOp128UEhKfWv8X/7o1W8B3Ghi/hB8j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woQmsAAAADbAAAADwAAAAAAAAAAAAAAAACYAgAAZHJzL2Rvd25y&#10;ZXYueG1sUEsFBgAAAAAEAAQA9QAAAIUDAAAAAA==&#10;" fillcolor="white [3212]" stroked="f"/>
                  <v:group id="Group 67" o:spid="_x0000_s1049" style="position:absolute;width:93818;height:26426" coordsize="93818,26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 id="Freeform 115" o:spid="_x0000_s1050" alt="background" style="position:absolute;width:47104;height:12071;visibility:visible;mso-wrap-style:square;v-text-anchor:top" coordsize="1458,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IkMcIA&#10;AADbAAAADwAAAGRycy9kb3ducmV2LnhtbERPu2rDMBTdC/kHcQPZGrkeQnCihBKTtEOhbR6dL9aN&#10;5dS6MpLsuH9fDYWOh/Neb0fbioF8aBwreJpnIIgrpxuuFZxP+8cliBCRNbaOScEPBdhuJg9rLLS7&#10;8ycNx1iLFMKhQAUmxq6QMlSGLIa564gTd3XeYkzQ11J7vKdw28o8yxbSYsOpwWBHO0PV97G3CnzI&#10;zftLebnm/e3wMVz68uutL5WaTcfnFYhIY/wX/7lftYJlWp++pB8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AiQxwgAAANsAAAAPAAAAAAAAAAAAAAAAAJgCAABkcnMvZG93&#10;bnJldi54bWxQSwUGAAAAAAQABAD1AAAAhwMAAAAA&#10;" path="m1458,321c1158,150,746,,214,,,,,,,,,374,,374,,374v680,,680,,680,c1186,374,1351,362,1458,321e" fillcolor="#00313c [3205]" stroked="f">
                      <v:path arrowok="t" o:connecttype="custom" o:connectlocs="2147483646,2147483646;2147483646,0;0,0;0,2147483646;2147483646,2147483646;2147483646,2147483646" o:connectangles="0,0,0,0,0,0"/>
                    </v:shape>
                    <v:shape id="Freeform 116" o:spid="_x0000_s1051" alt="background" style="position:absolute;top:14031;width:21545;height:6197;visibility:visible;mso-wrap-style:square;v-text-anchor:top" coordsize="667,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4U/cQA&#10;AADbAAAADwAAAGRycy9kb3ducmV2LnhtbESPQWvCQBSE74X+h+UVvNWNEUIaXSUUlHqz2kK9PbLP&#10;JDT7NuxuTfTXu4VCj8PMfMMs16PpxIWcby0rmE0TEMSV1S3XCj6Om+cchA/IGjvLpOBKHtarx4cl&#10;FtoO/E6XQ6hFhLAvUEETQl9I6auGDPqp7Ymjd7bOYIjS1VI7HCLcdDJNkkwabDkuNNjTa0PV9+HH&#10;KJjb06cu29u23Dva2a+XPs1OO6UmT2O5ABFoDP/hv/abVpDP4PdL/AF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uFP3EAAAA2wAAAA8AAAAAAAAAAAAAAAAAmAIAAGRycy9k&#10;b3ducmV2LnhtbFBLBQYAAAAABAAEAPUAAACJAwAAAAA=&#10;" path="m667,165c513,77,302,,29,,,,,,,,,192,,192,,192v268,,268,,268,c528,192,612,186,667,165e" fillcolor="#00a9ce [3204]" stroked="f">
                      <v:path arrowok="t" o:connecttype="custom" o:connectlocs="2147483646,2147483646;2147483646,0;0,0;0,2147483646;2147483646,2147483646;2147483646,2147483646" o:connectangles="0,0,0,0,0,0"/>
                    </v:shape>
                    <v:shape id="Freeform 117" o:spid="_x0000_s1052" alt="background" style="position:absolute;left:21441;top:14031;width:72269;height:12395;visibility:visible;mso-wrap-style:square;v-text-anchor:top" coordsize="2237,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H5r8A&#10;AADbAAAADwAAAGRycy9kb3ducmV2LnhtbESPwQrCMBBE74L/EFbwpqkiItUoKoiCJ6vgdWnWtths&#10;ShNt9euNIHgcZuYNs1i1phRPql1hWcFoGIEgTq0uOFNwOe8GMxDOI2ssLZOCFzlYLbudBcbaNnyi&#10;Z+IzESDsYlSQe1/FUro0J4NuaCvi4N1sbdAHWWdS19gEuCnlOIqm0mDBYSHHirY5pffkYRTsq9Ot&#10;2ayvNqHdcfSevq+TjPdK9Xvteg7CU+v/4V/7oBXMxvD9En6AX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8ofmvwAAANsAAAAPAAAAAAAAAAAAAAAAAJgCAABkcnMvZG93bnJl&#10;di54bWxQSwUGAAAAAAQABAD1AAAAhAMAAAAA&#10;" path="m669,c262,,112,122,,165,180,268,322,384,661,384v82,,1576,,1576,c2237,,2237,,2237,l669,xe" fillcolor="#00a9ce [3204]" stroked="f">
                      <v:path arrowok="t" o:connecttype="custom" o:connectlocs="2147483646,0;0,2147483646;2147483646,2147483646;2147483646,2147483646;2147483646,0;2147483646,0" o:connectangles="0,0,0,0,0,0"/>
                    </v:shape>
                    <v:shape id="Freeform 118" o:spid="_x0000_s1053" alt="background" style="position:absolute;left:46981;width:46837;height:24180;visibility:visible;mso-wrap-style:square;v-text-anchor:top" coordsize="1450,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5inMQA&#10;AADbAAAADwAAAGRycy9kb3ducmV2LnhtbESPwWrDMBBE74X8g9hAb42cFozrRAmOQ8AYemiaD1is&#10;je3EWglLTdx+fVUo9DjMzBtmvZ3MIG40+t6yguUiAUHcWN1zq+D0cXjKQPiArHGwTAq+yMN2M3tY&#10;Y67tnd/pdgytiBD2OSroQnC5lL7pyKBfWEccvbMdDYYox1bqEe8Rbgb5nCSpNNhzXOjQUdlRcz1+&#10;GgVpidVuf6lc/cav7vJt2rROC6Ue51OxAhFoCv/hv3alFWQv8Psl/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YpzEAAAA2wAAAA8AAAAAAAAAAAAAAAAAmAIAAGRycy9k&#10;b3ducmV2LnhtbFBLBQYAAAAABAAEAPUAAACJAwAAAAA=&#10;" path="m1306,c512,,218,238,,321,351,522,628,749,1291,749v159,,155,,155,c1446,,1446,,1446,l1306,xe" fillcolor="#00313c [3205]" stroked="f">
                      <v:path arrowok="t" o:connecttype="custom" o:connectlocs="2147483646,0;0,2147483646;2147483646,2147483646;2147483646,2147483646;2147483646,0;2147483646,0" o:connectangles="0,0,0,0,0,0"/>
                    </v:shape>
                    <v:shape id="Freeform 119" o:spid="_x0000_s1054" alt="background" style="position:absolute;top:22702;width:71170;height:1422;visibility:visible;mso-wrap-style:square;v-text-anchor:top" coordsize="220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9wO8IA&#10;AADbAAAADwAAAGRycy9kb3ducmV2LnhtbESP0YrCMBRE3wX/IVzBN00VV0o1igi7CMs+6O4HXJpr&#10;U2xuShJt9evNguDjMDNnmPW2t424kQ+1YwWzaQaCuHS65krB3+/nJAcRIrLGxjEpuFOA7WY4WGOh&#10;XcdHup1iJRKEQ4EKTIxtIWUoDVkMU9cSJ+/svMWYpK+k9tgluG3kPMuW0mLNacFgS3tD5eV0tQoO&#10;348vPl707GOZ74z/Wehy3kWlxqN+twIRqY/v8Kt90AryBfx/ST9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D3A7wgAAANsAAAAPAAAAAAAAAAAAAAAAAJgCAABkcnMvZG93&#10;bnJldi54bWxQSwUGAAAAAAQABAD1AAAAhwMAAAAA&#10;" path="m2203,38c2169,21,2120,,2058,,,,,,,,,44,,44,,44v2112,,2112,,2112,c2112,44,2193,40,2203,38e" fillcolor="#00313c [3205]" stroked="f">
                      <v:path arrowok="t" o:connecttype="custom" o:connectlocs="2147483646,2147483646;2147483646,0;0,0;0,2147483646;2147483646,2147483646;2147483646,2147483646" o:connectangles="0,0,0,0,0,0"/>
                    </v:shape>
                    <v:shape id="Freeform 120" o:spid="_x0000_s1055" alt="background" style="position:absolute;left:71102;top:22702;width:22644;height:2838;visibility:visible;mso-wrap-style:square;v-text-anchor:top" coordsize="70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i6MAA&#10;AADbAAAADwAAAGRycy9kb3ducmV2LnhtbESPQYvCMBSE78L+h/AW9qapyyqlNooIsnpU6/3RPNvS&#10;5iU0Wdv990YQPA4z8w2Tb0bTiTv1vrGsYD5LQBCXVjdcKSgu+2kKwgdkjZ1lUvBPHjbrj0mOmbYD&#10;n+h+DpWIEPYZKqhDcJmUvqzJoJ9ZRxy9m+0Nhij7Suoehwg3nfxOkqU02HBcqNHRrqayPf8ZBcb9&#10;HIuruzWX3e/AuC8SHg6tUl+f43YFItAY3uFX+6AVpAt4fok/QK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z+i6MAAAADbAAAADwAAAAAAAAAAAAAAAACYAgAAZHJzL2Rvd25y&#10;ZXYueG1sUEsFBgAAAAAEAAQA9QAAAIUDAAAAAA==&#10;" path="m153,c60,,26,28,,38,41,61,74,88,151,88v550,,550,,550,c701,,701,,701,l153,xe" stroked="f">
                      <v:path arrowok="t" o:connecttype="custom" o:connectlocs="2147483646,0;0,2147483646;2147483646,2147483646;2147483646,2147483646;2147483646,0;2147483646,0" o:connectangles="0,0,0,0,0,0"/>
                    </v:shape>
                    <v:shape id="Freeform 122" o:spid="_x0000_s1056" alt="background" style="position:absolute;top:18445;width:60090;height:2807;visibility:visible;mso-wrap-style:square;v-text-anchor:top" coordsize="186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pJlsYA&#10;AADbAAAADwAAAGRycy9kb3ducmV2LnhtbESPzW7CMBCE70h9B2uRegOHHvgJGASICi5ILXCA2ype&#10;koh4ndpuCDx9XalSj6OZ+UYzW7SmEg05X1pWMOgnIIgzq0vOFZyO770xCB+QNVaWScGDPCzmL50Z&#10;ptre+ZOaQ8hFhLBPUUERQp1K6bOCDPq+rYmjd7XOYIjS5VI7vEe4qeRbkgylwZLjQoE1rQvKbodv&#10;o2DiH+FyXm0+Vrv91/Z5aZxZb0ZKvXbb5RREoDb8h//aO61gPITfL/EHy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EpJlsYAAADbAAAADwAAAAAAAAAAAAAAAACYAgAAZHJz&#10;L2Rvd25yZXYueG1sUEsFBgAAAAAEAAQA9QAAAIsDAAAAAA==&#10;" path="m1707,87v93,,127,-28,153,-37c1819,26,1786,,1709,,,,,,,,,87,,87,,87r1707,xe" stroked="f">
                      <v:path arrowok="t" o:connecttype="custom" o:connectlocs="2147483646,2147483646;2147483646,2147483646;2147483646,0;0,0;0,2147483646;2147483646,2147483646" o:connectangles="0,0,0,0,0,0"/>
                    </v:shape>
                  </v:group>
                </v:group>
              </v:group>
            </w:pict>
          </mc:Fallback>
        </mc:AlternateContent>
      </w:r>
      <w:r w:rsidR="0017018E" w:rsidRPr="00447CD6">
        <w:rPr>
          <w:bCs/>
          <w:color w:val="00A9CE" w:themeColor="accent1"/>
          <w:sz w:val="72"/>
          <w:szCs w:val="72"/>
        </w:rPr>
        <w:t xml:space="preserve">Assessing the potential for a step change in energy, water and resource efficiency, </w:t>
      </w:r>
      <w:r w:rsidR="00774985">
        <w:rPr>
          <w:bCs/>
          <w:color w:val="00A9CE" w:themeColor="accent1"/>
          <w:sz w:val="72"/>
          <w:szCs w:val="72"/>
        </w:rPr>
        <w:br/>
      </w:r>
      <w:r w:rsidR="0017018E" w:rsidRPr="00447CD6">
        <w:rPr>
          <w:bCs/>
          <w:color w:val="00A9CE" w:themeColor="accent1"/>
          <w:sz w:val="72"/>
          <w:szCs w:val="72"/>
        </w:rPr>
        <w:t>2010</w:t>
      </w:r>
      <w:r w:rsidR="00774985">
        <w:rPr>
          <w:bCs/>
          <w:color w:val="00A9CE" w:themeColor="accent1"/>
          <w:sz w:val="72"/>
          <w:szCs w:val="72"/>
        </w:rPr>
        <w:t>–</w:t>
      </w:r>
      <w:r w:rsidR="0017018E" w:rsidRPr="00447CD6">
        <w:rPr>
          <w:bCs/>
          <w:color w:val="00A9CE" w:themeColor="accent1"/>
          <w:sz w:val="72"/>
          <w:szCs w:val="72"/>
        </w:rPr>
        <w:t xml:space="preserve">2050  </w:t>
      </w:r>
    </w:p>
    <w:p w14:paraId="385757C4" w14:textId="77777777" w:rsidR="00A65678" w:rsidRPr="008F64BD" w:rsidRDefault="00A65678" w:rsidP="00A65678">
      <w:pPr>
        <w:pStyle w:val="CoverTitle"/>
      </w:pPr>
      <w:r w:rsidRPr="008F64BD">
        <w:t xml:space="preserve">  </w:t>
      </w:r>
    </w:p>
    <w:p w14:paraId="123E7981" w14:textId="77777777" w:rsidR="007B0D5A" w:rsidRDefault="007B0D5A" w:rsidP="00447CD6">
      <w:pPr>
        <w:pStyle w:val="CoverSubtitle"/>
      </w:pPr>
    </w:p>
    <w:p w14:paraId="45F9AE5C" w14:textId="5DE36E7F" w:rsidR="00447CD6" w:rsidRPr="00716588" w:rsidRDefault="00447CD6" w:rsidP="00447CD6">
      <w:pPr>
        <w:pStyle w:val="CoverSubtitle"/>
      </w:pPr>
      <w:r>
        <w:t>Report for the Australian National Outlook 2015</w:t>
      </w:r>
    </w:p>
    <w:p w14:paraId="09CED851" w14:textId="5638D1EB" w:rsidR="00A65678" w:rsidRPr="00716588" w:rsidRDefault="00447CD6" w:rsidP="00A65678">
      <w:pPr>
        <w:pStyle w:val="BodyText"/>
      </w:pPr>
      <w:r>
        <w:t>Tim</w:t>
      </w:r>
      <w:r w:rsidR="002A2FE5">
        <w:t>othy M.</w:t>
      </w:r>
      <w:r>
        <w:t xml:space="preserve"> Baynes</w:t>
      </w:r>
    </w:p>
    <w:p w14:paraId="34A7BC48" w14:textId="24E4A39B" w:rsidR="00A943B2" w:rsidRDefault="00A943B2" w:rsidP="0017018E">
      <w:pPr>
        <w:pStyle w:val="BodyText"/>
      </w:pPr>
    </w:p>
    <w:p w14:paraId="21EED360" w14:textId="77777777" w:rsidR="00787338" w:rsidRDefault="00787338" w:rsidP="00DC2413">
      <w:pPr>
        <w:pStyle w:val="BodyText"/>
      </w:pPr>
    </w:p>
    <w:p w14:paraId="622FCCB6" w14:textId="77777777" w:rsidR="00A943B2" w:rsidRDefault="00A943B2" w:rsidP="00DC2413">
      <w:pPr>
        <w:pStyle w:val="BodyText"/>
      </w:pPr>
      <w:r>
        <w:br w:type="page"/>
      </w:r>
    </w:p>
    <w:p w14:paraId="7A5477EC" w14:textId="77777777" w:rsidR="00A943B2" w:rsidRPr="005B4C09" w:rsidRDefault="00A943B2" w:rsidP="00D1044D">
      <w:pPr>
        <w:pStyle w:val="VersoPageHeading"/>
        <w:rPr>
          <w:rFonts w:eastAsiaTheme="majorEastAsia" w:cstheme="majorBidi"/>
          <w:color w:val="00A9CE" w:themeColor="accent1"/>
          <w:szCs w:val="24"/>
          <w:lang w:eastAsia="en-AU"/>
        </w:rPr>
      </w:pPr>
      <w:r w:rsidRPr="005B4C09">
        <w:rPr>
          <w:rFonts w:eastAsiaTheme="majorEastAsia" w:cstheme="majorBidi"/>
          <w:color w:val="00A9CE" w:themeColor="accent1"/>
          <w:szCs w:val="24"/>
          <w:lang w:eastAsia="en-AU"/>
        </w:rPr>
        <w:lastRenderedPageBreak/>
        <w:t>Citation</w:t>
      </w:r>
    </w:p>
    <w:p w14:paraId="3FD0A59D" w14:textId="60608446" w:rsidR="00AA7076" w:rsidRPr="0017018E" w:rsidRDefault="00AA7076" w:rsidP="00AA7076">
      <w:pPr>
        <w:pStyle w:val="BodyText"/>
      </w:pPr>
      <w:r>
        <w:t>Baynes TM</w:t>
      </w:r>
      <w:r w:rsidR="0020743A">
        <w:t xml:space="preserve"> </w:t>
      </w:r>
      <w:r w:rsidR="006D68BE">
        <w:t>(</w:t>
      </w:r>
      <w:r w:rsidR="0020743A">
        <w:t>2015</w:t>
      </w:r>
      <w:r w:rsidR="006D68BE">
        <w:t>)</w:t>
      </w:r>
      <w:r w:rsidRPr="0017018E">
        <w:t xml:space="preserve"> </w:t>
      </w:r>
      <w:r w:rsidRPr="00917437">
        <w:rPr>
          <w:bCs/>
          <w:i/>
        </w:rPr>
        <w:t>Assessing the potential for a step change in energy, water and resource efficiency, 2010</w:t>
      </w:r>
      <w:r w:rsidR="00774985">
        <w:rPr>
          <w:bCs/>
          <w:i/>
        </w:rPr>
        <w:t>–</w:t>
      </w:r>
      <w:r w:rsidRPr="00917437">
        <w:rPr>
          <w:bCs/>
          <w:i/>
        </w:rPr>
        <w:t>2050</w:t>
      </w:r>
      <w:r w:rsidR="007428E4">
        <w:t>. R</w:t>
      </w:r>
      <w:r w:rsidRPr="002D267E">
        <w:t>eport for the Australian National Outlook</w:t>
      </w:r>
      <w:r>
        <w:t xml:space="preserve"> 2015</w:t>
      </w:r>
      <w:r w:rsidR="007428E4">
        <w:t xml:space="preserve">. CSIRO, </w:t>
      </w:r>
      <w:r w:rsidR="0099369E">
        <w:t>Canberra</w:t>
      </w:r>
      <w:r>
        <w:t>.</w:t>
      </w:r>
    </w:p>
    <w:p w14:paraId="59AC0439" w14:textId="77777777" w:rsidR="00A943B2" w:rsidRPr="00114909" w:rsidRDefault="00A943B2" w:rsidP="00D1044D">
      <w:pPr>
        <w:pStyle w:val="VersoPageHeading"/>
        <w:rPr>
          <w:rFonts w:eastAsiaTheme="majorEastAsia" w:cstheme="majorBidi"/>
          <w:color w:val="00A9CE" w:themeColor="accent1"/>
          <w:szCs w:val="24"/>
          <w:lang w:eastAsia="en-AU"/>
        </w:rPr>
      </w:pPr>
      <w:r w:rsidRPr="00114909">
        <w:rPr>
          <w:rFonts w:eastAsiaTheme="majorEastAsia" w:cstheme="majorBidi"/>
          <w:color w:val="00A9CE" w:themeColor="accent1"/>
          <w:szCs w:val="24"/>
          <w:lang w:eastAsia="en-AU"/>
        </w:rPr>
        <w:t xml:space="preserve">Copyright </w:t>
      </w:r>
    </w:p>
    <w:p w14:paraId="372ADDDE" w14:textId="785672D0" w:rsidR="00A943B2" w:rsidRDefault="004D7860" w:rsidP="00DC2413">
      <w:pPr>
        <w:pStyle w:val="BodyText"/>
      </w:pPr>
      <w:r w:rsidRPr="004D7860">
        <w:t>© Commonwealth Scientific and Industrial Research Organisation 20</w:t>
      </w:r>
      <w:r w:rsidR="005B4C09">
        <w:t>15</w:t>
      </w:r>
      <w:r>
        <w:t xml:space="preserve">. </w:t>
      </w:r>
      <w:r w:rsidR="00A943B2">
        <w:t>To the extent permitted by law, all rights are reserved and no part of this publication covered by copyright may be reproduced or copied in any form or by any means except with the written permission of CSIRO.</w:t>
      </w:r>
    </w:p>
    <w:p w14:paraId="028E5B5A" w14:textId="77777777" w:rsidR="00A943B2" w:rsidRDefault="00A943B2" w:rsidP="00D1044D">
      <w:pPr>
        <w:pStyle w:val="VersoPageHeading"/>
      </w:pPr>
      <w:r>
        <w:t>Important disclaimer</w:t>
      </w:r>
    </w:p>
    <w:p w14:paraId="2A534D09" w14:textId="6C08E450" w:rsidR="00E05DC1" w:rsidRDefault="00A943B2" w:rsidP="00DC2413">
      <w:pPr>
        <w:pStyle w:val="BodyText"/>
      </w:pPr>
      <w:r>
        <w:t>CSIRO advises that the information contained in this publication comprises general statements based on scientific research. The reader is advised and needs to be aware that such information may be incomplete or unable to be used in any specific situation. No reliance or actions must therefore be made on that information without seeking prior expert professional, scientific and technical advice. To the extent permitted by law, CSIRO (including its employees and consultants) excludes all liability to any person for any consequences, including but not limited to all losses, damages, costs, expenses and any other compensation, arising directly or indirectly from using this publication (in part or in whole) and any information or material contained in it.</w:t>
      </w:r>
    </w:p>
    <w:p w14:paraId="0EF6EF31" w14:textId="77777777" w:rsidR="00E05DC1" w:rsidRPr="00E05DC1" w:rsidRDefault="00E05DC1" w:rsidP="002F47F3"/>
    <w:p w14:paraId="4CDFBE3D" w14:textId="77777777" w:rsidR="00E05DC1" w:rsidRPr="00723DD1" w:rsidRDefault="00E05DC1" w:rsidP="002F47F3"/>
    <w:p w14:paraId="0106D8D1" w14:textId="77777777" w:rsidR="00E05DC1" w:rsidRPr="002F47F3" w:rsidRDefault="00E05DC1" w:rsidP="002F47F3"/>
    <w:p w14:paraId="0608F199" w14:textId="77777777" w:rsidR="00E05DC1" w:rsidRPr="002F47F3" w:rsidRDefault="00E05DC1" w:rsidP="002F47F3"/>
    <w:p w14:paraId="6415A6EF" w14:textId="77777777" w:rsidR="00E05DC1" w:rsidRPr="002F47F3" w:rsidRDefault="00E05DC1" w:rsidP="002F47F3"/>
    <w:p w14:paraId="21FEC804" w14:textId="77777777" w:rsidR="00E05DC1" w:rsidRPr="002F47F3" w:rsidRDefault="00E05DC1" w:rsidP="002F47F3"/>
    <w:p w14:paraId="6C3C51E8" w14:textId="77777777" w:rsidR="00E05DC1" w:rsidRPr="002F47F3" w:rsidRDefault="00E05DC1" w:rsidP="002F47F3"/>
    <w:p w14:paraId="7FF76AA0" w14:textId="77777777" w:rsidR="00E05DC1" w:rsidRPr="002F47F3" w:rsidRDefault="00E05DC1" w:rsidP="002F47F3"/>
    <w:p w14:paraId="2B87A717" w14:textId="77777777" w:rsidR="00E05DC1" w:rsidRPr="002F47F3" w:rsidRDefault="00E05DC1" w:rsidP="002F47F3"/>
    <w:p w14:paraId="47AAAF9F" w14:textId="77777777" w:rsidR="00E05DC1" w:rsidRPr="002F47F3" w:rsidRDefault="00E05DC1" w:rsidP="002F47F3"/>
    <w:p w14:paraId="2C2BC0C8" w14:textId="7A203F2D" w:rsidR="00E05DC1" w:rsidRDefault="00E05DC1" w:rsidP="00E05DC1"/>
    <w:p w14:paraId="42248813" w14:textId="77777777" w:rsidR="00A943B2" w:rsidRPr="00E05DC1" w:rsidRDefault="00A943B2" w:rsidP="002F47F3">
      <w:pPr>
        <w:jc w:val="right"/>
      </w:pPr>
    </w:p>
    <w:p w14:paraId="58BF14BB" w14:textId="77777777" w:rsidR="0017018E" w:rsidRPr="006D07FA" w:rsidRDefault="0017018E" w:rsidP="006D07FA">
      <w:pPr>
        <w:pStyle w:val="Heading1noTOC"/>
        <w:tabs>
          <w:tab w:val="clear" w:pos="1134"/>
          <w:tab w:val="left" w:pos="851"/>
        </w:tabs>
        <w:spacing w:after="1080"/>
        <w:rPr>
          <w:color w:val="00A9CE" w:themeColor="accent1"/>
        </w:rPr>
      </w:pPr>
      <w:r w:rsidRPr="006D07FA">
        <w:rPr>
          <w:color w:val="00A9CE" w:themeColor="accent1"/>
        </w:rPr>
        <w:lastRenderedPageBreak/>
        <w:t>Contents</w:t>
      </w:r>
    </w:p>
    <w:p w14:paraId="78503359" w14:textId="77777777" w:rsidR="007010D0" w:rsidRDefault="0017018E">
      <w:pPr>
        <w:pStyle w:val="TOC2"/>
        <w:rPr>
          <w:rFonts w:asciiTheme="minorHAnsi" w:eastAsiaTheme="minorEastAsia" w:hAnsiTheme="minorHAnsi" w:cstheme="minorBidi"/>
          <w:color w:val="auto"/>
          <w:sz w:val="22"/>
        </w:rPr>
      </w:pPr>
      <w:r w:rsidRPr="001B3113">
        <w:rPr>
          <w:rStyle w:val="Hyperlink"/>
          <w:color w:val="008CAC" w:themeColor="accent2" w:themeTint="BF"/>
        </w:rPr>
        <w:fldChar w:fldCharType="begin"/>
      </w:r>
      <w:r w:rsidRPr="001B3113">
        <w:rPr>
          <w:rStyle w:val="Hyperlink"/>
          <w:color w:val="008CAC" w:themeColor="accent2" w:themeTint="BF"/>
        </w:rPr>
        <w:instrText xml:space="preserve"> TOC \h \z \t "Heading 1,2,Heading 2,3,PartTitle,1,Heading 1 Numbered,2,Heading 1 not numbered,2,Heading 2 not numbered,3,Appendix Heading 1,2" </w:instrText>
      </w:r>
      <w:r w:rsidRPr="001B3113">
        <w:rPr>
          <w:rStyle w:val="Hyperlink"/>
          <w:color w:val="008CAC" w:themeColor="accent2" w:themeTint="BF"/>
        </w:rPr>
        <w:fldChar w:fldCharType="separate"/>
      </w:r>
      <w:hyperlink w:anchor="_Toc433975072" w:history="1">
        <w:r w:rsidR="007010D0" w:rsidRPr="00455514">
          <w:rPr>
            <w:rStyle w:val="Hyperlink"/>
          </w:rPr>
          <w:t>Executive summary</w:t>
        </w:r>
        <w:r w:rsidR="007010D0">
          <w:rPr>
            <w:webHidden/>
          </w:rPr>
          <w:tab/>
        </w:r>
        <w:r w:rsidR="007010D0">
          <w:rPr>
            <w:webHidden/>
          </w:rPr>
          <w:fldChar w:fldCharType="begin"/>
        </w:r>
        <w:r w:rsidR="007010D0">
          <w:rPr>
            <w:webHidden/>
          </w:rPr>
          <w:instrText xml:space="preserve"> PAGEREF _Toc433975072 \h </w:instrText>
        </w:r>
        <w:r w:rsidR="007010D0">
          <w:rPr>
            <w:webHidden/>
          </w:rPr>
        </w:r>
        <w:r w:rsidR="007010D0">
          <w:rPr>
            <w:webHidden/>
          </w:rPr>
          <w:fldChar w:fldCharType="separate"/>
        </w:r>
        <w:r w:rsidR="007010D0">
          <w:rPr>
            <w:webHidden/>
          </w:rPr>
          <w:t>7</w:t>
        </w:r>
        <w:r w:rsidR="007010D0">
          <w:rPr>
            <w:webHidden/>
          </w:rPr>
          <w:fldChar w:fldCharType="end"/>
        </w:r>
      </w:hyperlink>
    </w:p>
    <w:p w14:paraId="37CEDD76" w14:textId="77777777" w:rsidR="007010D0" w:rsidRDefault="00CC2859">
      <w:pPr>
        <w:pStyle w:val="TOC2"/>
        <w:rPr>
          <w:rFonts w:asciiTheme="minorHAnsi" w:eastAsiaTheme="minorEastAsia" w:hAnsiTheme="minorHAnsi" w:cstheme="minorBidi"/>
          <w:color w:val="auto"/>
          <w:sz w:val="22"/>
        </w:rPr>
      </w:pPr>
      <w:hyperlink w:anchor="_Toc433975073" w:history="1">
        <w:r w:rsidR="007010D0" w:rsidRPr="00455514">
          <w:rPr>
            <w:rStyle w:val="Hyperlink"/>
          </w:rPr>
          <w:t>1</w:t>
        </w:r>
        <w:r w:rsidR="007010D0">
          <w:rPr>
            <w:rFonts w:asciiTheme="minorHAnsi" w:eastAsiaTheme="minorEastAsia" w:hAnsiTheme="minorHAnsi" w:cstheme="minorBidi"/>
            <w:color w:val="auto"/>
            <w:sz w:val="22"/>
          </w:rPr>
          <w:tab/>
        </w:r>
        <w:r w:rsidR="007010D0" w:rsidRPr="00455514">
          <w:rPr>
            <w:rStyle w:val="Hyperlink"/>
          </w:rPr>
          <w:t>Introduction</w:t>
        </w:r>
        <w:r w:rsidR="007010D0">
          <w:rPr>
            <w:webHidden/>
          </w:rPr>
          <w:tab/>
        </w:r>
        <w:r w:rsidR="007010D0">
          <w:rPr>
            <w:webHidden/>
          </w:rPr>
          <w:fldChar w:fldCharType="begin"/>
        </w:r>
        <w:r w:rsidR="007010D0">
          <w:rPr>
            <w:webHidden/>
          </w:rPr>
          <w:instrText xml:space="preserve"> PAGEREF _Toc433975073 \h </w:instrText>
        </w:r>
        <w:r w:rsidR="007010D0">
          <w:rPr>
            <w:webHidden/>
          </w:rPr>
        </w:r>
        <w:r w:rsidR="007010D0">
          <w:rPr>
            <w:webHidden/>
          </w:rPr>
          <w:fldChar w:fldCharType="separate"/>
        </w:r>
        <w:r w:rsidR="007010D0">
          <w:rPr>
            <w:webHidden/>
          </w:rPr>
          <w:t>9</w:t>
        </w:r>
        <w:r w:rsidR="007010D0">
          <w:rPr>
            <w:webHidden/>
          </w:rPr>
          <w:fldChar w:fldCharType="end"/>
        </w:r>
      </w:hyperlink>
    </w:p>
    <w:p w14:paraId="1612C2B9" w14:textId="77777777" w:rsidR="007010D0" w:rsidRDefault="00CC2859">
      <w:pPr>
        <w:pStyle w:val="TOC2"/>
        <w:rPr>
          <w:rFonts w:asciiTheme="minorHAnsi" w:eastAsiaTheme="minorEastAsia" w:hAnsiTheme="minorHAnsi" w:cstheme="minorBidi"/>
          <w:color w:val="auto"/>
          <w:sz w:val="22"/>
        </w:rPr>
      </w:pPr>
      <w:hyperlink w:anchor="_Toc433975074" w:history="1">
        <w:r w:rsidR="007010D0" w:rsidRPr="00455514">
          <w:rPr>
            <w:rStyle w:val="Hyperlink"/>
          </w:rPr>
          <w:t>2</w:t>
        </w:r>
        <w:r w:rsidR="007010D0">
          <w:rPr>
            <w:rFonts w:asciiTheme="minorHAnsi" w:eastAsiaTheme="minorEastAsia" w:hAnsiTheme="minorHAnsi" w:cstheme="minorBidi"/>
            <w:color w:val="auto"/>
            <w:sz w:val="22"/>
          </w:rPr>
          <w:tab/>
        </w:r>
        <w:r w:rsidR="007010D0" w:rsidRPr="00455514">
          <w:rPr>
            <w:rStyle w:val="Hyperlink"/>
          </w:rPr>
          <w:t>Methods and Assumptions</w:t>
        </w:r>
        <w:r w:rsidR="007010D0">
          <w:rPr>
            <w:webHidden/>
          </w:rPr>
          <w:tab/>
        </w:r>
        <w:r w:rsidR="007010D0">
          <w:rPr>
            <w:webHidden/>
          </w:rPr>
          <w:fldChar w:fldCharType="begin"/>
        </w:r>
        <w:r w:rsidR="007010D0">
          <w:rPr>
            <w:webHidden/>
          </w:rPr>
          <w:instrText xml:space="preserve"> PAGEREF _Toc433975074 \h </w:instrText>
        </w:r>
        <w:r w:rsidR="007010D0">
          <w:rPr>
            <w:webHidden/>
          </w:rPr>
        </w:r>
        <w:r w:rsidR="007010D0">
          <w:rPr>
            <w:webHidden/>
          </w:rPr>
          <w:fldChar w:fldCharType="separate"/>
        </w:r>
        <w:r w:rsidR="007010D0">
          <w:rPr>
            <w:webHidden/>
          </w:rPr>
          <w:t>10</w:t>
        </w:r>
        <w:r w:rsidR="007010D0">
          <w:rPr>
            <w:webHidden/>
          </w:rPr>
          <w:fldChar w:fldCharType="end"/>
        </w:r>
      </w:hyperlink>
    </w:p>
    <w:p w14:paraId="68C4F84A" w14:textId="77777777" w:rsidR="007010D0" w:rsidRDefault="00CC2859">
      <w:pPr>
        <w:pStyle w:val="TOC3"/>
        <w:rPr>
          <w:rFonts w:asciiTheme="minorHAnsi" w:eastAsiaTheme="minorEastAsia" w:hAnsiTheme="minorHAnsi" w:cstheme="minorBidi"/>
          <w:noProof/>
          <w:color w:val="auto"/>
          <w:sz w:val="22"/>
        </w:rPr>
      </w:pPr>
      <w:hyperlink w:anchor="_Toc433975075" w:history="1">
        <w:r w:rsidR="007010D0" w:rsidRPr="00455514">
          <w:rPr>
            <w:rStyle w:val="Hyperlink"/>
            <w:noProof/>
          </w:rPr>
          <w:t>2.1</w:t>
        </w:r>
        <w:r w:rsidR="007010D0">
          <w:rPr>
            <w:rFonts w:asciiTheme="minorHAnsi" w:eastAsiaTheme="minorEastAsia" w:hAnsiTheme="minorHAnsi" w:cstheme="minorBidi"/>
            <w:noProof/>
            <w:color w:val="auto"/>
            <w:sz w:val="22"/>
          </w:rPr>
          <w:tab/>
        </w:r>
        <w:r w:rsidR="007010D0" w:rsidRPr="00455514">
          <w:rPr>
            <w:rStyle w:val="Hyperlink"/>
            <w:noProof/>
          </w:rPr>
          <w:t>General Methods</w:t>
        </w:r>
        <w:r w:rsidR="007010D0">
          <w:rPr>
            <w:noProof/>
            <w:webHidden/>
          </w:rPr>
          <w:tab/>
        </w:r>
        <w:r w:rsidR="007010D0">
          <w:rPr>
            <w:noProof/>
            <w:webHidden/>
          </w:rPr>
          <w:fldChar w:fldCharType="begin"/>
        </w:r>
        <w:r w:rsidR="007010D0">
          <w:rPr>
            <w:noProof/>
            <w:webHidden/>
          </w:rPr>
          <w:instrText xml:space="preserve"> PAGEREF _Toc433975075 \h </w:instrText>
        </w:r>
        <w:r w:rsidR="007010D0">
          <w:rPr>
            <w:noProof/>
            <w:webHidden/>
          </w:rPr>
        </w:r>
        <w:r w:rsidR="007010D0">
          <w:rPr>
            <w:noProof/>
            <w:webHidden/>
          </w:rPr>
          <w:fldChar w:fldCharType="separate"/>
        </w:r>
        <w:r w:rsidR="007010D0">
          <w:rPr>
            <w:noProof/>
            <w:webHidden/>
          </w:rPr>
          <w:t>10</w:t>
        </w:r>
        <w:r w:rsidR="007010D0">
          <w:rPr>
            <w:noProof/>
            <w:webHidden/>
          </w:rPr>
          <w:fldChar w:fldCharType="end"/>
        </w:r>
      </w:hyperlink>
    </w:p>
    <w:p w14:paraId="67761ADA" w14:textId="77777777" w:rsidR="007010D0" w:rsidRDefault="00CC2859">
      <w:pPr>
        <w:pStyle w:val="TOC3"/>
        <w:rPr>
          <w:rFonts w:asciiTheme="minorHAnsi" w:eastAsiaTheme="minorEastAsia" w:hAnsiTheme="minorHAnsi" w:cstheme="minorBidi"/>
          <w:noProof/>
          <w:color w:val="auto"/>
          <w:sz w:val="22"/>
        </w:rPr>
      </w:pPr>
      <w:hyperlink w:anchor="_Toc433975076" w:history="1">
        <w:r w:rsidR="007010D0" w:rsidRPr="00455514">
          <w:rPr>
            <w:rStyle w:val="Hyperlink"/>
            <w:noProof/>
          </w:rPr>
          <w:t>2.2</w:t>
        </w:r>
        <w:r w:rsidR="007010D0">
          <w:rPr>
            <w:rFonts w:asciiTheme="minorHAnsi" w:eastAsiaTheme="minorEastAsia" w:hAnsiTheme="minorHAnsi" w:cstheme="minorBidi"/>
            <w:noProof/>
            <w:color w:val="auto"/>
            <w:sz w:val="22"/>
          </w:rPr>
          <w:tab/>
        </w:r>
        <w:r w:rsidR="007010D0" w:rsidRPr="00455514">
          <w:rPr>
            <w:rStyle w:val="Hyperlink"/>
            <w:noProof/>
          </w:rPr>
          <w:t>Stock flow model of asset turnover</w:t>
        </w:r>
        <w:r w:rsidR="007010D0">
          <w:rPr>
            <w:noProof/>
            <w:webHidden/>
          </w:rPr>
          <w:tab/>
        </w:r>
        <w:r w:rsidR="007010D0">
          <w:rPr>
            <w:noProof/>
            <w:webHidden/>
          </w:rPr>
          <w:fldChar w:fldCharType="begin"/>
        </w:r>
        <w:r w:rsidR="007010D0">
          <w:rPr>
            <w:noProof/>
            <w:webHidden/>
          </w:rPr>
          <w:instrText xml:space="preserve"> PAGEREF _Toc433975076 \h </w:instrText>
        </w:r>
        <w:r w:rsidR="007010D0">
          <w:rPr>
            <w:noProof/>
            <w:webHidden/>
          </w:rPr>
        </w:r>
        <w:r w:rsidR="007010D0">
          <w:rPr>
            <w:noProof/>
            <w:webHidden/>
          </w:rPr>
          <w:fldChar w:fldCharType="separate"/>
        </w:r>
        <w:r w:rsidR="007010D0">
          <w:rPr>
            <w:noProof/>
            <w:webHidden/>
          </w:rPr>
          <w:t>10</w:t>
        </w:r>
        <w:r w:rsidR="007010D0">
          <w:rPr>
            <w:noProof/>
            <w:webHidden/>
          </w:rPr>
          <w:fldChar w:fldCharType="end"/>
        </w:r>
      </w:hyperlink>
    </w:p>
    <w:p w14:paraId="38F11395" w14:textId="77777777" w:rsidR="007010D0" w:rsidRDefault="00CC2859">
      <w:pPr>
        <w:pStyle w:val="TOC3"/>
        <w:rPr>
          <w:rFonts w:asciiTheme="minorHAnsi" w:eastAsiaTheme="minorEastAsia" w:hAnsiTheme="minorHAnsi" w:cstheme="minorBidi"/>
          <w:noProof/>
          <w:color w:val="auto"/>
          <w:sz w:val="22"/>
        </w:rPr>
      </w:pPr>
      <w:hyperlink w:anchor="_Toc433975077" w:history="1">
        <w:r w:rsidR="007010D0" w:rsidRPr="00455514">
          <w:rPr>
            <w:rStyle w:val="Hyperlink"/>
            <w:noProof/>
          </w:rPr>
          <w:t>2.3</w:t>
        </w:r>
        <w:r w:rsidR="007010D0">
          <w:rPr>
            <w:rFonts w:asciiTheme="minorHAnsi" w:eastAsiaTheme="minorEastAsia" w:hAnsiTheme="minorHAnsi" w:cstheme="minorBidi"/>
            <w:noProof/>
            <w:color w:val="auto"/>
            <w:sz w:val="22"/>
          </w:rPr>
          <w:tab/>
        </w:r>
        <w:r w:rsidR="007010D0" w:rsidRPr="00455514">
          <w:rPr>
            <w:rStyle w:val="Hyperlink"/>
            <w:noProof/>
          </w:rPr>
          <w:t>Logistic approximation of efficiency uptake</w:t>
        </w:r>
        <w:r w:rsidR="007010D0">
          <w:rPr>
            <w:noProof/>
            <w:webHidden/>
          </w:rPr>
          <w:tab/>
        </w:r>
        <w:r w:rsidR="007010D0">
          <w:rPr>
            <w:noProof/>
            <w:webHidden/>
          </w:rPr>
          <w:fldChar w:fldCharType="begin"/>
        </w:r>
        <w:r w:rsidR="007010D0">
          <w:rPr>
            <w:noProof/>
            <w:webHidden/>
          </w:rPr>
          <w:instrText xml:space="preserve"> PAGEREF _Toc433975077 \h </w:instrText>
        </w:r>
        <w:r w:rsidR="007010D0">
          <w:rPr>
            <w:noProof/>
            <w:webHidden/>
          </w:rPr>
        </w:r>
        <w:r w:rsidR="007010D0">
          <w:rPr>
            <w:noProof/>
            <w:webHidden/>
          </w:rPr>
          <w:fldChar w:fldCharType="separate"/>
        </w:r>
        <w:r w:rsidR="007010D0">
          <w:rPr>
            <w:noProof/>
            <w:webHidden/>
          </w:rPr>
          <w:t>12</w:t>
        </w:r>
        <w:r w:rsidR="007010D0">
          <w:rPr>
            <w:noProof/>
            <w:webHidden/>
          </w:rPr>
          <w:fldChar w:fldCharType="end"/>
        </w:r>
      </w:hyperlink>
    </w:p>
    <w:p w14:paraId="138914AC" w14:textId="77777777" w:rsidR="007010D0" w:rsidRDefault="00CC2859">
      <w:pPr>
        <w:pStyle w:val="TOC3"/>
        <w:rPr>
          <w:rFonts w:asciiTheme="minorHAnsi" w:eastAsiaTheme="minorEastAsia" w:hAnsiTheme="minorHAnsi" w:cstheme="minorBidi"/>
          <w:noProof/>
          <w:color w:val="auto"/>
          <w:sz w:val="22"/>
        </w:rPr>
      </w:pPr>
      <w:hyperlink w:anchor="_Toc433975078" w:history="1">
        <w:r w:rsidR="007010D0" w:rsidRPr="00455514">
          <w:rPr>
            <w:rStyle w:val="Hyperlink"/>
            <w:noProof/>
          </w:rPr>
          <w:t>2.4</w:t>
        </w:r>
        <w:r w:rsidR="007010D0">
          <w:rPr>
            <w:rFonts w:asciiTheme="minorHAnsi" w:eastAsiaTheme="minorEastAsia" w:hAnsiTheme="minorHAnsi" w:cstheme="minorBidi"/>
            <w:noProof/>
            <w:color w:val="auto"/>
            <w:sz w:val="22"/>
          </w:rPr>
          <w:tab/>
        </w:r>
        <w:r w:rsidR="007010D0" w:rsidRPr="00455514">
          <w:rPr>
            <w:rStyle w:val="Hyperlink"/>
            <w:noProof/>
          </w:rPr>
          <w:t>Statistical methods for estimating future trends</w:t>
        </w:r>
        <w:r w:rsidR="007010D0">
          <w:rPr>
            <w:noProof/>
            <w:webHidden/>
          </w:rPr>
          <w:tab/>
        </w:r>
        <w:r w:rsidR="007010D0">
          <w:rPr>
            <w:noProof/>
            <w:webHidden/>
          </w:rPr>
          <w:fldChar w:fldCharType="begin"/>
        </w:r>
        <w:r w:rsidR="007010D0">
          <w:rPr>
            <w:noProof/>
            <w:webHidden/>
          </w:rPr>
          <w:instrText xml:space="preserve"> PAGEREF _Toc433975078 \h </w:instrText>
        </w:r>
        <w:r w:rsidR="007010D0">
          <w:rPr>
            <w:noProof/>
            <w:webHidden/>
          </w:rPr>
        </w:r>
        <w:r w:rsidR="007010D0">
          <w:rPr>
            <w:noProof/>
            <w:webHidden/>
          </w:rPr>
          <w:fldChar w:fldCharType="separate"/>
        </w:r>
        <w:r w:rsidR="007010D0">
          <w:rPr>
            <w:noProof/>
            <w:webHidden/>
          </w:rPr>
          <w:t>12</w:t>
        </w:r>
        <w:r w:rsidR="007010D0">
          <w:rPr>
            <w:noProof/>
            <w:webHidden/>
          </w:rPr>
          <w:fldChar w:fldCharType="end"/>
        </w:r>
      </w:hyperlink>
    </w:p>
    <w:p w14:paraId="0CEAC049" w14:textId="77777777" w:rsidR="007010D0" w:rsidRDefault="00CC2859">
      <w:pPr>
        <w:pStyle w:val="TOC3"/>
        <w:rPr>
          <w:rFonts w:asciiTheme="minorHAnsi" w:eastAsiaTheme="minorEastAsia" w:hAnsiTheme="minorHAnsi" w:cstheme="minorBidi"/>
          <w:noProof/>
          <w:color w:val="auto"/>
          <w:sz w:val="22"/>
        </w:rPr>
      </w:pPr>
      <w:hyperlink w:anchor="_Toc433975079" w:history="1">
        <w:r w:rsidR="007010D0" w:rsidRPr="00455514">
          <w:rPr>
            <w:rStyle w:val="Hyperlink"/>
            <w:noProof/>
          </w:rPr>
          <w:t>2.5</w:t>
        </w:r>
        <w:r w:rsidR="007010D0">
          <w:rPr>
            <w:rFonts w:asciiTheme="minorHAnsi" w:eastAsiaTheme="minorEastAsia" w:hAnsiTheme="minorHAnsi" w:cstheme="minorBidi"/>
            <w:noProof/>
            <w:color w:val="auto"/>
            <w:sz w:val="22"/>
          </w:rPr>
          <w:tab/>
        </w:r>
        <w:r w:rsidR="007010D0" w:rsidRPr="00455514">
          <w:rPr>
            <w:rStyle w:val="Hyperlink"/>
            <w:noProof/>
          </w:rPr>
          <w:t>Expectation of future efficiency gains</w:t>
        </w:r>
        <w:r w:rsidR="007010D0">
          <w:rPr>
            <w:noProof/>
            <w:webHidden/>
          </w:rPr>
          <w:tab/>
        </w:r>
        <w:r w:rsidR="007010D0">
          <w:rPr>
            <w:noProof/>
            <w:webHidden/>
          </w:rPr>
          <w:fldChar w:fldCharType="begin"/>
        </w:r>
        <w:r w:rsidR="007010D0">
          <w:rPr>
            <w:noProof/>
            <w:webHidden/>
          </w:rPr>
          <w:instrText xml:space="preserve"> PAGEREF _Toc433975079 \h </w:instrText>
        </w:r>
        <w:r w:rsidR="007010D0">
          <w:rPr>
            <w:noProof/>
            <w:webHidden/>
          </w:rPr>
        </w:r>
        <w:r w:rsidR="007010D0">
          <w:rPr>
            <w:noProof/>
            <w:webHidden/>
          </w:rPr>
          <w:fldChar w:fldCharType="separate"/>
        </w:r>
        <w:r w:rsidR="007010D0">
          <w:rPr>
            <w:noProof/>
            <w:webHidden/>
          </w:rPr>
          <w:t>13</w:t>
        </w:r>
        <w:r w:rsidR="007010D0">
          <w:rPr>
            <w:noProof/>
            <w:webHidden/>
          </w:rPr>
          <w:fldChar w:fldCharType="end"/>
        </w:r>
      </w:hyperlink>
    </w:p>
    <w:p w14:paraId="24DF7408" w14:textId="38DB81FD" w:rsidR="007010D0" w:rsidRDefault="00CC2859">
      <w:pPr>
        <w:pStyle w:val="TOC2"/>
        <w:rPr>
          <w:rFonts w:asciiTheme="minorHAnsi" w:eastAsiaTheme="minorEastAsia" w:hAnsiTheme="minorHAnsi" w:cstheme="minorBidi"/>
          <w:color w:val="auto"/>
          <w:sz w:val="22"/>
        </w:rPr>
      </w:pPr>
      <w:hyperlink w:anchor="_Toc433975080" w:history="1">
        <w:r w:rsidR="007010D0" w:rsidRPr="00455514">
          <w:rPr>
            <w:rStyle w:val="Hyperlink"/>
          </w:rPr>
          <w:t>3</w:t>
        </w:r>
        <w:r w:rsidR="007010D0">
          <w:rPr>
            <w:rFonts w:asciiTheme="minorHAnsi" w:eastAsiaTheme="minorEastAsia" w:hAnsiTheme="minorHAnsi" w:cstheme="minorBidi"/>
            <w:color w:val="auto"/>
            <w:sz w:val="22"/>
          </w:rPr>
          <w:tab/>
        </w:r>
        <w:r w:rsidR="007010D0" w:rsidRPr="00455514">
          <w:rPr>
            <w:rStyle w:val="Hyperlink"/>
          </w:rPr>
          <w:t>Energy</w:t>
        </w:r>
        <w:r w:rsidR="007010D0">
          <w:rPr>
            <w:webHidden/>
          </w:rPr>
          <w:tab/>
        </w:r>
        <w:r w:rsidR="007010D0">
          <w:rPr>
            <w:webHidden/>
          </w:rPr>
          <w:tab/>
        </w:r>
        <w:r w:rsidR="007010D0">
          <w:rPr>
            <w:webHidden/>
          </w:rPr>
          <w:fldChar w:fldCharType="begin"/>
        </w:r>
        <w:r w:rsidR="007010D0">
          <w:rPr>
            <w:webHidden/>
          </w:rPr>
          <w:instrText xml:space="preserve"> PAGEREF _Toc433975080 \h </w:instrText>
        </w:r>
        <w:r w:rsidR="007010D0">
          <w:rPr>
            <w:webHidden/>
          </w:rPr>
        </w:r>
        <w:r w:rsidR="007010D0">
          <w:rPr>
            <w:webHidden/>
          </w:rPr>
          <w:fldChar w:fldCharType="separate"/>
        </w:r>
        <w:r w:rsidR="007010D0">
          <w:rPr>
            <w:webHidden/>
          </w:rPr>
          <w:t>15</w:t>
        </w:r>
        <w:r w:rsidR="007010D0">
          <w:rPr>
            <w:webHidden/>
          </w:rPr>
          <w:fldChar w:fldCharType="end"/>
        </w:r>
      </w:hyperlink>
    </w:p>
    <w:p w14:paraId="2B7323A2" w14:textId="77777777" w:rsidR="007010D0" w:rsidRDefault="00CC2859">
      <w:pPr>
        <w:pStyle w:val="TOC3"/>
        <w:rPr>
          <w:rFonts w:asciiTheme="minorHAnsi" w:eastAsiaTheme="minorEastAsia" w:hAnsiTheme="minorHAnsi" w:cstheme="minorBidi"/>
          <w:noProof/>
          <w:color w:val="auto"/>
          <w:sz w:val="22"/>
        </w:rPr>
      </w:pPr>
      <w:hyperlink w:anchor="_Toc433975081" w:history="1">
        <w:r w:rsidR="007010D0" w:rsidRPr="00455514">
          <w:rPr>
            <w:rStyle w:val="Hyperlink"/>
            <w:noProof/>
          </w:rPr>
          <w:t>3.1</w:t>
        </w:r>
        <w:r w:rsidR="007010D0">
          <w:rPr>
            <w:rFonts w:asciiTheme="minorHAnsi" w:eastAsiaTheme="minorEastAsia" w:hAnsiTheme="minorHAnsi" w:cstheme="minorBidi"/>
            <w:noProof/>
            <w:color w:val="auto"/>
            <w:sz w:val="22"/>
          </w:rPr>
          <w:tab/>
        </w:r>
        <w:r w:rsidR="007010D0" w:rsidRPr="00455514">
          <w:rPr>
            <w:rStyle w:val="Hyperlink"/>
            <w:noProof/>
          </w:rPr>
          <w:t>Historical data</w:t>
        </w:r>
        <w:r w:rsidR="007010D0">
          <w:rPr>
            <w:noProof/>
            <w:webHidden/>
          </w:rPr>
          <w:tab/>
        </w:r>
        <w:r w:rsidR="007010D0">
          <w:rPr>
            <w:noProof/>
            <w:webHidden/>
          </w:rPr>
          <w:fldChar w:fldCharType="begin"/>
        </w:r>
        <w:r w:rsidR="007010D0">
          <w:rPr>
            <w:noProof/>
            <w:webHidden/>
          </w:rPr>
          <w:instrText xml:space="preserve"> PAGEREF _Toc433975081 \h </w:instrText>
        </w:r>
        <w:r w:rsidR="007010D0">
          <w:rPr>
            <w:noProof/>
            <w:webHidden/>
          </w:rPr>
        </w:r>
        <w:r w:rsidR="007010D0">
          <w:rPr>
            <w:noProof/>
            <w:webHidden/>
          </w:rPr>
          <w:fldChar w:fldCharType="separate"/>
        </w:r>
        <w:r w:rsidR="007010D0">
          <w:rPr>
            <w:noProof/>
            <w:webHidden/>
          </w:rPr>
          <w:t>15</w:t>
        </w:r>
        <w:r w:rsidR="007010D0">
          <w:rPr>
            <w:noProof/>
            <w:webHidden/>
          </w:rPr>
          <w:fldChar w:fldCharType="end"/>
        </w:r>
      </w:hyperlink>
    </w:p>
    <w:p w14:paraId="7B2AD7B0" w14:textId="77777777" w:rsidR="007010D0" w:rsidRDefault="00CC2859">
      <w:pPr>
        <w:pStyle w:val="TOC3"/>
        <w:rPr>
          <w:rFonts w:asciiTheme="minorHAnsi" w:eastAsiaTheme="minorEastAsia" w:hAnsiTheme="minorHAnsi" w:cstheme="minorBidi"/>
          <w:noProof/>
          <w:color w:val="auto"/>
          <w:sz w:val="22"/>
        </w:rPr>
      </w:pPr>
      <w:hyperlink w:anchor="_Toc433975082" w:history="1">
        <w:r w:rsidR="007010D0" w:rsidRPr="00455514">
          <w:rPr>
            <w:rStyle w:val="Hyperlink"/>
            <w:noProof/>
          </w:rPr>
          <w:t>3.2</w:t>
        </w:r>
        <w:r w:rsidR="007010D0">
          <w:rPr>
            <w:rFonts w:asciiTheme="minorHAnsi" w:eastAsiaTheme="minorEastAsia" w:hAnsiTheme="minorHAnsi" w:cstheme="minorBidi"/>
            <w:noProof/>
            <w:color w:val="auto"/>
            <w:sz w:val="22"/>
          </w:rPr>
          <w:tab/>
        </w:r>
        <w:r w:rsidR="007010D0" w:rsidRPr="00455514">
          <w:rPr>
            <w:rStyle w:val="Hyperlink"/>
            <w:noProof/>
          </w:rPr>
          <w:t>Current Trends</w:t>
        </w:r>
        <w:r w:rsidR="007010D0">
          <w:rPr>
            <w:noProof/>
            <w:webHidden/>
          </w:rPr>
          <w:tab/>
        </w:r>
        <w:r w:rsidR="007010D0">
          <w:rPr>
            <w:noProof/>
            <w:webHidden/>
          </w:rPr>
          <w:fldChar w:fldCharType="begin"/>
        </w:r>
        <w:r w:rsidR="007010D0">
          <w:rPr>
            <w:noProof/>
            <w:webHidden/>
          </w:rPr>
          <w:instrText xml:space="preserve"> PAGEREF _Toc433975082 \h </w:instrText>
        </w:r>
        <w:r w:rsidR="007010D0">
          <w:rPr>
            <w:noProof/>
            <w:webHidden/>
          </w:rPr>
        </w:r>
        <w:r w:rsidR="007010D0">
          <w:rPr>
            <w:noProof/>
            <w:webHidden/>
          </w:rPr>
          <w:fldChar w:fldCharType="separate"/>
        </w:r>
        <w:r w:rsidR="007010D0">
          <w:rPr>
            <w:noProof/>
            <w:webHidden/>
          </w:rPr>
          <w:t>15</w:t>
        </w:r>
        <w:r w:rsidR="007010D0">
          <w:rPr>
            <w:noProof/>
            <w:webHidden/>
          </w:rPr>
          <w:fldChar w:fldCharType="end"/>
        </w:r>
      </w:hyperlink>
    </w:p>
    <w:p w14:paraId="35A172F9" w14:textId="77777777" w:rsidR="007010D0" w:rsidRDefault="00CC2859">
      <w:pPr>
        <w:pStyle w:val="TOC3"/>
        <w:rPr>
          <w:rFonts w:asciiTheme="minorHAnsi" w:eastAsiaTheme="minorEastAsia" w:hAnsiTheme="minorHAnsi" w:cstheme="minorBidi"/>
          <w:noProof/>
          <w:color w:val="auto"/>
          <w:sz w:val="22"/>
        </w:rPr>
      </w:pPr>
      <w:hyperlink w:anchor="_Toc433975083" w:history="1">
        <w:r w:rsidR="007010D0" w:rsidRPr="00455514">
          <w:rPr>
            <w:rStyle w:val="Hyperlink"/>
            <w:noProof/>
          </w:rPr>
          <w:t>3.3</w:t>
        </w:r>
        <w:r w:rsidR="007010D0">
          <w:rPr>
            <w:rFonts w:asciiTheme="minorHAnsi" w:eastAsiaTheme="minorEastAsia" w:hAnsiTheme="minorHAnsi" w:cstheme="minorBidi"/>
            <w:noProof/>
            <w:color w:val="auto"/>
            <w:sz w:val="22"/>
          </w:rPr>
          <w:tab/>
        </w:r>
        <w:r w:rsidR="007010D0" w:rsidRPr="00455514">
          <w:rPr>
            <w:rStyle w:val="Hyperlink"/>
            <w:noProof/>
          </w:rPr>
          <w:t>Step Change</w:t>
        </w:r>
        <w:r w:rsidR="007010D0">
          <w:rPr>
            <w:noProof/>
            <w:webHidden/>
          </w:rPr>
          <w:tab/>
        </w:r>
        <w:r w:rsidR="007010D0">
          <w:rPr>
            <w:noProof/>
            <w:webHidden/>
          </w:rPr>
          <w:fldChar w:fldCharType="begin"/>
        </w:r>
        <w:r w:rsidR="007010D0">
          <w:rPr>
            <w:noProof/>
            <w:webHidden/>
          </w:rPr>
          <w:instrText xml:space="preserve"> PAGEREF _Toc433975083 \h </w:instrText>
        </w:r>
        <w:r w:rsidR="007010D0">
          <w:rPr>
            <w:noProof/>
            <w:webHidden/>
          </w:rPr>
        </w:r>
        <w:r w:rsidR="007010D0">
          <w:rPr>
            <w:noProof/>
            <w:webHidden/>
          </w:rPr>
          <w:fldChar w:fldCharType="separate"/>
        </w:r>
        <w:r w:rsidR="007010D0">
          <w:rPr>
            <w:noProof/>
            <w:webHidden/>
          </w:rPr>
          <w:t>18</w:t>
        </w:r>
        <w:r w:rsidR="007010D0">
          <w:rPr>
            <w:noProof/>
            <w:webHidden/>
          </w:rPr>
          <w:fldChar w:fldCharType="end"/>
        </w:r>
      </w:hyperlink>
    </w:p>
    <w:p w14:paraId="0DC49400" w14:textId="5816A10C" w:rsidR="007010D0" w:rsidRDefault="00CC2859">
      <w:pPr>
        <w:pStyle w:val="TOC2"/>
        <w:rPr>
          <w:rFonts w:asciiTheme="minorHAnsi" w:eastAsiaTheme="minorEastAsia" w:hAnsiTheme="minorHAnsi" w:cstheme="minorBidi"/>
          <w:color w:val="auto"/>
          <w:sz w:val="22"/>
        </w:rPr>
      </w:pPr>
      <w:hyperlink w:anchor="_Toc433975084" w:history="1">
        <w:r w:rsidR="007010D0" w:rsidRPr="00455514">
          <w:rPr>
            <w:rStyle w:val="Hyperlink"/>
          </w:rPr>
          <w:t>4</w:t>
        </w:r>
        <w:r w:rsidR="007010D0">
          <w:rPr>
            <w:rFonts w:asciiTheme="minorHAnsi" w:eastAsiaTheme="minorEastAsia" w:hAnsiTheme="minorHAnsi" w:cstheme="minorBidi"/>
            <w:color w:val="auto"/>
            <w:sz w:val="22"/>
          </w:rPr>
          <w:tab/>
        </w:r>
        <w:r w:rsidR="007010D0" w:rsidRPr="00455514">
          <w:rPr>
            <w:rStyle w:val="Hyperlink"/>
          </w:rPr>
          <w:t>Water</w:t>
        </w:r>
        <w:r w:rsidR="007010D0">
          <w:rPr>
            <w:webHidden/>
          </w:rPr>
          <w:tab/>
        </w:r>
        <w:r w:rsidR="007010D0">
          <w:rPr>
            <w:webHidden/>
          </w:rPr>
          <w:tab/>
        </w:r>
        <w:r w:rsidR="007010D0">
          <w:rPr>
            <w:webHidden/>
          </w:rPr>
          <w:fldChar w:fldCharType="begin"/>
        </w:r>
        <w:r w:rsidR="007010D0">
          <w:rPr>
            <w:webHidden/>
          </w:rPr>
          <w:instrText xml:space="preserve"> PAGEREF _Toc433975084 \h </w:instrText>
        </w:r>
        <w:r w:rsidR="007010D0">
          <w:rPr>
            <w:webHidden/>
          </w:rPr>
        </w:r>
        <w:r w:rsidR="007010D0">
          <w:rPr>
            <w:webHidden/>
          </w:rPr>
          <w:fldChar w:fldCharType="separate"/>
        </w:r>
        <w:r w:rsidR="007010D0">
          <w:rPr>
            <w:webHidden/>
          </w:rPr>
          <w:t>21</w:t>
        </w:r>
        <w:r w:rsidR="007010D0">
          <w:rPr>
            <w:webHidden/>
          </w:rPr>
          <w:fldChar w:fldCharType="end"/>
        </w:r>
      </w:hyperlink>
    </w:p>
    <w:p w14:paraId="496E79CC" w14:textId="77777777" w:rsidR="007010D0" w:rsidRDefault="00CC2859">
      <w:pPr>
        <w:pStyle w:val="TOC3"/>
        <w:rPr>
          <w:rFonts w:asciiTheme="minorHAnsi" w:eastAsiaTheme="minorEastAsia" w:hAnsiTheme="minorHAnsi" w:cstheme="minorBidi"/>
          <w:noProof/>
          <w:color w:val="auto"/>
          <w:sz w:val="22"/>
        </w:rPr>
      </w:pPr>
      <w:hyperlink w:anchor="_Toc433975085" w:history="1">
        <w:r w:rsidR="007010D0" w:rsidRPr="00455514">
          <w:rPr>
            <w:rStyle w:val="Hyperlink"/>
            <w:noProof/>
          </w:rPr>
          <w:t>4.1</w:t>
        </w:r>
        <w:r w:rsidR="007010D0">
          <w:rPr>
            <w:rFonts w:asciiTheme="minorHAnsi" w:eastAsiaTheme="minorEastAsia" w:hAnsiTheme="minorHAnsi" w:cstheme="minorBidi"/>
            <w:noProof/>
            <w:color w:val="auto"/>
            <w:sz w:val="22"/>
          </w:rPr>
          <w:tab/>
        </w:r>
        <w:r w:rsidR="007010D0" w:rsidRPr="00455514">
          <w:rPr>
            <w:rStyle w:val="Hyperlink"/>
            <w:noProof/>
          </w:rPr>
          <w:t>Historical data</w:t>
        </w:r>
        <w:r w:rsidR="007010D0">
          <w:rPr>
            <w:noProof/>
            <w:webHidden/>
          </w:rPr>
          <w:tab/>
        </w:r>
        <w:r w:rsidR="007010D0">
          <w:rPr>
            <w:noProof/>
            <w:webHidden/>
          </w:rPr>
          <w:fldChar w:fldCharType="begin"/>
        </w:r>
        <w:r w:rsidR="007010D0">
          <w:rPr>
            <w:noProof/>
            <w:webHidden/>
          </w:rPr>
          <w:instrText xml:space="preserve"> PAGEREF _Toc433975085 \h </w:instrText>
        </w:r>
        <w:r w:rsidR="007010D0">
          <w:rPr>
            <w:noProof/>
            <w:webHidden/>
          </w:rPr>
        </w:r>
        <w:r w:rsidR="007010D0">
          <w:rPr>
            <w:noProof/>
            <w:webHidden/>
          </w:rPr>
          <w:fldChar w:fldCharType="separate"/>
        </w:r>
        <w:r w:rsidR="007010D0">
          <w:rPr>
            <w:noProof/>
            <w:webHidden/>
          </w:rPr>
          <w:t>21</w:t>
        </w:r>
        <w:r w:rsidR="007010D0">
          <w:rPr>
            <w:noProof/>
            <w:webHidden/>
          </w:rPr>
          <w:fldChar w:fldCharType="end"/>
        </w:r>
      </w:hyperlink>
    </w:p>
    <w:p w14:paraId="2E4370FC" w14:textId="77777777" w:rsidR="007010D0" w:rsidRDefault="00CC2859">
      <w:pPr>
        <w:pStyle w:val="TOC3"/>
        <w:rPr>
          <w:rFonts w:asciiTheme="minorHAnsi" w:eastAsiaTheme="minorEastAsia" w:hAnsiTheme="minorHAnsi" w:cstheme="minorBidi"/>
          <w:noProof/>
          <w:color w:val="auto"/>
          <w:sz w:val="22"/>
        </w:rPr>
      </w:pPr>
      <w:hyperlink w:anchor="_Toc433975086" w:history="1">
        <w:r w:rsidR="007010D0" w:rsidRPr="00455514">
          <w:rPr>
            <w:rStyle w:val="Hyperlink"/>
            <w:noProof/>
          </w:rPr>
          <w:t>4.2</w:t>
        </w:r>
        <w:r w:rsidR="007010D0">
          <w:rPr>
            <w:rFonts w:asciiTheme="minorHAnsi" w:eastAsiaTheme="minorEastAsia" w:hAnsiTheme="minorHAnsi" w:cstheme="minorBidi"/>
            <w:noProof/>
            <w:color w:val="auto"/>
            <w:sz w:val="22"/>
          </w:rPr>
          <w:tab/>
        </w:r>
        <w:r w:rsidR="007010D0" w:rsidRPr="00455514">
          <w:rPr>
            <w:rStyle w:val="Hyperlink"/>
            <w:noProof/>
          </w:rPr>
          <w:t>Current Trends</w:t>
        </w:r>
        <w:r w:rsidR="007010D0">
          <w:rPr>
            <w:noProof/>
            <w:webHidden/>
          </w:rPr>
          <w:tab/>
        </w:r>
        <w:r w:rsidR="007010D0">
          <w:rPr>
            <w:noProof/>
            <w:webHidden/>
          </w:rPr>
          <w:fldChar w:fldCharType="begin"/>
        </w:r>
        <w:r w:rsidR="007010D0">
          <w:rPr>
            <w:noProof/>
            <w:webHidden/>
          </w:rPr>
          <w:instrText xml:space="preserve"> PAGEREF _Toc433975086 \h </w:instrText>
        </w:r>
        <w:r w:rsidR="007010D0">
          <w:rPr>
            <w:noProof/>
            <w:webHidden/>
          </w:rPr>
        </w:r>
        <w:r w:rsidR="007010D0">
          <w:rPr>
            <w:noProof/>
            <w:webHidden/>
          </w:rPr>
          <w:fldChar w:fldCharType="separate"/>
        </w:r>
        <w:r w:rsidR="007010D0">
          <w:rPr>
            <w:noProof/>
            <w:webHidden/>
          </w:rPr>
          <w:t>21</w:t>
        </w:r>
        <w:r w:rsidR="007010D0">
          <w:rPr>
            <w:noProof/>
            <w:webHidden/>
          </w:rPr>
          <w:fldChar w:fldCharType="end"/>
        </w:r>
      </w:hyperlink>
    </w:p>
    <w:p w14:paraId="6C524045" w14:textId="77777777" w:rsidR="007010D0" w:rsidRDefault="00CC2859">
      <w:pPr>
        <w:pStyle w:val="TOC3"/>
        <w:rPr>
          <w:rFonts w:asciiTheme="minorHAnsi" w:eastAsiaTheme="minorEastAsia" w:hAnsiTheme="minorHAnsi" w:cstheme="minorBidi"/>
          <w:noProof/>
          <w:color w:val="auto"/>
          <w:sz w:val="22"/>
        </w:rPr>
      </w:pPr>
      <w:hyperlink w:anchor="_Toc433975087" w:history="1">
        <w:r w:rsidR="007010D0" w:rsidRPr="00455514">
          <w:rPr>
            <w:rStyle w:val="Hyperlink"/>
            <w:noProof/>
          </w:rPr>
          <w:t>4.3</w:t>
        </w:r>
        <w:r w:rsidR="007010D0">
          <w:rPr>
            <w:rFonts w:asciiTheme="minorHAnsi" w:eastAsiaTheme="minorEastAsia" w:hAnsiTheme="minorHAnsi" w:cstheme="minorBidi"/>
            <w:noProof/>
            <w:color w:val="auto"/>
            <w:sz w:val="22"/>
          </w:rPr>
          <w:tab/>
        </w:r>
        <w:r w:rsidR="007010D0" w:rsidRPr="00455514">
          <w:rPr>
            <w:rStyle w:val="Hyperlink"/>
            <w:noProof/>
          </w:rPr>
          <w:t>Step Change</w:t>
        </w:r>
        <w:r w:rsidR="007010D0">
          <w:rPr>
            <w:noProof/>
            <w:webHidden/>
          </w:rPr>
          <w:tab/>
        </w:r>
        <w:r w:rsidR="007010D0">
          <w:rPr>
            <w:noProof/>
            <w:webHidden/>
          </w:rPr>
          <w:fldChar w:fldCharType="begin"/>
        </w:r>
        <w:r w:rsidR="007010D0">
          <w:rPr>
            <w:noProof/>
            <w:webHidden/>
          </w:rPr>
          <w:instrText xml:space="preserve"> PAGEREF _Toc433975087 \h </w:instrText>
        </w:r>
        <w:r w:rsidR="007010D0">
          <w:rPr>
            <w:noProof/>
            <w:webHidden/>
          </w:rPr>
        </w:r>
        <w:r w:rsidR="007010D0">
          <w:rPr>
            <w:noProof/>
            <w:webHidden/>
          </w:rPr>
          <w:fldChar w:fldCharType="separate"/>
        </w:r>
        <w:r w:rsidR="007010D0">
          <w:rPr>
            <w:noProof/>
            <w:webHidden/>
          </w:rPr>
          <w:t>22</w:t>
        </w:r>
        <w:r w:rsidR="007010D0">
          <w:rPr>
            <w:noProof/>
            <w:webHidden/>
          </w:rPr>
          <w:fldChar w:fldCharType="end"/>
        </w:r>
      </w:hyperlink>
    </w:p>
    <w:p w14:paraId="2A789745" w14:textId="77777777" w:rsidR="007010D0" w:rsidRDefault="00CC2859">
      <w:pPr>
        <w:pStyle w:val="TOC2"/>
        <w:rPr>
          <w:rFonts w:asciiTheme="minorHAnsi" w:eastAsiaTheme="minorEastAsia" w:hAnsiTheme="minorHAnsi" w:cstheme="minorBidi"/>
          <w:color w:val="auto"/>
          <w:sz w:val="22"/>
        </w:rPr>
      </w:pPr>
      <w:hyperlink w:anchor="_Toc433975088" w:history="1">
        <w:r w:rsidR="007010D0" w:rsidRPr="00455514">
          <w:rPr>
            <w:rStyle w:val="Hyperlink"/>
          </w:rPr>
          <w:t>5</w:t>
        </w:r>
        <w:r w:rsidR="007010D0">
          <w:rPr>
            <w:rFonts w:asciiTheme="minorHAnsi" w:eastAsiaTheme="minorEastAsia" w:hAnsiTheme="minorHAnsi" w:cstheme="minorBidi"/>
            <w:color w:val="auto"/>
            <w:sz w:val="22"/>
          </w:rPr>
          <w:tab/>
        </w:r>
        <w:r w:rsidR="007010D0" w:rsidRPr="00455514">
          <w:rPr>
            <w:rStyle w:val="Hyperlink"/>
          </w:rPr>
          <w:t>Supplementary information</w:t>
        </w:r>
        <w:r w:rsidR="007010D0">
          <w:rPr>
            <w:webHidden/>
          </w:rPr>
          <w:tab/>
        </w:r>
        <w:r w:rsidR="007010D0">
          <w:rPr>
            <w:webHidden/>
          </w:rPr>
          <w:fldChar w:fldCharType="begin"/>
        </w:r>
        <w:r w:rsidR="007010D0">
          <w:rPr>
            <w:webHidden/>
          </w:rPr>
          <w:instrText xml:space="preserve"> PAGEREF _Toc433975088 \h </w:instrText>
        </w:r>
        <w:r w:rsidR="007010D0">
          <w:rPr>
            <w:webHidden/>
          </w:rPr>
        </w:r>
        <w:r w:rsidR="007010D0">
          <w:rPr>
            <w:webHidden/>
          </w:rPr>
          <w:fldChar w:fldCharType="separate"/>
        </w:r>
        <w:r w:rsidR="007010D0">
          <w:rPr>
            <w:webHidden/>
          </w:rPr>
          <w:t>24</w:t>
        </w:r>
        <w:r w:rsidR="007010D0">
          <w:rPr>
            <w:webHidden/>
          </w:rPr>
          <w:fldChar w:fldCharType="end"/>
        </w:r>
      </w:hyperlink>
    </w:p>
    <w:p w14:paraId="6F5003D0" w14:textId="772D36E7" w:rsidR="007010D0" w:rsidRDefault="00CC2859">
      <w:pPr>
        <w:pStyle w:val="TOC2"/>
        <w:rPr>
          <w:rFonts w:asciiTheme="minorHAnsi" w:eastAsiaTheme="minorEastAsia" w:hAnsiTheme="minorHAnsi" w:cstheme="minorBidi"/>
          <w:color w:val="auto"/>
          <w:sz w:val="22"/>
        </w:rPr>
      </w:pPr>
      <w:hyperlink w:anchor="_Toc433975089" w:history="1">
        <w:r w:rsidR="007010D0" w:rsidRPr="00455514">
          <w:rPr>
            <w:rStyle w:val="Hyperlink"/>
          </w:rPr>
          <w:t>Acronyms</w:t>
        </w:r>
        <w:r w:rsidR="007010D0">
          <w:rPr>
            <w:webHidden/>
          </w:rPr>
          <w:tab/>
        </w:r>
        <w:r w:rsidR="007010D0">
          <w:rPr>
            <w:webHidden/>
          </w:rPr>
          <w:tab/>
        </w:r>
        <w:r w:rsidR="007010D0">
          <w:rPr>
            <w:webHidden/>
          </w:rPr>
          <w:fldChar w:fldCharType="begin"/>
        </w:r>
        <w:r w:rsidR="007010D0">
          <w:rPr>
            <w:webHidden/>
          </w:rPr>
          <w:instrText xml:space="preserve"> PAGEREF _Toc433975089 \h </w:instrText>
        </w:r>
        <w:r w:rsidR="007010D0">
          <w:rPr>
            <w:webHidden/>
          </w:rPr>
        </w:r>
        <w:r w:rsidR="007010D0">
          <w:rPr>
            <w:webHidden/>
          </w:rPr>
          <w:fldChar w:fldCharType="separate"/>
        </w:r>
        <w:r w:rsidR="007010D0">
          <w:rPr>
            <w:webHidden/>
          </w:rPr>
          <w:t>27</w:t>
        </w:r>
        <w:r w:rsidR="007010D0">
          <w:rPr>
            <w:webHidden/>
          </w:rPr>
          <w:fldChar w:fldCharType="end"/>
        </w:r>
      </w:hyperlink>
    </w:p>
    <w:p w14:paraId="6BAF22EB" w14:textId="1CA02B30" w:rsidR="007010D0" w:rsidRDefault="00CC2859">
      <w:pPr>
        <w:pStyle w:val="TOC2"/>
        <w:rPr>
          <w:rFonts w:asciiTheme="minorHAnsi" w:eastAsiaTheme="minorEastAsia" w:hAnsiTheme="minorHAnsi" w:cstheme="minorBidi"/>
          <w:color w:val="auto"/>
          <w:sz w:val="22"/>
        </w:rPr>
      </w:pPr>
      <w:hyperlink w:anchor="_Toc433975090" w:history="1">
        <w:r w:rsidR="007010D0" w:rsidRPr="00455514">
          <w:rPr>
            <w:rStyle w:val="Hyperlink"/>
          </w:rPr>
          <w:t>References</w:t>
        </w:r>
        <w:r w:rsidR="007010D0">
          <w:rPr>
            <w:webHidden/>
          </w:rPr>
          <w:tab/>
        </w:r>
        <w:r w:rsidR="007010D0">
          <w:rPr>
            <w:webHidden/>
          </w:rPr>
          <w:tab/>
        </w:r>
        <w:r w:rsidR="007010D0">
          <w:rPr>
            <w:webHidden/>
          </w:rPr>
          <w:fldChar w:fldCharType="begin"/>
        </w:r>
        <w:r w:rsidR="007010D0">
          <w:rPr>
            <w:webHidden/>
          </w:rPr>
          <w:instrText xml:space="preserve"> PAGEREF _Toc433975090 \h </w:instrText>
        </w:r>
        <w:r w:rsidR="007010D0">
          <w:rPr>
            <w:webHidden/>
          </w:rPr>
        </w:r>
        <w:r w:rsidR="007010D0">
          <w:rPr>
            <w:webHidden/>
          </w:rPr>
          <w:fldChar w:fldCharType="separate"/>
        </w:r>
        <w:r w:rsidR="007010D0">
          <w:rPr>
            <w:webHidden/>
          </w:rPr>
          <w:t>28</w:t>
        </w:r>
        <w:r w:rsidR="007010D0">
          <w:rPr>
            <w:webHidden/>
          </w:rPr>
          <w:fldChar w:fldCharType="end"/>
        </w:r>
      </w:hyperlink>
    </w:p>
    <w:p w14:paraId="40C79AA9" w14:textId="73E0F973" w:rsidR="0017018E" w:rsidRPr="001B3113" w:rsidRDefault="0017018E" w:rsidP="0017018E">
      <w:pPr>
        <w:pStyle w:val="TOC2"/>
        <w:rPr>
          <w:rStyle w:val="Hyperlink"/>
          <w:color w:val="008CAC" w:themeColor="accent2" w:themeTint="BF"/>
        </w:rPr>
      </w:pPr>
      <w:r w:rsidRPr="001B3113">
        <w:rPr>
          <w:rStyle w:val="Hyperlink"/>
          <w:color w:val="008CAC" w:themeColor="accent2" w:themeTint="BF"/>
        </w:rPr>
        <w:fldChar w:fldCharType="end"/>
      </w:r>
    </w:p>
    <w:p w14:paraId="44851079" w14:textId="77777777" w:rsidR="0017018E" w:rsidRPr="006D07FA" w:rsidRDefault="0017018E" w:rsidP="006D07FA">
      <w:pPr>
        <w:pStyle w:val="Heading1noTOC"/>
        <w:tabs>
          <w:tab w:val="clear" w:pos="1134"/>
          <w:tab w:val="left" w:pos="851"/>
        </w:tabs>
        <w:spacing w:after="1080"/>
        <w:rPr>
          <w:color w:val="00A9CE" w:themeColor="accent1"/>
        </w:rPr>
      </w:pPr>
      <w:r w:rsidRPr="006D07FA">
        <w:rPr>
          <w:color w:val="00A9CE" w:themeColor="accent1"/>
        </w:rPr>
        <w:lastRenderedPageBreak/>
        <w:t>Figures</w:t>
      </w:r>
    </w:p>
    <w:p w14:paraId="29A52A91" w14:textId="77777777" w:rsidR="00FC10DB" w:rsidRDefault="0017018E">
      <w:pPr>
        <w:pStyle w:val="TableofFigures"/>
        <w:rPr>
          <w:rFonts w:asciiTheme="minorHAnsi" w:eastAsiaTheme="minorEastAsia" w:hAnsiTheme="minorHAnsi" w:cstheme="minorBidi"/>
          <w:noProof/>
          <w:color w:val="auto"/>
          <w:sz w:val="22"/>
        </w:rPr>
      </w:pPr>
      <w:r w:rsidRPr="007B0D5A">
        <w:rPr>
          <w:color w:val="008CAC" w:themeColor="accent2" w:themeTint="BF"/>
        </w:rPr>
        <w:fldChar w:fldCharType="begin"/>
      </w:r>
      <w:r w:rsidRPr="007B0D5A">
        <w:rPr>
          <w:color w:val="008CAC" w:themeColor="accent2" w:themeTint="BF"/>
        </w:rPr>
        <w:instrText xml:space="preserve"> TOC \h \z \c "Figure" </w:instrText>
      </w:r>
      <w:r w:rsidRPr="007B0D5A">
        <w:rPr>
          <w:color w:val="008CAC" w:themeColor="accent2" w:themeTint="BF"/>
        </w:rPr>
        <w:fldChar w:fldCharType="separate"/>
      </w:r>
      <w:hyperlink w:anchor="_Toc433972606" w:history="1">
        <w:r w:rsidR="00FC10DB" w:rsidRPr="002A3CD5">
          <w:rPr>
            <w:rStyle w:val="Hyperlink"/>
            <w:noProof/>
          </w:rPr>
          <w:t>Figure 1: Simplified representation of the stock flow model.</w:t>
        </w:r>
        <w:r w:rsidR="00FC10DB">
          <w:rPr>
            <w:noProof/>
            <w:webHidden/>
          </w:rPr>
          <w:tab/>
        </w:r>
        <w:r w:rsidR="00FC10DB">
          <w:rPr>
            <w:noProof/>
            <w:webHidden/>
          </w:rPr>
          <w:fldChar w:fldCharType="begin"/>
        </w:r>
        <w:r w:rsidR="00FC10DB">
          <w:rPr>
            <w:noProof/>
            <w:webHidden/>
          </w:rPr>
          <w:instrText xml:space="preserve"> PAGEREF _Toc433972606 \h </w:instrText>
        </w:r>
        <w:r w:rsidR="00FC10DB">
          <w:rPr>
            <w:noProof/>
            <w:webHidden/>
          </w:rPr>
        </w:r>
        <w:r w:rsidR="00FC10DB">
          <w:rPr>
            <w:noProof/>
            <w:webHidden/>
          </w:rPr>
          <w:fldChar w:fldCharType="separate"/>
        </w:r>
        <w:r w:rsidR="00FC10DB">
          <w:rPr>
            <w:noProof/>
            <w:webHidden/>
          </w:rPr>
          <w:t>11</w:t>
        </w:r>
        <w:r w:rsidR="00FC10DB">
          <w:rPr>
            <w:noProof/>
            <w:webHidden/>
          </w:rPr>
          <w:fldChar w:fldCharType="end"/>
        </w:r>
      </w:hyperlink>
    </w:p>
    <w:p w14:paraId="405EC3B5" w14:textId="77777777" w:rsidR="00FC10DB" w:rsidRDefault="00CC2859">
      <w:pPr>
        <w:pStyle w:val="TableofFigures"/>
        <w:rPr>
          <w:rFonts w:asciiTheme="minorHAnsi" w:eastAsiaTheme="minorEastAsia" w:hAnsiTheme="minorHAnsi" w:cstheme="minorBidi"/>
          <w:noProof/>
          <w:color w:val="auto"/>
          <w:sz w:val="22"/>
        </w:rPr>
      </w:pPr>
      <w:hyperlink w:anchor="_Toc433972607" w:history="1">
        <w:r w:rsidR="00FC10DB" w:rsidRPr="002A3CD5">
          <w:rPr>
            <w:rStyle w:val="Hyperlink"/>
            <w:noProof/>
          </w:rPr>
          <w:t>Figure 2: Form of the logistic function where the parameter k = 1, in the model k = 10/width where “width” is an estimate of the time for the transition to take place equal to 30 years.</w:t>
        </w:r>
        <w:r w:rsidR="00FC10DB">
          <w:rPr>
            <w:noProof/>
            <w:webHidden/>
          </w:rPr>
          <w:tab/>
        </w:r>
        <w:r w:rsidR="00FC10DB">
          <w:rPr>
            <w:noProof/>
            <w:webHidden/>
          </w:rPr>
          <w:fldChar w:fldCharType="begin"/>
        </w:r>
        <w:r w:rsidR="00FC10DB">
          <w:rPr>
            <w:noProof/>
            <w:webHidden/>
          </w:rPr>
          <w:instrText xml:space="preserve"> PAGEREF _Toc433972607 \h </w:instrText>
        </w:r>
        <w:r w:rsidR="00FC10DB">
          <w:rPr>
            <w:noProof/>
            <w:webHidden/>
          </w:rPr>
        </w:r>
        <w:r w:rsidR="00FC10DB">
          <w:rPr>
            <w:noProof/>
            <w:webHidden/>
          </w:rPr>
          <w:fldChar w:fldCharType="separate"/>
        </w:r>
        <w:r w:rsidR="00FC10DB">
          <w:rPr>
            <w:noProof/>
            <w:webHidden/>
          </w:rPr>
          <w:t>13</w:t>
        </w:r>
        <w:r w:rsidR="00FC10DB">
          <w:rPr>
            <w:noProof/>
            <w:webHidden/>
          </w:rPr>
          <w:fldChar w:fldCharType="end"/>
        </w:r>
      </w:hyperlink>
    </w:p>
    <w:p w14:paraId="0E86D817" w14:textId="77777777" w:rsidR="00FC10DB" w:rsidRDefault="00CC2859">
      <w:pPr>
        <w:pStyle w:val="TableofFigures"/>
        <w:rPr>
          <w:rFonts w:asciiTheme="minorHAnsi" w:eastAsiaTheme="minorEastAsia" w:hAnsiTheme="minorHAnsi" w:cstheme="minorBidi"/>
          <w:noProof/>
          <w:color w:val="auto"/>
          <w:sz w:val="22"/>
        </w:rPr>
      </w:pPr>
      <w:hyperlink w:anchor="_Toc433972608" w:history="1">
        <w:r w:rsidR="00FC10DB" w:rsidRPr="002A3CD5">
          <w:rPr>
            <w:rStyle w:val="Hyperlink"/>
            <w:noProof/>
          </w:rPr>
          <w:t>Figure 3: Multiplier for expected future energy efficiency beyond that achieved at 2020</w:t>
        </w:r>
        <w:r w:rsidR="00FC10DB">
          <w:rPr>
            <w:noProof/>
            <w:webHidden/>
          </w:rPr>
          <w:tab/>
        </w:r>
        <w:r w:rsidR="00FC10DB">
          <w:rPr>
            <w:noProof/>
            <w:webHidden/>
          </w:rPr>
          <w:fldChar w:fldCharType="begin"/>
        </w:r>
        <w:r w:rsidR="00FC10DB">
          <w:rPr>
            <w:noProof/>
            <w:webHidden/>
          </w:rPr>
          <w:instrText xml:space="preserve"> PAGEREF _Toc433972608 \h </w:instrText>
        </w:r>
        <w:r w:rsidR="00FC10DB">
          <w:rPr>
            <w:noProof/>
            <w:webHidden/>
          </w:rPr>
        </w:r>
        <w:r w:rsidR="00FC10DB">
          <w:rPr>
            <w:noProof/>
            <w:webHidden/>
          </w:rPr>
          <w:fldChar w:fldCharType="separate"/>
        </w:r>
        <w:r w:rsidR="00FC10DB">
          <w:rPr>
            <w:noProof/>
            <w:webHidden/>
          </w:rPr>
          <w:t>14</w:t>
        </w:r>
        <w:r w:rsidR="00FC10DB">
          <w:rPr>
            <w:noProof/>
            <w:webHidden/>
          </w:rPr>
          <w:fldChar w:fldCharType="end"/>
        </w:r>
      </w:hyperlink>
    </w:p>
    <w:p w14:paraId="661C9BF5" w14:textId="77777777" w:rsidR="00FC10DB" w:rsidRDefault="00CC2859">
      <w:pPr>
        <w:pStyle w:val="TableofFigures"/>
        <w:rPr>
          <w:rFonts w:asciiTheme="minorHAnsi" w:eastAsiaTheme="minorEastAsia" w:hAnsiTheme="minorHAnsi" w:cstheme="minorBidi"/>
          <w:noProof/>
          <w:color w:val="auto"/>
          <w:sz w:val="22"/>
        </w:rPr>
      </w:pPr>
      <w:hyperlink w:anchor="_Toc433972609" w:history="1">
        <w:r w:rsidR="00FC10DB" w:rsidRPr="002A3CD5">
          <w:rPr>
            <w:rStyle w:val="Hyperlink"/>
            <w:noProof/>
          </w:rPr>
          <w:t>Figure 4: Residential energy intensities for different end uses from Energy use in the Australian residential sector 1986–2020 (DEWHA, 2008).</w:t>
        </w:r>
        <w:r w:rsidR="00FC10DB">
          <w:rPr>
            <w:noProof/>
            <w:webHidden/>
          </w:rPr>
          <w:tab/>
        </w:r>
        <w:r w:rsidR="00FC10DB">
          <w:rPr>
            <w:noProof/>
            <w:webHidden/>
          </w:rPr>
          <w:fldChar w:fldCharType="begin"/>
        </w:r>
        <w:r w:rsidR="00FC10DB">
          <w:rPr>
            <w:noProof/>
            <w:webHidden/>
          </w:rPr>
          <w:instrText xml:space="preserve"> PAGEREF _Toc433972609 \h </w:instrText>
        </w:r>
        <w:r w:rsidR="00FC10DB">
          <w:rPr>
            <w:noProof/>
            <w:webHidden/>
          </w:rPr>
        </w:r>
        <w:r w:rsidR="00FC10DB">
          <w:rPr>
            <w:noProof/>
            <w:webHidden/>
          </w:rPr>
          <w:fldChar w:fldCharType="separate"/>
        </w:r>
        <w:r w:rsidR="00FC10DB">
          <w:rPr>
            <w:noProof/>
            <w:webHidden/>
          </w:rPr>
          <w:t>18</w:t>
        </w:r>
        <w:r w:rsidR="00FC10DB">
          <w:rPr>
            <w:noProof/>
            <w:webHidden/>
          </w:rPr>
          <w:fldChar w:fldCharType="end"/>
        </w:r>
      </w:hyperlink>
    </w:p>
    <w:p w14:paraId="7297E948" w14:textId="77777777" w:rsidR="00FC10DB" w:rsidRDefault="00CC2859">
      <w:pPr>
        <w:pStyle w:val="TableofFigures"/>
        <w:rPr>
          <w:rFonts w:asciiTheme="minorHAnsi" w:eastAsiaTheme="minorEastAsia" w:hAnsiTheme="minorHAnsi" w:cstheme="minorBidi"/>
          <w:noProof/>
          <w:color w:val="auto"/>
          <w:sz w:val="22"/>
        </w:rPr>
      </w:pPr>
      <w:hyperlink w:anchor="_Toc433972610" w:history="1">
        <w:r w:rsidR="00FC10DB" w:rsidRPr="002A3CD5">
          <w:rPr>
            <w:rStyle w:val="Hyperlink"/>
            <w:noProof/>
          </w:rPr>
          <w:t>Figure 5: Estimations of Current Trends in energy intensity for 7 aggregate sectors of the Australian economy to 2050.</w:t>
        </w:r>
        <w:r w:rsidR="00FC10DB">
          <w:rPr>
            <w:noProof/>
            <w:webHidden/>
          </w:rPr>
          <w:tab/>
        </w:r>
        <w:r w:rsidR="00FC10DB">
          <w:rPr>
            <w:noProof/>
            <w:webHidden/>
          </w:rPr>
          <w:fldChar w:fldCharType="begin"/>
        </w:r>
        <w:r w:rsidR="00FC10DB">
          <w:rPr>
            <w:noProof/>
            <w:webHidden/>
          </w:rPr>
          <w:instrText xml:space="preserve"> PAGEREF _Toc433972610 \h </w:instrText>
        </w:r>
        <w:r w:rsidR="00FC10DB">
          <w:rPr>
            <w:noProof/>
            <w:webHidden/>
          </w:rPr>
        </w:r>
        <w:r w:rsidR="00FC10DB">
          <w:rPr>
            <w:noProof/>
            <w:webHidden/>
          </w:rPr>
          <w:fldChar w:fldCharType="separate"/>
        </w:r>
        <w:r w:rsidR="00FC10DB">
          <w:rPr>
            <w:noProof/>
            <w:webHidden/>
          </w:rPr>
          <w:t>19</w:t>
        </w:r>
        <w:r w:rsidR="00FC10DB">
          <w:rPr>
            <w:noProof/>
            <w:webHidden/>
          </w:rPr>
          <w:fldChar w:fldCharType="end"/>
        </w:r>
      </w:hyperlink>
    </w:p>
    <w:p w14:paraId="48DD62D8" w14:textId="77777777" w:rsidR="00FC10DB" w:rsidRDefault="00CC2859">
      <w:pPr>
        <w:pStyle w:val="TableofFigures"/>
        <w:rPr>
          <w:rFonts w:asciiTheme="minorHAnsi" w:eastAsiaTheme="minorEastAsia" w:hAnsiTheme="minorHAnsi" w:cstheme="minorBidi"/>
          <w:noProof/>
          <w:color w:val="auto"/>
          <w:sz w:val="22"/>
        </w:rPr>
      </w:pPr>
      <w:hyperlink w:anchor="_Toc433972611" w:history="1">
        <w:r w:rsidR="00FC10DB" w:rsidRPr="002A3CD5">
          <w:rPr>
            <w:rStyle w:val="Hyperlink"/>
            <w:noProof/>
          </w:rPr>
          <w:t>Figure 6: Estimations of Step Change in energy intensity for 7 aggregate sectors of the Australian economy to 2050.</w:t>
        </w:r>
        <w:r w:rsidR="00FC10DB">
          <w:rPr>
            <w:noProof/>
            <w:webHidden/>
          </w:rPr>
          <w:tab/>
        </w:r>
        <w:r w:rsidR="00FC10DB">
          <w:rPr>
            <w:noProof/>
            <w:webHidden/>
          </w:rPr>
          <w:fldChar w:fldCharType="begin"/>
        </w:r>
        <w:r w:rsidR="00FC10DB">
          <w:rPr>
            <w:noProof/>
            <w:webHidden/>
          </w:rPr>
          <w:instrText xml:space="preserve"> PAGEREF _Toc433972611 \h </w:instrText>
        </w:r>
        <w:r w:rsidR="00FC10DB">
          <w:rPr>
            <w:noProof/>
            <w:webHidden/>
          </w:rPr>
        </w:r>
        <w:r w:rsidR="00FC10DB">
          <w:rPr>
            <w:noProof/>
            <w:webHidden/>
          </w:rPr>
          <w:fldChar w:fldCharType="separate"/>
        </w:r>
        <w:r w:rsidR="00FC10DB">
          <w:rPr>
            <w:noProof/>
            <w:webHidden/>
          </w:rPr>
          <w:t>21</w:t>
        </w:r>
        <w:r w:rsidR="00FC10DB">
          <w:rPr>
            <w:noProof/>
            <w:webHidden/>
          </w:rPr>
          <w:fldChar w:fldCharType="end"/>
        </w:r>
      </w:hyperlink>
    </w:p>
    <w:p w14:paraId="7025E3B0" w14:textId="77777777" w:rsidR="00FC10DB" w:rsidRDefault="00CC2859">
      <w:pPr>
        <w:pStyle w:val="TableofFigures"/>
        <w:rPr>
          <w:rFonts w:asciiTheme="minorHAnsi" w:eastAsiaTheme="minorEastAsia" w:hAnsiTheme="minorHAnsi" w:cstheme="minorBidi"/>
          <w:noProof/>
          <w:color w:val="auto"/>
          <w:sz w:val="22"/>
        </w:rPr>
      </w:pPr>
      <w:hyperlink w:anchor="_Toc433972612" w:history="1">
        <w:r w:rsidR="00FC10DB" w:rsidRPr="002A3CD5">
          <w:rPr>
            <w:rStyle w:val="Hyperlink"/>
            <w:noProof/>
          </w:rPr>
          <w:t>Figure 7: Industrial water intensity under Current Trends.</w:t>
        </w:r>
        <w:r w:rsidR="00FC10DB">
          <w:rPr>
            <w:noProof/>
            <w:webHidden/>
          </w:rPr>
          <w:tab/>
        </w:r>
        <w:r w:rsidR="00FC10DB">
          <w:rPr>
            <w:noProof/>
            <w:webHidden/>
          </w:rPr>
          <w:fldChar w:fldCharType="begin"/>
        </w:r>
        <w:r w:rsidR="00FC10DB">
          <w:rPr>
            <w:noProof/>
            <w:webHidden/>
          </w:rPr>
          <w:instrText xml:space="preserve"> PAGEREF _Toc433972612 \h </w:instrText>
        </w:r>
        <w:r w:rsidR="00FC10DB">
          <w:rPr>
            <w:noProof/>
            <w:webHidden/>
          </w:rPr>
        </w:r>
        <w:r w:rsidR="00FC10DB">
          <w:rPr>
            <w:noProof/>
            <w:webHidden/>
          </w:rPr>
          <w:fldChar w:fldCharType="separate"/>
        </w:r>
        <w:r w:rsidR="00FC10DB">
          <w:rPr>
            <w:noProof/>
            <w:webHidden/>
          </w:rPr>
          <w:t>23</w:t>
        </w:r>
        <w:r w:rsidR="00FC10DB">
          <w:rPr>
            <w:noProof/>
            <w:webHidden/>
          </w:rPr>
          <w:fldChar w:fldCharType="end"/>
        </w:r>
      </w:hyperlink>
    </w:p>
    <w:p w14:paraId="789CD45D" w14:textId="77777777" w:rsidR="00FC10DB" w:rsidRDefault="00CC2859">
      <w:pPr>
        <w:pStyle w:val="TableofFigures"/>
        <w:rPr>
          <w:rFonts w:asciiTheme="minorHAnsi" w:eastAsiaTheme="minorEastAsia" w:hAnsiTheme="minorHAnsi" w:cstheme="minorBidi"/>
          <w:noProof/>
          <w:color w:val="auto"/>
          <w:sz w:val="22"/>
        </w:rPr>
      </w:pPr>
      <w:hyperlink w:anchor="_Toc433972613" w:history="1">
        <w:r w:rsidR="00FC10DB" w:rsidRPr="002A3CD5">
          <w:rPr>
            <w:rStyle w:val="Hyperlink"/>
            <w:noProof/>
          </w:rPr>
          <w:t>Figure 8: Industrial water intensity under Step Change.</w:t>
        </w:r>
        <w:r w:rsidR="00FC10DB">
          <w:rPr>
            <w:noProof/>
            <w:webHidden/>
          </w:rPr>
          <w:tab/>
        </w:r>
        <w:r w:rsidR="00FC10DB">
          <w:rPr>
            <w:noProof/>
            <w:webHidden/>
          </w:rPr>
          <w:fldChar w:fldCharType="begin"/>
        </w:r>
        <w:r w:rsidR="00FC10DB">
          <w:rPr>
            <w:noProof/>
            <w:webHidden/>
          </w:rPr>
          <w:instrText xml:space="preserve"> PAGEREF _Toc433972613 \h </w:instrText>
        </w:r>
        <w:r w:rsidR="00FC10DB">
          <w:rPr>
            <w:noProof/>
            <w:webHidden/>
          </w:rPr>
        </w:r>
        <w:r w:rsidR="00FC10DB">
          <w:rPr>
            <w:noProof/>
            <w:webHidden/>
          </w:rPr>
          <w:fldChar w:fldCharType="separate"/>
        </w:r>
        <w:r w:rsidR="00FC10DB">
          <w:rPr>
            <w:noProof/>
            <w:webHidden/>
          </w:rPr>
          <w:t>24</w:t>
        </w:r>
        <w:r w:rsidR="00FC10DB">
          <w:rPr>
            <w:noProof/>
            <w:webHidden/>
          </w:rPr>
          <w:fldChar w:fldCharType="end"/>
        </w:r>
      </w:hyperlink>
    </w:p>
    <w:p w14:paraId="338BF6B0" w14:textId="77777777" w:rsidR="00FC10DB" w:rsidRDefault="00CC2859">
      <w:pPr>
        <w:pStyle w:val="TableofFigures"/>
        <w:rPr>
          <w:rFonts w:asciiTheme="minorHAnsi" w:eastAsiaTheme="minorEastAsia" w:hAnsiTheme="minorHAnsi" w:cstheme="minorBidi"/>
          <w:noProof/>
          <w:color w:val="auto"/>
          <w:sz w:val="22"/>
        </w:rPr>
      </w:pPr>
      <w:hyperlink w:anchor="_Toc433972614" w:history="1">
        <w:r w:rsidR="00FC10DB" w:rsidRPr="002A3CD5">
          <w:rPr>
            <w:rStyle w:val="Hyperlink"/>
            <w:noProof/>
          </w:rPr>
          <w:t>Figure 9: Weibull distributions of life expectancies for all stock types where data available</w:t>
        </w:r>
        <w:r w:rsidR="00FC10DB">
          <w:rPr>
            <w:noProof/>
            <w:webHidden/>
          </w:rPr>
          <w:tab/>
        </w:r>
        <w:r w:rsidR="00FC10DB">
          <w:rPr>
            <w:noProof/>
            <w:webHidden/>
          </w:rPr>
          <w:fldChar w:fldCharType="begin"/>
        </w:r>
        <w:r w:rsidR="00FC10DB">
          <w:rPr>
            <w:noProof/>
            <w:webHidden/>
          </w:rPr>
          <w:instrText xml:space="preserve"> PAGEREF _Toc433972614 \h </w:instrText>
        </w:r>
        <w:r w:rsidR="00FC10DB">
          <w:rPr>
            <w:noProof/>
            <w:webHidden/>
          </w:rPr>
        </w:r>
        <w:r w:rsidR="00FC10DB">
          <w:rPr>
            <w:noProof/>
            <w:webHidden/>
          </w:rPr>
          <w:fldChar w:fldCharType="separate"/>
        </w:r>
        <w:r w:rsidR="00FC10DB">
          <w:rPr>
            <w:noProof/>
            <w:webHidden/>
          </w:rPr>
          <w:t>26</w:t>
        </w:r>
        <w:r w:rsidR="00FC10DB">
          <w:rPr>
            <w:noProof/>
            <w:webHidden/>
          </w:rPr>
          <w:fldChar w:fldCharType="end"/>
        </w:r>
      </w:hyperlink>
    </w:p>
    <w:p w14:paraId="1B837E01" w14:textId="77777777" w:rsidR="00FC10DB" w:rsidRDefault="00CC2859">
      <w:pPr>
        <w:pStyle w:val="TableofFigures"/>
        <w:rPr>
          <w:rFonts w:asciiTheme="minorHAnsi" w:eastAsiaTheme="minorEastAsia" w:hAnsiTheme="minorHAnsi" w:cstheme="minorBidi"/>
          <w:noProof/>
          <w:color w:val="auto"/>
          <w:sz w:val="22"/>
        </w:rPr>
      </w:pPr>
      <w:hyperlink w:anchor="_Toc433972615" w:history="1">
        <w:r w:rsidR="00FC10DB" w:rsidRPr="002A3CD5">
          <w:rPr>
            <w:rStyle w:val="Hyperlink"/>
            <w:noProof/>
          </w:rPr>
          <w:t>Figure 10: Simple extrapolations of gross value add by sector.</w:t>
        </w:r>
        <w:r w:rsidR="00FC10DB">
          <w:rPr>
            <w:noProof/>
            <w:webHidden/>
          </w:rPr>
          <w:tab/>
        </w:r>
        <w:r w:rsidR="00FC10DB">
          <w:rPr>
            <w:noProof/>
            <w:webHidden/>
          </w:rPr>
          <w:fldChar w:fldCharType="begin"/>
        </w:r>
        <w:r w:rsidR="00FC10DB">
          <w:rPr>
            <w:noProof/>
            <w:webHidden/>
          </w:rPr>
          <w:instrText xml:space="preserve"> PAGEREF _Toc433972615 \h </w:instrText>
        </w:r>
        <w:r w:rsidR="00FC10DB">
          <w:rPr>
            <w:noProof/>
            <w:webHidden/>
          </w:rPr>
        </w:r>
        <w:r w:rsidR="00FC10DB">
          <w:rPr>
            <w:noProof/>
            <w:webHidden/>
          </w:rPr>
          <w:fldChar w:fldCharType="separate"/>
        </w:r>
        <w:r w:rsidR="00FC10DB">
          <w:rPr>
            <w:noProof/>
            <w:webHidden/>
          </w:rPr>
          <w:t>28</w:t>
        </w:r>
        <w:r w:rsidR="00FC10DB">
          <w:rPr>
            <w:noProof/>
            <w:webHidden/>
          </w:rPr>
          <w:fldChar w:fldCharType="end"/>
        </w:r>
      </w:hyperlink>
    </w:p>
    <w:p w14:paraId="18FF903D" w14:textId="327D00E3" w:rsidR="00AD6506" w:rsidRDefault="0017018E" w:rsidP="0021207A">
      <w:pPr>
        <w:pStyle w:val="TableofFigures"/>
        <w:rPr>
          <w:rFonts w:eastAsiaTheme="majorEastAsia" w:cstheme="majorBidi"/>
          <w:b/>
          <w:color w:val="00313C" w:themeColor="accent2"/>
          <w:sz w:val="44"/>
          <w:szCs w:val="28"/>
        </w:rPr>
      </w:pPr>
      <w:r w:rsidRPr="007B0D5A">
        <w:rPr>
          <w:color w:val="008CAC" w:themeColor="accent2" w:themeTint="BF"/>
        </w:rPr>
        <w:fldChar w:fldCharType="end"/>
      </w:r>
    </w:p>
    <w:p w14:paraId="1F4D3786" w14:textId="77777777" w:rsidR="0017018E" w:rsidRPr="006D07FA" w:rsidRDefault="0017018E" w:rsidP="006D07FA">
      <w:pPr>
        <w:pStyle w:val="Heading1noTOC"/>
        <w:tabs>
          <w:tab w:val="clear" w:pos="1134"/>
          <w:tab w:val="left" w:pos="851"/>
        </w:tabs>
        <w:spacing w:after="1080"/>
        <w:rPr>
          <w:color w:val="00A9CE" w:themeColor="accent1"/>
        </w:rPr>
      </w:pPr>
      <w:r w:rsidRPr="006D07FA">
        <w:rPr>
          <w:color w:val="00A9CE" w:themeColor="accent1"/>
        </w:rPr>
        <w:lastRenderedPageBreak/>
        <w:t>Tables</w:t>
      </w:r>
    </w:p>
    <w:p w14:paraId="51FF2424" w14:textId="77777777" w:rsidR="004519DA" w:rsidRDefault="0017018E">
      <w:pPr>
        <w:pStyle w:val="TableofFigures"/>
        <w:rPr>
          <w:rFonts w:asciiTheme="minorHAnsi" w:eastAsiaTheme="minorEastAsia" w:hAnsiTheme="minorHAnsi" w:cstheme="minorBidi"/>
          <w:noProof/>
          <w:color w:val="auto"/>
          <w:sz w:val="22"/>
        </w:rPr>
      </w:pPr>
      <w:r w:rsidRPr="007B0D5A">
        <w:rPr>
          <w:color w:val="008CAC" w:themeColor="accent2" w:themeTint="BF"/>
        </w:rPr>
        <w:fldChar w:fldCharType="begin"/>
      </w:r>
      <w:r w:rsidRPr="007B0D5A">
        <w:rPr>
          <w:color w:val="008CAC" w:themeColor="accent2" w:themeTint="BF"/>
        </w:rPr>
        <w:instrText xml:space="preserve"> TOC \h \z \c "Table" </w:instrText>
      </w:r>
      <w:r w:rsidRPr="007B0D5A">
        <w:rPr>
          <w:color w:val="008CAC" w:themeColor="accent2" w:themeTint="BF"/>
        </w:rPr>
        <w:fldChar w:fldCharType="separate"/>
      </w:r>
      <w:hyperlink w:anchor="_Toc433977518" w:history="1">
        <w:r w:rsidR="004519DA" w:rsidRPr="002A3A9F">
          <w:rPr>
            <w:rStyle w:val="Hyperlink"/>
            <w:noProof/>
          </w:rPr>
          <w:t>Table 1: Projected energy and water savings by 2020 compared to 2011 efficiencies.</w:t>
        </w:r>
        <w:r w:rsidR="004519DA">
          <w:rPr>
            <w:noProof/>
            <w:webHidden/>
          </w:rPr>
          <w:tab/>
        </w:r>
        <w:r w:rsidR="004519DA">
          <w:rPr>
            <w:noProof/>
            <w:webHidden/>
          </w:rPr>
          <w:fldChar w:fldCharType="begin"/>
        </w:r>
        <w:r w:rsidR="004519DA">
          <w:rPr>
            <w:noProof/>
            <w:webHidden/>
          </w:rPr>
          <w:instrText xml:space="preserve"> PAGEREF _Toc433977518 \h </w:instrText>
        </w:r>
        <w:r w:rsidR="004519DA">
          <w:rPr>
            <w:noProof/>
            <w:webHidden/>
          </w:rPr>
        </w:r>
        <w:r w:rsidR="004519DA">
          <w:rPr>
            <w:noProof/>
            <w:webHidden/>
          </w:rPr>
          <w:fldChar w:fldCharType="separate"/>
        </w:r>
        <w:r w:rsidR="004519DA">
          <w:rPr>
            <w:noProof/>
            <w:webHidden/>
          </w:rPr>
          <w:t>8</w:t>
        </w:r>
        <w:r w:rsidR="004519DA">
          <w:rPr>
            <w:noProof/>
            <w:webHidden/>
          </w:rPr>
          <w:fldChar w:fldCharType="end"/>
        </w:r>
      </w:hyperlink>
    </w:p>
    <w:p w14:paraId="441A48A7" w14:textId="77777777" w:rsidR="004519DA" w:rsidRDefault="00CC2859">
      <w:pPr>
        <w:pStyle w:val="TableofFigures"/>
        <w:rPr>
          <w:rFonts w:asciiTheme="minorHAnsi" w:eastAsiaTheme="minorEastAsia" w:hAnsiTheme="minorHAnsi" w:cstheme="minorBidi"/>
          <w:noProof/>
          <w:color w:val="auto"/>
          <w:sz w:val="22"/>
        </w:rPr>
      </w:pPr>
      <w:hyperlink w:anchor="_Toc433977519" w:history="1">
        <w:r w:rsidR="004519DA" w:rsidRPr="002A3A9F">
          <w:rPr>
            <w:rStyle w:val="Hyperlink"/>
            <w:noProof/>
          </w:rPr>
          <w:t>Table 2 Projected energy and water savings by 2050 compared to 2011 efficiencies.</w:t>
        </w:r>
        <w:r w:rsidR="004519DA">
          <w:rPr>
            <w:noProof/>
            <w:webHidden/>
          </w:rPr>
          <w:tab/>
        </w:r>
        <w:r w:rsidR="004519DA">
          <w:rPr>
            <w:noProof/>
            <w:webHidden/>
          </w:rPr>
          <w:fldChar w:fldCharType="begin"/>
        </w:r>
        <w:r w:rsidR="004519DA">
          <w:rPr>
            <w:noProof/>
            <w:webHidden/>
          </w:rPr>
          <w:instrText xml:space="preserve"> PAGEREF _Toc433977519 \h </w:instrText>
        </w:r>
        <w:r w:rsidR="004519DA">
          <w:rPr>
            <w:noProof/>
            <w:webHidden/>
          </w:rPr>
        </w:r>
        <w:r w:rsidR="004519DA">
          <w:rPr>
            <w:noProof/>
            <w:webHidden/>
          </w:rPr>
          <w:fldChar w:fldCharType="separate"/>
        </w:r>
        <w:r w:rsidR="004519DA">
          <w:rPr>
            <w:noProof/>
            <w:webHidden/>
          </w:rPr>
          <w:t>8</w:t>
        </w:r>
        <w:r w:rsidR="004519DA">
          <w:rPr>
            <w:noProof/>
            <w:webHidden/>
          </w:rPr>
          <w:fldChar w:fldCharType="end"/>
        </w:r>
      </w:hyperlink>
    </w:p>
    <w:p w14:paraId="3F6204C3" w14:textId="77777777" w:rsidR="004519DA" w:rsidRDefault="00CC2859">
      <w:pPr>
        <w:pStyle w:val="TableofFigures"/>
        <w:rPr>
          <w:rFonts w:asciiTheme="minorHAnsi" w:eastAsiaTheme="minorEastAsia" w:hAnsiTheme="minorHAnsi" w:cstheme="minorBidi"/>
          <w:noProof/>
          <w:color w:val="auto"/>
          <w:sz w:val="22"/>
        </w:rPr>
      </w:pPr>
      <w:hyperlink w:anchor="_Toc433977520" w:history="1">
        <w:r w:rsidR="004519DA" w:rsidRPr="002A3A9F">
          <w:rPr>
            <w:rStyle w:val="Hyperlink"/>
            <w:noProof/>
          </w:rPr>
          <w:t>Table 3: Data derived (for a sample of all businesses) from IEEDAP used to define the “Base” or Current Trend efficiency changes in selected non-agricultural industries.</w:t>
        </w:r>
        <w:r w:rsidR="004519DA">
          <w:rPr>
            <w:noProof/>
            <w:webHidden/>
          </w:rPr>
          <w:tab/>
        </w:r>
        <w:r w:rsidR="004519DA">
          <w:rPr>
            <w:noProof/>
            <w:webHidden/>
          </w:rPr>
          <w:fldChar w:fldCharType="begin"/>
        </w:r>
        <w:r w:rsidR="004519DA">
          <w:rPr>
            <w:noProof/>
            <w:webHidden/>
          </w:rPr>
          <w:instrText xml:space="preserve"> PAGEREF _Toc433977520 \h </w:instrText>
        </w:r>
        <w:r w:rsidR="004519DA">
          <w:rPr>
            <w:noProof/>
            <w:webHidden/>
          </w:rPr>
        </w:r>
        <w:r w:rsidR="004519DA">
          <w:rPr>
            <w:noProof/>
            <w:webHidden/>
          </w:rPr>
          <w:fldChar w:fldCharType="separate"/>
        </w:r>
        <w:r w:rsidR="004519DA">
          <w:rPr>
            <w:noProof/>
            <w:webHidden/>
          </w:rPr>
          <w:t>16</w:t>
        </w:r>
        <w:r w:rsidR="004519DA">
          <w:rPr>
            <w:noProof/>
            <w:webHidden/>
          </w:rPr>
          <w:fldChar w:fldCharType="end"/>
        </w:r>
      </w:hyperlink>
    </w:p>
    <w:p w14:paraId="2E5D7B5E" w14:textId="77777777" w:rsidR="004519DA" w:rsidRDefault="00CC2859">
      <w:pPr>
        <w:pStyle w:val="TableofFigures"/>
        <w:rPr>
          <w:rFonts w:asciiTheme="minorHAnsi" w:eastAsiaTheme="minorEastAsia" w:hAnsiTheme="minorHAnsi" w:cstheme="minorBidi"/>
          <w:noProof/>
          <w:color w:val="auto"/>
          <w:sz w:val="22"/>
        </w:rPr>
      </w:pPr>
      <w:hyperlink w:anchor="_Toc433977521" w:history="1">
        <w:r w:rsidR="004519DA" w:rsidRPr="002A3A9F">
          <w:rPr>
            <w:rStyle w:val="Hyperlink"/>
            <w:noProof/>
          </w:rPr>
          <w:t>Table 4: Assumptions of residential dwelling type mix and floor space in the Current Trends scenario.</w:t>
        </w:r>
        <w:r w:rsidR="004519DA">
          <w:rPr>
            <w:noProof/>
            <w:webHidden/>
          </w:rPr>
          <w:tab/>
        </w:r>
        <w:r w:rsidR="004519DA">
          <w:rPr>
            <w:noProof/>
            <w:webHidden/>
          </w:rPr>
          <w:fldChar w:fldCharType="begin"/>
        </w:r>
        <w:r w:rsidR="004519DA">
          <w:rPr>
            <w:noProof/>
            <w:webHidden/>
          </w:rPr>
          <w:instrText xml:space="preserve"> PAGEREF _Toc433977521 \h </w:instrText>
        </w:r>
        <w:r w:rsidR="004519DA">
          <w:rPr>
            <w:noProof/>
            <w:webHidden/>
          </w:rPr>
        </w:r>
        <w:r w:rsidR="004519DA">
          <w:rPr>
            <w:noProof/>
            <w:webHidden/>
          </w:rPr>
          <w:fldChar w:fldCharType="separate"/>
        </w:r>
        <w:r w:rsidR="004519DA">
          <w:rPr>
            <w:noProof/>
            <w:webHidden/>
          </w:rPr>
          <w:t>17</w:t>
        </w:r>
        <w:r w:rsidR="004519DA">
          <w:rPr>
            <w:noProof/>
            <w:webHidden/>
          </w:rPr>
          <w:fldChar w:fldCharType="end"/>
        </w:r>
      </w:hyperlink>
    </w:p>
    <w:p w14:paraId="53528669" w14:textId="77777777" w:rsidR="004519DA" w:rsidRDefault="00CC2859">
      <w:pPr>
        <w:pStyle w:val="TableofFigures"/>
        <w:rPr>
          <w:rFonts w:asciiTheme="minorHAnsi" w:eastAsiaTheme="minorEastAsia" w:hAnsiTheme="minorHAnsi" w:cstheme="minorBidi"/>
          <w:noProof/>
          <w:color w:val="auto"/>
          <w:sz w:val="22"/>
        </w:rPr>
      </w:pPr>
      <w:hyperlink w:anchor="_Toc433977522" w:history="1">
        <w:r w:rsidR="004519DA" w:rsidRPr="002A3A9F">
          <w:rPr>
            <w:rStyle w:val="Hyperlink"/>
            <w:noProof/>
          </w:rPr>
          <w:t>Table 5: Data derived (for a sample of all businesses) from IEEDAP used to define the future Step Change efficiency changes in selected non-agricultural industries.</w:t>
        </w:r>
        <w:r w:rsidR="004519DA">
          <w:rPr>
            <w:noProof/>
            <w:webHidden/>
          </w:rPr>
          <w:tab/>
        </w:r>
        <w:r w:rsidR="004519DA">
          <w:rPr>
            <w:noProof/>
            <w:webHidden/>
          </w:rPr>
          <w:fldChar w:fldCharType="begin"/>
        </w:r>
        <w:r w:rsidR="004519DA">
          <w:rPr>
            <w:noProof/>
            <w:webHidden/>
          </w:rPr>
          <w:instrText xml:space="preserve"> PAGEREF _Toc433977522 \h </w:instrText>
        </w:r>
        <w:r w:rsidR="004519DA">
          <w:rPr>
            <w:noProof/>
            <w:webHidden/>
          </w:rPr>
        </w:r>
        <w:r w:rsidR="004519DA">
          <w:rPr>
            <w:noProof/>
            <w:webHidden/>
          </w:rPr>
          <w:fldChar w:fldCharType="separate"/>
        </w:r>
        <w:r w:rsidR="004519DA">
          <w:rPr>
            <w:noProof/>
            <w:webHidden/>
          </w:rPr>
          <w:t>19</w:t>
        </w:r>
        <w:r w:rsidR="004519DA">
          <w:rPr>
            <w:noProof/>
            <w:webHidden/>
          </w:rPr>
          <w:fldChar w:fldCharType="end"/>
        </w:r>
      </w:hyperlink>
    </w:p>
    <w:p w14:paraId="1FFB4C01" w14:textId="77777777" w:rsidR="004519DA" w:rsidRDefault="00CC2859">
      <w:pPr>
        <w:pStyle w:val="TableofFigures"/>
        <w:rPr>
          <w:rFonts w:asciiTheme="minorHAnsi" w:eastAsiaTheme="minorEastAsia" w:hAnsiTheme="minorHAnsi" w:cstheme="minorBidi"/>
          <w:noProof/>
          <w:color w:val="auto"/>
          <w:sz w:val="22"/>
        </w:rPr>
      </w:pPr>
      <w:hyperlink w:anchor="_Toc433977523" w:history="1">
        <w:r w:rsidR="004519DA" w:rsidRPr="002A3A9F">
          <w:rPr>
            <w:rStyle w:val="Hyperlink"/>
            <w:noProof/>
          </w:rPr>
          <w:t>Table 6: Assumptions of residential dwelling type mix and floor space in the Step Change scenario.</w:t>
        </w:r>
        <w:r w:rsidR="004519DA">
          <w:rPr>
            <w:noProof/>
            <w:webHidden/>
          </w:rPr>
          <w:tab/>
        </w:r>
        <w:r w:rsidR="004519DA">
          <w:rPr>
            <w:noProof/>
            <w:webHidden/>
          </w:rPr>
          <w:fldChar w:fldCharType="begin"/>
        </w:r>
        <w:r w:rsidR="004519DA">
          <w:rPr>
            <w:noProof/>
            <w:webHidden/>
          </w:rPr>
          <w:instrText xml:space="preserve"> PAGEREF _Toc433977523 \h </w:instrText>
        </w:r>
        <w:r w:rsidR="004519DA">
          <w:rPr>
            <w:noProof/>
            <w:webHidden/>
          </w:rPr>
        </w:r>
        <w:r w:rsidR="004519DA">
          <w:rPr>
            <w:noProof/>
            <w:webHidden/>
          </w:rPr>
          <w:fldChar w:fldCharType="separate"/>
        </w:r>
        <w:r w:rsidR="004519DA">
          <w:rPr>
            <w:noProof/>
            <w:webHidden/>
          </w:rPr>
          <w:t>19</w:t>
        </w:r>
        <w:r w:rsidR="004519DA">
          <w:rPr>
            <w:noProof/>
            <w:webHidden/>
          </w:rPr>
          <w:fldChar w:fldCharType="end"/>
        </w:r>
      </w:hyperlink>
    </w:p>
    <w:p w14:paraId="069F7E62" w14:textId="77777777" w:rsidR="004519DA" w:rsidRDefault="00CC2859">
      <w:pPr>
        <w:pStyle w:val="TableofFigures"/>
        <w:rPr>
          <w:rFonts w:asciiTheme="minorHAnsi" w:eastAsiaTheme="minorEastAsia" w:hAnsiTheme="minorHAnsi" w:cstheme="minorBidi"/>
          <w:noProof/>
          <w:color w:val="auto"/>
          <w:sz w:val="22"/>
        </w:rPr>
      </w:pPr>
      <w:hyperlink w:anchor="_Toc433977524" w:history="1">
        <w:r w:rsidR="004519DA" w:rsidRPr="002A3A9F">
          <w:rPr>
            <w:rStyle w:val="Hyperlink"/>
            <w:noProof/>
          </w:rPr>
          <w:t>Table 7: Percentage change in water efficiency (GL/AUD$ Billion value add) expected by 2050 under the Current Trends scenario.</w:t>
        </w:r>
        <w:r w:rsidR="004519DA">
          <w:rPr>
            <w:noProof/>
            <w:webHidden/>
          </w:rPr>
          <w:tab/>
        </w:r>
        <w:r w:rsidR="004519DA">
          <w:rPr>
            <w:noProof/>
            <w:webHidden/>
          </w:rPr>
          <w:fldChar w:fldCharType="begin"/>
        </w:r>
        <w:r w:rsidR="004519DA">
          <w:rPr>
            <w:noProof/>
            <w:webHidden/>
          </w:rPr>
          <w:instrText xml:space="preserve"> PAGEREF _Toc433977524 \h </w:instrText>
        </w:r>
        <w:r w:rsidR="004519DA">
          <w:rPr>
            <w:noProof/>
            <w:webHidden/>
          </w:rPr>
        </w:r>
        <w:r w:rsidR="004519DA">
          <w:rPr>
            <w:noProof/>
            <w:webHidden/>
          </w:rPr>
          <w:fldChar w:fldCharType="separate"/>
        </w:r>
        <w:r w:rsidR="004519DA">
          <w:rPr>
            <w:noProof/>
            <w:webHidden/>
          </w:rPr>
          <w:t>21</w:t>
        </w:r>
        <w:r w:rsidR="004519DA">
          <w:rPr>
            <w:noProof/>
            <w:webHidden/>
          </w:rPr>
          <w:fldChar w:fldCharType="end"/>
        </w:r>
      </w:hyperlink>
    </w:p>
    <w:p w14:paraId="2FC03C09" w14:textId="77777777" w:rsidR="004519DA" w:rsidRDefault="00CC2859">
      <w:pPr>
        <w:pStyle w:val="TableofFigures"/>
        <w:rPr>
          <w:rFonts w:asciiTheme="minorHAnsi" w:eastAsiaTheme="minorEastAsia" w:hAnsiTheme="minorHAnsi" w:cstheme="minorBidi"/>
          <w:noProof/>
          <w:color w:val="auto"/>
          <w:sz w:val="22"/>
        </w:rPr>
      </w:pPr>
      <w:hyperlink w:anchor="_Toc433977525" w:history="1">
        <w:r w:rsidR="004519DA" w:rsidRPr="002A3A9F">
          <w:rPr>
            <w:rStyle w:val="Hyperlink"/>
            <w:noProof/>
          </w:rPr>
          <w:t>Table 8: Percentage improvements in water efficiency (GL/AUD$ Billion value add) expected by 2050.</w:t>
        </w:r>
        <w:r w:rsidR="004519DA">
          <w:rPr>
            <w:noProof/>
            <w:webHidden/>
          </w:rPr>
          <w:tab/>
        </w:r>
        <w:r w:rsidR="004519DA">
          <w:rPr>
            <w:noProof/>
            <w:webHidden/>
          </w:rPr>
          <w:fldChar w:fldCharType="begin"/>
        </w:r>
        <w:r w:rsidR="004519DA">
          <w:rPr>
            <w:noProof/>
            <w:webHidden/>
          </w:rPr>
          <w:instrText xml:space="preserve"> PAGEREF _Toc433977525 \h </w:instrText>
        </w:r>
        <w:r w:rsidR="004519DA">
          <w:rPr>
            <w:noProof/>
            <w:webHidden/>
          </w:rPr>
        </w:r>
        <w:r w:rsidR="004519DA">
          <w:rPr>
            <w:noProof/>
            <w:webHidden/>
          </w:rPr>
          <w:fldChar w:fldCharType="separate"/>
        </w:r>
        <w:r w:rsidR="004519DA">
          <w:rPr>
            <w:noProof/>
            <w:webHidden/>
          </w:rPr>
          <w:t>23</w:t>
        </w:r>
        <w:r w:rsidR="004519DA">
          <w:rPr>
            <w:noProof/>
            <w:webHidden/>
          </w:rPr>
          <w:fldChar w:fldCharType="end"/>
        </w:r>
      </w:hyperlink>
    </w:p>
    <w:p w14:paraId="7CCBF537" w14:textId="77777777" w:rsidR="004519DA" w:rsidRDefault="00CC2859">
      <w:pPr>
        <w:pStyle w:val="TableofFigures"/>
        <w:rPr>
          <w:rFonts w:asciiTheme="minorHAnsi" w:eastAsiaTheme="minorEastAsia" w:hAnsiTheme="minorHAnsi" w:cstheme="minorBidi"/>
          <w:noProof/>
          <w:color w:val="auto"/>
          <w:sz w:val="22"/>
        </w:rPr>
      </w:pPr>
      <w:hyperlink w:anchor="_Toc433977526" w:history="1">
        <w:r w:rsidR="004519DA" w:rsidRPr="002A3A9F">
          <w:rPr>
            <w:rStyle w:val="Hyperlink"/>
            <w:noProof/>
          </w:rPr>
          <w:t>Table 9: Expected lifetimes of different assets used in productive sectors of the economy. These values were used in Equation 1 to produce the distributions in Figure 9.</w:t>
        </w:r>
        <w:r w:rsidR="004519DA">
          <w:rPr>
            <w:noProof/>
            <w:webHidden/>
          </w:rPr>
          <w:tab/>
        </w:r>
        <w:r w:rsidR="004519DA">
          <w:rPr>
            <w:noProof/>
            <w:webHidden/>
          </w:rPr>
          <w:fldChar w:fldCharType="begin"/>
        </w:r>
        <w:r w:rsidR="004519DA">
          <w:rPr>
            <w:noProof/>
            <w:webHidden/>
          </w:rPr>
          <w:instrText xml:space="preserve"> PAGEREF _Toc433977526 \h </w:instrText>
        </w:r>
        <w:r w:rsidR="004519DA">
          <w:rPr>
            <w:noProof/>
            <w:webHidden/>
          </w:rPr>
        </w:r>
        <w:r w:rsidR="004519DA">
          <w:rPr>
            <w:noProof/>
            <w:webHidden/>
          </w:rPr>
          <w:fldChar w:fldCharType="separate"/>
        </w:r>
        <w:r w:rsidR="004519DA">
          <w:rPr>
            <w:noProof/>
            <w:webHidden/>
          </w:rPr>
          <w:t>25</w:t>
        </w:r>
        <w:r w:rsidR="004519DA">
          <w:rPr>
            <w:noProof/>
            <w:webHidden/>
          </w:rPr>
          <w:fldChar w:fldCharType="end"/>
        </w:r>
      </w:hyperlink>
    </w:p>
    <w:p w14:paraId="395760F7" w14:textId="45DF93F2" w:rsidR="0017018E" w:rsidRPr="005871BD" w:rsidRDefault="0017018E" w:rsidP="0021207A">
      <w:pPr>
        <w:pStyle w:val="TableofFigures"/>
      </w:pPr>
      <w:r w:rsidRPr="007B0D5A">
        <w:rPr>
          <w:color w:val="008CAC" w:themeColor="accent2" w:themeTint="BF"/>
        </w:rPr>
        <w:fldChar w:fldCharType="end"/>
      </w:r>
    </w:p>
    <w:p w14:paraId="682FC92E" w14:textId="77777777" w:rsidR="0017018E" w:rsidRPr="006D07FA" w:rsidRDefault="0017018E" w:rsidP="006D07FA">
      <w:pPr>
        <w:pStyle w:val="Heading1noTOC"/>
        <w:tabs>
          <w:tab w:val="clear" w:pos="1134"/>
          <w:tab w:val="left" w:pos="851"/>
        </w:tabs>
        <w:spacing w:after="1080"/>
        <w:rPr>
          <w:color w:val="00A9CE" w:themeColor="accent1"/>
        </w:rPr>
      </w:pPr>
      <w:bookmarkStart w:id="0" w:name="_Toc315694429"/>
      <w:r w:rsidRPr="006D07FA">
        <w:rPr>
          <w:color w:val="00A9CE" w:themeColor="accent1"/>
        </w:rPr>
        <w:lastRenderedPageBreak/>
        <w:t>Acknowledgments</w:t>
      </w:r>
      <w:bookmarkEnd w:id="0"/>
    </w:p>
    <w:p w14:paraId="77A42045" w14:textId="512D388D" w:rsidR="00A51A9D" w:rsidRDefault="00A51A9D" w:rsidP="00A51A9D">
      <w:pPr>
        <w:pStyle w:val="BodyText"/>
      </w:pPr>
      <w:r w:rsidRPr="00A51A9D">
        <w:t>This work is dominantly about collecting research and knowledge from a number of sources and applying it to the question of what is the long-term future efficiency of the Australian non-agricultural economy. I am particularly grateful to ClimateWorks for the early access they provided to the database and analysis of future potential energy savings. I would also like to thank Stephen McFallan</w:t>
      </w:r>
      <w:r>
        <w:t>, CSIRO</w:t>
      </w:r>
      <w:r w:rsidRPr="00A51A9D">
        <w:t xml:space="preserve"> for directing me to information on machine failure and failure analysis and the use of Weibull distributions.</w:t>
      </w:r>
    </w:p>
    <w:p w14:paraId="4A808B4A" w14:textId="54416578" w:rsidR="00E840BA" w:rsidRPr="00A51A9D" w:rsidRDefault="00E840BA" w:rsidP="00A51A9D">
      <w:pPr>
        <w:pStyle w:val="BodyText"/>
      </w:pPr>
      <w:r>
        <w:t xml:space="preserve">A graph appearing at the end of Supplementary Information uses long-term projections of gross value add by sectors of the Australian economy. These are outputs from the Monash CGE model provided by </w:t>
      </w:r>
      <w:r w:rsidRPr="00B06A7E">
        <w:t>Kevin J Hanslow</w:t>
      </w:r>
      <w:r>
        <w:t xml:space="preserve"> from Monash University. Mike Smith from Australian National University was commissioned to perform a literature review</w:t>
      </w:r>
      <w:r w:rsidRPr="00B06A7E">
        <w:t xml:space="preserve"> and</w:t>
      </w:r>
      <w:r>
        <w:t xml:space="preserve"> I acknowledge</w:t>
      </w:r>
      <w:r w:rsidRPr="00B06A7E">
        <w:t xml:space="preserve"> Rebecca McCallum</w:t>
      </w:r>
      <w:r w:rsidR="0099369E">
        <w:t xml:space="preserve"> and Michelle Rodriguez</w:t>
      </w:r>
      <w:r>
        <w:t xml:space="preserve"> for editorial input and general guidance.</w:t>
      </w:r>
    </w:p>
    <w:p w14:paraId="0C45E7AB" w14:textId="0723D03B" w:rsidR="0017018E" w:rsidRPr="008E36EC" w:rsidRDefault="00B06A7E" w:rsidP="0017018E">
      <w:pPr>
        <w:pStyle w:val="BodyText"/>
      </w:pPr>
      <w:r>
        <w:t xml:space="preserve">This work was funded </w:t>
      </w:r>
      <w:r w:rsidR="003F2CDB">
        <w:t>entirely through the Australian National Outlook Project at CSIRO.</w:t>
      </w:r>
    </w:p>
    <w:p w14:paraId="70D54B8F" w14:textId="77777777" w:rsidR="0017018E" w:rsidRPr="006D07FA" w:rsidRDefault="0017018E" w:rsidP="006D07FA">
      <w:pPr>
        <w:pStyle w:val="Heading1notnumbered"/>
        <w:tabs>
          <w:tab w:val="clear" w:pos="1134"/>
          <w:tab w:val="left" w:pos="851"/>
        </w:tabs>
        <w:spacing w:after="1080"/>
        <w:rPr>
          <w:color w:val="00A9CE" w:themeColor="accent1"/>
        </w:rPr>
      </w:pPr>
      <w:bookmarkStart w:id="1" w:name="_Toc359885761"/>
      <w:bookmarkStart w:id="2" w:name="_Toc433975072"/>
      <w:r w:rsidRPr="006D07FA">
        <w:rPr>
          <w:color w:val="00A9CE" w:themeColor="accent1"/>
        </w:rPr>
        <w:lastRenderedPageBreak/>
        <w:t>Executive summary</w:t>
      </w:r>
      <w:bookmarkEnd w:id="1"/>
      <w:bookmarkEnd w:id="2"/>
    </w:p>
    <w:p w14:paraId="19F54A2A" w14:textId="56B80308" w:rsidR="009C40B6" w:rsidRDefault="00AA7076" w:rsidP="0017018E">
      <w:pPr>
        <w:rPr>
          <w:lang w:val="en-US"/>
        </w:rPr>
      </w:pPr>
      <w:r>
        <w:t xml:space="preserve">This report </w:t>
      </w:r>
      <w:r w:rsidR="009C40B6">
        <w:t>is based</w:t>
      </w:r>
      <w:r w:rsidR="009C40B6" w:rsidRPr="009C40B6">
        <w:rPr>
          <w:lang w:val="en-US"/>
        </w:rPr>
        <w:t xml:space="preserve"> on analysis undertaken in 2013 for the first CSIRO Australian National Outlook</w:t>
      </w:r>
      <w:r w:rsidR="009C40B6">
        <w:rPr>
          <w:lang w:val="en-US"/>
        </w:rPr>
        <w:t xml:space="preserve"> report </w:t>
      </w:r>
      <w:r w:rsidRPr="00EC1C03">
        <w:rPr>
          <w:lang w:val="en-US"/>
        </w:rPr>
        <w:fldChar w:fldCharType="begin"/>
      </w:r>
      <w:r w:rsidR="00D04510" w:rsidRPr="00EC1C03">
        <w:rPr>
          <w:lang w:val="en-US"/>
        </w:rPr>
        <w:instrText xml:space="preserve"> ADDIN EN.CITE &lt;EndNote&gt;&lt;Cite&gt;&lt;Author&gt;Hatfield-Dodds&lt;/Author&gt;&lt;Year&gt;2013&lt;/Year&gt;&lt;RecNum&gt;1614&lt;/RecNum&gt;&lt;DisplayText&gt;(Hatfield-Dodds et al., 2013)&lt;/DisplayText&gt;&lt;record&gt;&lt;rec-number&gt;1614&lt;/rec-number&gt;&lt;foreign-keys&gt;&lt;key app="EN" db-id="t55vefr95ws0pgeffdlvtde0tdta909p2zv9"&gt;1614&lt;/key&gt;&lt;/foreign-keys&gt;&lt;ref-type name="Report"&gt;27&lt;/ref-type&gt;&lt;contributors&gt;&lt;authors&gt;&lt;author&gt;Hatfield-Dodds, S.&lt;/author&gt;&lt;author&gt;McCallum, R.&lt;/author&gt;&lt;author&gt;Baynes, T.,&lt;/author&gt;&lt;author&gt;Bryan, B.&lt;/author&gt;&lt;author&gt;Ferrier, S.&lt;/author&gt;&lt;author&gt;Graham, P.&lt;/author&gt;&lt;author&gt;Grundy, M.,&lt;/author&gt;&lt;author&gt;Newth, D.,&lt;/author&gt;&lt;author&gt;Schandl, H.&lt;/author&gt;&lt;/authors&gt;&lt;/contributors&gt;&lt;titles&gt;&lt;title&gt;Australian National Outlook 2013:  Modelling and analytical framework used in the first CSIRO National Outlook Project, Australian National Outlook 2013 Supporting Paper 11&lt;/title&gt;&lt;/titles&gt;&lt;number&gt;ANO2013.SP11&lt;/number&gt;&lt;dates&gt;&lt;year&gt;2013&lt;/year&gt;&lt;/dates&gt;&lt;pub-location&gt;Canberra, Australia&lt;/pub-location&gt;&lt;publisher&gt;CSIRO &lt;/publisher&gt;&lt;urls&gt;&lt;/urls&gt;&lt;/record&gt;&lt;/Cite&gt;&lt;/EndNote&gt;</w:instrText>
      </w:r>
      <w:r w:rsidRPr="00EC1C03">
        <w:rPr>
          <w:lang w:val="en-US"/>
        </w:rPr>
        <w:fldChar w:fldCharType="separate"/>
      </w:r>
      <w:r w:rsidR="00D04510" w:rsidRPr="00EC1C03">
        <w:rPr>
          <w:noProof/>
          <w:lang w:val="en-US"/>
        </w:rPr>
        <w:t>(</w:t>
      </w:r>
      <w:hyperlink w:anchor="_ENREF_14" w:tooltip="Hatfield-Dodds, 2013 #1614" w:history="1">
        <w:r w:rsidR="00D251BD" w:rsidRPr="00EC1C03">
          <w:rPr>
            <w:noProof/>
            <w:lang w:val="en-US"/>
          </w:rPr>
          <w:t>Hatfield-Dodds et al., 2015</w:t>
        </w:r>
      </w:hyperlink>
      <w:r w:rsidR="00D04510" w:rsidRPr="00EC1C03">
        <w:rPr>
          <w:noProof/>
          <w:lang w:val="en-US"/>
        </w:rPr>
        <w:t>)</w:t>
      </w:r>
      <w:r w:rsidRPr="00EC1C03">
        <w:rPr>
          <w:lang w:val="en-US"/>
        </w:rPr>
        <w:fldChar w:fldCharType="end"/>
      </w:r>
      <w:r w:rsidRPr="00EC1C03">
        <w:rPr>
          <w:lang w:val="en-US"/>
        </w:rPr>
        <w:t>. This</w:t>
      </w:r>
      <w:r w:rsidRPr="00BD55EE">
        <w:rPr>
          <w:lang w:val="en-US"/>
        </w:rPr>
        <w:t xml:space="preserve"> analysis </w:t>
      </w:r>
      <w:r w:rsidR="0020743A">
        <w:rPr>
          <w:lang w:val="en-US"/>
        </w:rPr>
        <w:t xml:space="preserve">was competed </w:t>
      </w:r>
      <w:r>
        <w:rPr>
          <w:lang w:val="en-US"/>
        </w:rPr>
        <w:t>as part of stage 2</w:t>
      </w:r>
      <w:r w:rsidRPr="00BD55EE">
        <w:rPr>
          <w:lang w:val="en-US"/>
        </w:rPr>
        <w:t xml:space="preserve"> of the project logic</w:t>
      </w:r>
      <w:r w:rsidR="009C40B6">
        <w:rPr>
          <w:lang w:val="en-US"/>
        </w:rPr>
        <w:t xml:space="preserve"> and has contributed to a research paper</w:t>
      </w:r>
      <w:r w:rsidR="00145E16">
        <w:rPr>
          <w:lang w:val="en-US"/>
        </w:rPr>
        <w:t xml:space="preserve"> accepted for publication</w:t>
      </w:r>
      <w:r w:rsidR="009C40B6">
        <w:rPr>
          <w:lang w:val="en-US"/>
        </w:rPr>
        <w:t xml:space="preserve"> in the</w:t>
      </w:r>
      <w:r w:rsidR="00145E16">
        <w:rPr>
          <w:lang w:val="en-US"/>
        </w:rPr>
        <w:t xml:space="preserve"> </w:t>
      </w:r>
      <w:r w:rsidR="00145E16" w:rsidRPr="000E6FED">
        <w:rPr>
          <w:i/>
          <w:lang w:val="en-US"/>
        </w:rPr>
        <w:t>Journal of Cleaner Production</w:t>
      </w:r>
      <w:r w:rsidR="00145E16">
        <w:rPr>
          <w:lang w:val="en-US"/>
        </w:rPr>
        <w:t xml:space="preserve"> </w:t>
      </w:r>
      <w:r w:rsidR="00145E16" w:rsidRPr="00E05DC1">
        <w:rPr>
          <w:lang w:val="en-US"/>
        </w:rPr>
        <w:fldChar w:fldCharType="begin"/>
      </w:r>
      <w:r w:rsidR="00D04510" w:rsidRPr="00E05DC1">
        <w:rPr>
          <w:lang w:val="en-US"/>
        </w:rPr>
        <w:instrText xml:space="preserve"> ADDIN EN.CITE &lt;EndNote&gt;&lt;Cite&gt;&lt;Author&gt;Schandl&lt;/Author&gt;&lt;Year&gt;2015&lt;/Year&gt;&lt;RecNum&gt;1615&lt;/RecNum&gt;&lt;DisplayText&gt;(Schandl et al., 2015)&lt;/DisplayText&gt;&lt;record&gt;&lt;rec-number&gt;1615&lt;/rec-number&gt;&lt;foreign-keys&gt;&lt;key app="EN" db-id="t55vefr95ws0pgeffdlvtde0tdta909p2zv9"&gt;1615&lt;/key&gt;&lt;/foreign-keys&gt;&lt;ref-type name="Journal Article"&gt;17&lt;/ref-type&gt;&lt;contributors&gt;&lt;authors&gt;&lt;author&gt;Schandl, Heinz&lt;/author&gt;&lt;author&gt;Hatfield-Dodds, Steve&lt;/author&gt;&lt;author&gt;Wiedmann, Thomas&lt;/author&gt;&lt;author&gt;Geschke, Arne&lt;/author&gt;&lt;author&gt;Cai, Yiyong&lt;/author&gt;&lt;author&gt;West, James&lt;/author&gt;&lt;author&gt;Newth, David&lt;/author&gt;&lt;author&gt;Baynes, Tim&lt;/author&gt;&lt;author&gt;Lenzen, Manfred&lt;/author&gt;&lt;author&gt;Owen, Anne&lt;/author&gt;&lt;/authors&gt;&lt;/contributors&gt;&lt;titles&gt;&lt;title&gt;Decoupling global environmental pressure and economic growth: scenarios for energy use, materials use and carbon emissions&lt;/title&gt;&lt;secondary-title&gt;Journal of Cleaner Production&lt;/secondary-title&gt;&lt;/titles&gt;&lt;periodical&gt;&lt;full-title&gt;Journal of Cleaner Production&lt;/full-title&gt;&lt;/periodical&gt;&lt;volume&gt;accepted for publication&lt;/volume&gt;&lt;dates&gt;&lt;year&gt;2015&lt;/year&gt;&lt;/dates&gt;&lt;urls&gt;&lt;/urls&gt;&lt;/record&gt;&lt;/Cite&gt;&lt;/EndNote&gt;</w:instrText>
      </w:r>
      <w:r w:rsidR="00145E16" w:rsidRPr="00E05DC1">
        <w:rPr>
          <w:lang w:val="en-US"/>
        </w:rPr>
        <w:fldChar w:fldCharType="separate"/>
      </w:r>
      <w:r w:rsidR="00D04510" w:rsidRPr="00E05DC1">
        <w:rPr>
          <w:noProof/>
          <w:lang w:val="en-US"/>
        </w:rPr>
        <w:t>(</w:t>
      </w:r>
      <w:hyperlink w:anchor="_ENREF_22" w:tooltip="Schandl, 2015 #1615" w:history="1">
        <w:r w:rsidR="00D04510" w:rsidRPr="00E05DC1">
          <w:rPr>
            <w:noProof/>
            <w:lang w:val="en-US"/>
          </w:rPr>
          <w:t xml:space="preserve">Schandl et al., </w:t>
        </w:r>
        <w:r w:rsidR="003F4163" w:rsidRPr="00E05DC1">
          <w:rPr>
            <w:noProof/>
            <w:lang w:val="en-US"/>
          </w:rPr>
          <w:t>in press</w:t>
        </w:r>
      </w:hyperlink>
      <w:r w:rsidR="00D04510" w:rsidRPr="00E05DC1">
        <w:rPr>
          <w:noProof/>
          <w:lang w:val="en-US"/>
        </w:rPr>
        <w:t>)</w:t>
      </w:r>
      <w:r w:rsidR="00145E16" w:rsidRPr="00E05DC1">
        <w:rPr>
          <w:lang w:val="en-US"/>
        </w:rPr>
        <w:fldChar w:fldCharType="end"/>
      </w:r>
      <w:r w:rsidR="00145E16" w:rsidRPr="00E05DC1">
        <w:rPr>
          <w:lang w:val="en-US"/>
        </w:rPr>
        <w:t>.</w:t>
      </w:r>
    </w:p>
    <w:p w14:paraId="41C08EE1" w14:textId="0A158F39" w:rsidR="0017018E" w:rsidRDefault="00AA7076" w:rsidP="0017018E">
      <w:r>
        <w:t xml:space="preserve">One of the central issues explored in the National Outlook project is the consequence of different outlooks for energy and water use, including a potential </w:t>
      </w:r>
      <w:r w:rsidR="00E75DE1">
        <w:t>s</w:t>
      </w:r>
      <w:r>
        <w:t xml:space="preserve">tep </w:t>
      </w:r>
      <w:r w:rsidR="00E75DE1">
        <w:t>c</w:t>
      </w:r>
      <w:r>
        <w:t xml:space="preserve">hange in energy and water use efficiency. </w:t>
      </w:r>
      <w:r w:rsidR="0017018E">
        <w:t xml:space="preserve">This </w:t>
      </w:r>
      <w:r>
        <w:t>report</w:t>
      </w:r>
      <w:r w:rsidR="0017018E">
        <w:t xml:space="preserve"> outlines the data and methods used to estimate implications of a continuation in </w:t>
      </w:r>
      <w:r w:rsidR="00E75DE1">
        <w:t>c</w:t>
      </w:r>
      <w:r w:rsidR="0017018E">
        <w:t xml:space="preserve">urrent </w:t>
      </w:r>
      <w:r w:rsidR="00E75DE1">
        <w:t>t</w:t>
      </w:r>
      <w:r w:rsidR="0017018E">
        <w:t xml:space="preserve">rends in energy and water intensity over the period to 2050, and the potential impact of widespread uptake of cost </w:t>
      </w:r>
      <w:r>
        <w:t xml:space="preserve">effective efficiency measures. </w:t>
      </w:r>
      <w:r w:rsidR="0017018E">
        <w:t>Energy and water intensity refers to energy and water use (in physical units) per dollar of real value added (adjusted for inflation</w:t>
      </w:r>
      <w:r>
        <w:t xml:space="preserve">), for major economic sectors. </w:t>
      </w:r>
      <w:r w:rsidR="0017018E">
        <w:t xml:space="preserve">The analysis focuses on non-agricultural energy and water use.   </w:t>
      </w:r>
    </w:p>
    <w:p w14:paraId="1336372A" w14:textId="77777777" w:rsidR="0017018E" w:rsidRDefault="0017018E" w:rsidP="0017018E">
      <w:r>
        <w:t xml:space="preserve">The analysis of the continuation of existing trends suggests modest continuing reductions in the energy and water intensity of most sectors, and the economy as a whole (excluding agriculture). The difference in overall energy use compared with today’s efficiency applied to the same output at 2050 is small (2.5%). By the same comparison, there are more significant cumulative water savings of 20.5% (2097 GL/year) by 2050.  These trend improvements are small relative to projected economic growth, however, and total energy and non-agricultural water use will continue to increase.  </w:t>
      </w:r>
    </w:p>
    <w:p w14:paraId="21EF0F8A" w14:textId="0D9026C0" w:rsidR="0017018E" w:rsidRDefault="0017018E" w:rsidP="0017018E">
      <w:r>
        <w:t xml:space="preserve">The analysis of a potential </w:t>
      </w:r>
      <w:r w:rsidR="001E07D6">
        <w:t>s</w:t>
      </w:r>
      <w:r>
        <w:t xml:space="preserve">tep </w:t>
      </w:r>
      <w:r w:rsidR="00E75DE1">
        <w:t>c</w:t>
      </w:r>
      <w:r>
        <w:t>hange finds that there is significant potential for improving the efficiency of energy and water use.  The data and methods that underpin these estimates are focused on identifying realistic savings with a three to five year payback period for any additional capital costs involved in achieving these physical efficiency gains, after which the efficiency measures can be interpreted as saving money and improving overall productivity, as well as reducing the use of energy, water and other resources. The largest absolute savings identified are in Transport (681</w:t>
      </w:r>
      <w:r w:rsidR="00696773">
        <w:t xml:space="preserve"> </w:t>
      </w:r>
      <w:r>
        <w:t>PJ/year) and Manufacturing (469</w:t>
      </w:r>
      <w:r w:rsidR="00696773">
        <w:t xml:space="preserve"> </w:t>
      </w:r>
      <w:r>
        <w:t>PJ/year) for energy, and in the Commercial and Services (1993</w:t>
      </w:r>
      <w:r w:rsidR="00696773">
        <w:t xml:space="preserve"> </w:t>
      </w:r>
      <w:r>
        <w:t>GL/year) and Residential (1764</w:t>
      </w:r>
      <w:r w:rsidR="00696773">
        <w:t xml:space="preserve"> </w:t>
      </w:r>
      <w:r>
        <w:t>GL/year) sectors for water.  In these sectors and the Water supply and waste services sector, the water efficiency savings are larger than projected trend growth in value added, resulting in absolute decreases in water use to 2050.</w:t>
      </w:r>
    </w:p>
    <w:p w14:paraId="6B33ED55" w14:textId="3A0CA1E9" w:rsidR="0017018E" w:rsidRDefault="0017018E" w:rsidP="0017018E">
      <w:r>
        <w:t xml:space="preserve">Overall, as </w:t>
      </w:r>
      <w:r w:rsidRPr="002A5FFC">
        <w:rPr>
          <w:color w:val="auto"/>
        </w:rPr>
        <w:t>shown in</w:t>
      </w:r>
      <w:r w:rsidR="00E6290E">
        <w:rPr>
          <w:color w:val="auto"/>
        </w:rPr>
        <w:t xml:space="preserve"> Table 1 and Table 2</w:t>
      </w:r>
      <w:r w:rsidRPr="002A5FFC">
        <w:rPr>
          <w:color w:val="auto"/>
        </w:rPr>
        <w:t xml:space="preserve">, the analysis suggests </w:t>
      </w:r>
      <w:r>
        <w:t xml:space="preserve">that achieving a </w:t>
      </w:r>
      <w:r w:rsidR="00E75DE1">
        <w:t>s</w:t>
      </w:r>
      <w:r>
        <w:t xml:space="preserve">tep </w:t>
      </w:r>
      <w:r w:rsidR="00E75DE1">
        <w:t>c</w:t>
      </w:r>
      <w:r>
        <w:t>hange in energy and water efficiency would reduce the demand for water and energy resources by up to 20% and 2% in 2020, and 48% and 17%, respectively, in 2050, relative to curre</w:t>
      </w:r>
      <w:r w:rsidR="00486B94">
        <w:t xml:space="preserve">nt </w:t>
      </w:r>
      <w:r w:rsidR="00486B94" w:rsidRPr="0086541B">
        <w:t>efficiencies. Figures 5 to 8</w:t>
      </w:r>
      <w:r w:rsidRPr="0086541B">
        <w:t xml:space="preserve"> in the</w:t>
      </w:r>
      <w:r>
        <w:t xml:space="preserve"> main report show the time profile of these trends.</w:t>
      </w:r>
    </w:p>
    <w:p w14:paraId="4224CBAB" w14:textId="018B172D" w:rsidR="0017018E" w:rsidRDefault="0017018E" w:rsidP="0017018E">
      <w:r>
        <w:t>It is important to note that these estimates are of potential savings assuming a continuation of existing trends, or widespread adoption of cost effective efficiency measures.  Achieving substantial improvements in energy efficiency would require actions by households, businesses and governments.  Useful reviews of barriers to the uptake of energy efficiency, and potential constructive r</w:t>
      </w:r>
      <w:r w:rsidR="00A51A9D">
        <w:t xml:space="preserve">esponses to these barriers, are </w:t>
      </w:r>
      <w:r w:rsidRPr="00AE50A2">
        <w:t xml:space="preserve">provided in reports by ClimateWorks, Energetics and others </w:t>
      </w:r>
      <w:r w:rsidRPr="00AE50A2">
        <w:fldChar w:fldCharType="begin">
          <w:fldData xml:space="preserve">PEVuZE5vdGU+PENpdGU+PEF1dGhvcj5DbGltYXRlV29ya3MgQXVzdHJhbGlhPC9BdXRob3I+PFll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</w:fldData>
        </w:fldChar>
      </w:r>
      <w:r w:rsidR="00D04510">
        <w:instrText xml:space="preserve"> ADDIN EN.CITE </w:instrText>
      </w:r>
      <w:r w:rsidR="00D04510">
        <w:fldChar w:fldCharType="begin">
          <w:fldData xml:space="preserve">PEVuZE5vdGU+PENpdGU+PEF1dGhvcj5DbGltYXRlV29ya3MgQXVzdHJhbGlhPC9BdXRob3I+PFll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</w:fldData>
        </w:fldChar>
      </w:r>
      <w:r w:rsidR="00D04510">
        <w:instrText xml:space="preserve"> ADDIN EN.CITE.DATA </w:instrText>
      </w:r>
      <w:r w:rsidR="00D04510">
        <w:fldChar w:fldCharType="end"/>
      </w:r>
      <w:r w:rsidRPr="00AE50A2">
        <w:fldChar w:fldCharType="separate"/>
      </w:r>
      <w:r w:rsidR="00D04510">
        <w:rPr>
          <w:noProof/>
        </w:rPr>
        <w:t>(</w:t>
      </w:r>
      <w:hyperlink w:anchor="_ENREF_12" w:tooltip="Energetics, 2004 #378" w:history="1">
        <w:r w:rsidR="00D04510">
          <w:rPr>
            <w:noProof/>
          </w:rPr>
          <w:t>Energetics, 2004</w:t>
        </w:r>
      </w:hyperlink>
      <w:r w:rsidR="00696773">
        <w:rPr>
          <w:noProof/>
        </w:rPr>
        <w:t>;</w:t>
      </w:r>
      <w:r w:rsidR="00D04510">
        <w:rPr>
          <w:noProof/>
        </w:rPr>
        <w:t xml:space="preserve"> </w:t>
      </w:r>
      <w:hyperlink w:anchor="_ENREF_21" w:tooltip="Rickwood, 2008 #832" w:history="1">
        <w:r w:rsidR="00D04510">
          <w:rPr>
            <w:noProof/>
          </w:rPr>
          <w:t>Rickwood et al., 2008</w:t>
        </w:r>
      </w:hyperlink>
      <w:r w:rsidR="00696773">
        <w:rPr>
          <w:noProof/>
        </w:rPr>
        <w:t>;</w:t>
      </w:r>
      <w:r w:rsidR="00D04510">
        <w:rPr>
          <w:noProof/>
        </w:rPr>
        <w:t xml:space="preserve"> </w:t>
      </w:r>
      <w:hyperlink w:anchor="_ENREF_20" w:tooltip="Petchey, 2010 #786" w:history="1">
        <w:r w:rsidR="00D04510">
          <w:rPr>
            <w:noProof/>
          </w:rPr>
          <w:t>Petchey, 2010</w:t>
        </w:r>
      </w:hyperlink>
      <w:r w:rsidR="00696773">
        <w:rPr>
          <w:noProof/>
        </w:rPr>
        <w:t>;</w:t>
      </w:r>
      <w:r w:rsidR="00D04510">
        <w:rPr>
          <w:noProof/>
        </w:rPr>
        <w:t xml:space="preserve"> </w:t>
      </w:r>
      <w:hyperlink w:anchor="_ENREF_10" w:tooltip="ClimateWorks Australia, 2013 #263" w:history="1">
        <w:r w:rsidR="00D04510">
          <w:rPr>
            <w:noProof/>
          </w:rPr>
          <w:t>ClimateWorks Australia, 2013</w:t>
        </w:r>
      </w:hyperlink>
      <w:r w:rsidR="00D04510">
        <w:rPr>
          <w:noProof/>
        </w:rPr>
        <w:t>)</w:t>
      </w:r>
      <w:r w:rsidRPr="00AE50A2">
        <w:fldChar w:fldCharType="end"/>
      </w:r>
      <w:r w:rsidRPr="00AE50A2">
        <w:t>.</w:t>
      </w:r>
    </w:p>
    <w:p w14:paraId="18A62748" w14:textId="18CEA345" w:rsidR="0017018E" w:rsidRDefault="0017018E">
      <w:pPr>
        <w:spacing w:after="0"/>
      </w:pPr>
    </w:p>
    <w:p w14:paraId="393DA590" w14:textId="77777777" w:rsidR="0017018E" w:rsidRDefault="0017018E" w:rsidP="0017018E"/>
    <w:p w14:paraId="4A5A5686" w14:textId="77777777" w:rsidR="005758A8" w:rsidRDefault="005758A8" w:rsidP="0017018E"/>
    <w:p w14:paraId="06B61EF6" w14:textId="77777777" w:rsidR="005758A8" w:rsidRDefault="005758A8" w:rsidP="0017018E"/>
    <w:p w14:paraId="13CE7366" w14:textId="77777777" w:rsidR="005758A8" w:rsidRDefault="005758A8" w:rsidP="0017018E"/>
    <w:p w14:paraId="0D0545D4" w14:textId="05D8C10F" w:rsidR="0017018E" w:rsidRPr="007B0D5A" w:rsidRDefault="0017018E" w:rsidP="007B0D5A">
      <w:pPr>
        <w:pStyle w:val="Caption"/>
        <w:spacing w:before="240" w:after="200" w:line="240" w:lineRule="auto"/>
        <w:contextualSpacing w:val="0"/>
        <w:rPr>
          <w:color w:val="00A9CE" w:themeColor="accent1"/>
        </w:rPr>
      </w:pPr>
      <w:bookmarkStart w:id="3" w:name="_Ref359918935"/>
      <w:bookmarkStart w:id="4" w:name="_Toc359911305"/>
      <w:bookmarkStart w:id="5" w:name="_Toc433977518"/>
      <w:r w:rsidRPr="007B0D5A">
        <w:rPr>
          <w:color w:val="00A9CE" w:themeColor="accent1"/>
        </w:rPr>
        <w:lastRenderedPageBreak/>
        <w:t xml:space="preserve">Table </w:t>
      </w:r>
      <w:r w:rsidR="00447CD6" w:rsidRPr="007B0D5A">
        <w:rPr>
          <w:color w:val="00A9CE" w:themeColor="accent1"/>
        </w:rPr>
        <w:fldChar w:fldCharType="begin"/>
      </w:r>
      <w:r w:rsidR="00447CD6" w:rsidRPr="007B0D5A">
        <w:rPr>
          <w:color w:val="00A9CE" w:themeColor="accent1"/>
        </w:rPr>
        <w:instrText xml:space="preserve"> SEQ Table \* ARABIC </w:instrText>
      </w:r>
      <w:r w:rsidR="00447CD6" w:rsidRPr="007B0D5A">
        <w:rPr>
          <w:color w:val="00A9CE" w:themeColor="accent1"/>
        </w:rPr>
        <w:fldChar w:fldCharType="separate"/>
      </w:r>
      <w:r w:rsidR="0048332C">
        <w:rPr>
          <w:noProof/>
          <w:color w:val="00A9CE" w:themeColor="accent1"/>
        </w:rPr>
        <w:t>1</w:t>
      </w:r>
      <w:r w:rsidR="00447CD6" w:rsidRPr="007B0D5A">
        <w:rPr>
          <w:color w:val="00A9CE" w:themeColor="accent1"/>
        </w:rPr>
        <w:fldChar w:fldCharType="end"/>
      </w:r>
      <w:bookmarkEnd w:id="3"/>
      <w:r w:rsidRPr="007B0D5A">
        <w:rPr>
          <w:color w:val="00A9CE" w:themeColor="accent1"/>
        </w:rPr>
        <w:t xml:space="preserve">: Projected </w:t>
      </w:r>
      <w:r w:rsidR="00486B94">
        <w:rPr>
          <w:color w:val="00A9CE" w:themeColor="accent1"/>
        </w:rPr>
        <w:t>energy</w:t>
      </w:r>
      <w:r w:rsidRPr="007B0D5A">
        <w:rPr>
          <w:color w:val="00A9CE" w:themeColor="accent1"/>
        </w:rPr>
        <w:t xml:space="preserve"> and </w:t>
      </w:r>
      <w:r w:rsidR="00486B94">
        <w:rPr>
          <w:color w:val="00A9CE" w:themeColor="accent1"/>
        </w:rPr>
        <w:t>water</w:t>
      </w:r>
      <w:r w:rsidRPr="007B0D5A">
        <w:rPr>
          <w:color w:val="00A9CE" w:themeColor="accent1"/>
        </w:rPr>
        <w:t xml:space="preserve"> savings by 2020 compared to 2011 efficiencies</w:t>
      </w:r>
      <w:bookmarkEnd w:id="4"/>
      <w:r w:rsidR="00D9266C">
        <w:rPr>
          <w:color w:val="00A9CE" w:themeColor="accent1"/>
        </w:rPr>
        <w:t>.</w:t>
      </w:r>
      <w:bookmarkEnd w:id="5"/>
    </w:p>
    <w:tbl>
      <w:tblPr>
        <w:tblW w:w="5000" w:type="pct"/>
        <w:tblLayout w:type="fixed"/>
        <w:tblCellMar>
          <w:left w:w="0" w:type="dxa"/>
          <w:right w:w="0" w:type="dxa"/>
        </w:tblCellMar>
        <w:tblLook w:val="04A0" w:firstRow="1" w:lastRow="0" w:firstColumn="1" w:lastColumn="0" w:noHBand="0" w:noVBand="1"/>
        <w:tblCaption w:val="Projected energy and waer savings by 2020 compared to 2011 efficiencies"/>
        <w:tblDescription w:val="Data presented in Table one is based on the simulation of changes to intensities from a resource use and gross value add perspective, and projects of gross value add. Absolute and percental difference in annual consumption is reported with respect to values at two thousand and eleven. Listing industries and their projected savings to two thousand and twenty in petajoules for energy and gigalitres for water, each broken down into existing trends and step change. Cumulative savings data is provided as totals. "/>
      </w:tblPr>
      <w:tblGrid>
        <w:gridCol w:w="3216"/>
        <w:gridCol w:w="1731"/>
        <w:gridCol w:w="1480"/>
        <w:gridCol w:w="1731"/>
        <w:gridCol w:w="1480"/>
      </w:tblGrid>
      <w:tr w:rsidR="0017018E" w:rsidRPr="00DB024D" w14:paraId="4B0353D1" w14:textId="77777777" w:rsidTr="002A5FFC">
        <w:trPr>
          <w:trHeight w:val="300"/>
        </w:trPr>
        <w:tc>
          <w:tcPr>
            <w:tcW w:w="1668" w:type="pct"/>
            <w:shd w:val="clear" w:color="auto" w:fill="000000" w:themeFill="text1"/>
            <w:noWrap/>
            <w:tcMar>
              <w:top w:w="0" w:type="dxa"/>
              <w:left w:w="108" w:type="dxa"/>
              <w:bottom w:w="0" w:type="dxa"/>
              <w:right w:w="108" w:type="dxa"/>
            </w:tcMar>
            <w:vAlign w:val="bottom"/>
            <w:hideMark/>
          </w:tcPr>
          <w:p w14:paraId="2E6D3E74" w14:textId="02CEBFEE" w:rsidR="0017018E" w:rsidRPr="00807B36" w:rsidRDefault="0017018E" w:rsidP="002A5FFC">
            <w:pPr>
              <w:pStyle w:val="ColumnHeading"/>
              <w:spacing w:before="120"/>
              <w:jc w:val="center"/>
              <w:rPr>
                <w:rFonts w:eastAsiaTheme="minorHAnsi"/>
              </w:rPr>
            </w:pPr>
          </w:p>
        </w:tc>
        <w:tc>
          <w:tcPr>
            <w:tcW w:w="3332" w:type="pct"/>
            <w:gridSpan w:val="4"/>
            <w:shd w:val="clear" w:color="auto" w:fill="000000" w:themeFill="text1"/>
            <w:noWrap/>
            <w:tcMar>
              <w:top w:w="0" w:type="dxa"/>
              <w:left w:w="108" w:type="dxa"/>
              <w:bottom w:w="0" w:type="dxa"/>
              <w:right w:w="108" w:type="dxa"/>
            </w:tcMar>
            <w:vAlign w:val="bottom"/>
            <w:hideMark/>
          </w:tcPr>
          <w:p w14:paraId="3001AAD4" w14:textId="285F1C7A" w:rsidR="0017018E" w:rsidRPr="00807B36" w:rsidRDefault="00FF09F3" w:rsidP="002A5FFC">
            <w:pPr>
              <w:pStyle w:val="ColumnHeading"/>
              <w:spacing w:before="120"/>
              <w:jc w:val="center"/>
              <w:rPr>
                <w:rFonts w:eastAsiaTheme="minorHAnsi"/>
                <w:bCs/>
              </w:rPr>
            </w:pPr>
            <w:r w:rsidRPr="00807B36">
              <w:rPr>
                <w:bCs/>
              </w:rPr>
              <w:t>P</w:t>
            </w:r>
            <w:r w:rsidR="0017018E" w:rsidRPr="00807B36">
              <w:rPr>
                <w:bCs/>
              </w:rPr>
              <w:t>rojected savings to 2020</w:t>
            </w:r>
          </w:p>
        </w:tc>
      </w:tr>
      <w:tr w:rsidR="00807B36" w:rsidRPr="00DB024D" w14:paraId="499C1C49" w14:textId="77777777" w:rsidTr="002A5FFC">
        <w:trPr>
          <w:trHeight w:val="300"/>
        </w:trPr>
        <w:tc>
          <w:tcPr>
            <w:tcW w:w="1668" w:type="pct"/>
            <w:shd w:val="clear" w:color="auto" w:fill="000000" w:themeFill="text1"/>
            <w:noWrap/>
            <w:tcMar>
              <w:top w:w="0" w:type="dxa"/>
              <w:left w:w="108" w:type="dxa"/>
              <w:bottom w:w="0" w:type="dxa"/>
              <w:right w:w="108" w:type="dxa"/>
            </w:tcMar>
            <w:vAlign w:val="bottom"/>
            <w:hideMark/>
          </w:tcPr>
          <w:p w14:paraId="59B359BB" w14:textId="5E38ACD2" w:rsidR="0017018E" w:rsidRPr="002A5FFC" w:rsidRDefault="0017018E" w:rsidP="002A5FFC">
            <w:pPr>
              <w:pStyle w:val="ColumnHeading"/>
              <w:spacing w:after="60"/>
              <w:jc w:val="center"/>
            </w:pPr>
          </w:p>
        </w:tc>
        <w:tc>
          <w:tcPr>
            <w:tcW w:w="1666" w:type="pct"/>
            <w:gridSpan w:val="2"/>
            <w:shd w:val="clear" w:color="auto" w:fill="000000" w:themeFill="text1"/>
            <w:noWrap/>
            <w:tcMar>
              <w:top w:w="0" w:type="dxa"/>
              <w:left w:w="108" w:type="dxa"/>
              <w:bottom w:w="0" w:type="dxa"/>
              <w:right w:w="108" w:type="dxa"/>
            </w:tcMar>
            <w:vAlign w:val="bottom"/>
            <w:hideMark/>
          </w:tcPr>
          <w:p w14:paraId="50864ED9" w14:textId="77777777" w:rsidR="0017018E" w:rsidRPr="002A5FFC" w:rsidRDefault="0017018E" w:rsidP="002A5FFC">
            <w:pPr>
              <w:pStyle w:val="ColumnHeading"/>
              <w:spacing w:after="60"/>
              <w:jc w:val="center"/>
            </w:pPr>
            <w:r w:rsidRPr="00DB024D">
              <w:t>Energy (PJ/year)</w:t>
            </w:r>
          </w:p>
        </w:tc>
        <w:tc>
          <w:tcPr>
            <w:tcW w:w="1666" w:type="pct"/>
            <w:gridSpan w:val="2"/>
            <w:shd w:val="clear" w:color="auto" w:fill="000000" w:themeFill="text1"/>
            <w:noWrap/>
            <w:tcMar>
              <w:top w:w="0" w:type="dxa"/>
              <w:left w:w="108" w:type="dxa"/>
              <w:bottom w:w="0" w:type="dxa"/>
              <w:right w:w="108" w:type="dxa"/>
            </w:tcMar>
            <w:vAlign w:val="bottom"/>
            <w:hideMark/>
          </w:tcPr>
          <w:p w14:paraId="4B8BB499" w14:textId="3F4AD300" w:rsidR="0017018E" w:rsidRPr="002A5FFC" w:rsidRDefault="0017018E" w:rsidP="002A5FFC">
            <w:pPr>
              <w:pStyle w:val="ColumnHeading"/>
              <w:spacing w:after="60"/>
              <w:jc w:val="center"/>
            </w:pPr>
            <w:r w:rsidRPr="00DB024D">
              <w:t>Water (GL/year)</w:t>
            </w:r>
          </w:p>
        </w:tc>
      </w:tr>
      <w:tr w:rsidR="008575B5" w:rsidRPr="00DB024D" w14:paraId="1CA43A60" w14:textId="77777777" w:rsidTr="002A5FFC">
        <w:trPr>
          <w:trHeight w:val="361"/>
        </w:trPr>
        <w:tc>
          <w:tcPr>
            <w:tcW w:w="1668" w:type="pct"/>
            <w:shd w:val="clear" w:color="auto" w:fill="auto"/>
            <w:noWrap/>
            <w:tcMar>
              <w:top w:w="0" w:type="dxa"/>
              <w:left w:w="108" w:type="dxa"/>
              <w:bottom w:w="0" w:type="dxa"/>
              <w:right w:w="108" w:type="dxa"/>
            </w:tcMar>
            <w:vAlign w:val="bottom"/>
            <w:hideMark/>
          </w:tcPr>
          <w:p w14:paraId="04F5FA09" w14:textId="28E1BA0C" w:rsidR="0017018E" w:rsidRPr="00DB024D" w:rsidRDefault="0017018E" w:rsidP="002A5FFC">
            <w:pPr>
              <w:pStyle w:val="RowHeading"/>
              <w:jc w:val="center"/>
              <w:rPr>
                <w:rFonts w:eastAsiaTheme="minorHAnsi"/>
              </w:rPr>
            </w:pPr>
          </w:p>
        </w:tc>
        <w:tc>
          <w:tcPr>
            <w:tcW w:w="898" w:type="pct"/>
            <w:shd w:val="clear" w:color="auto" w:fill="auto"/>
            <w:tcMar>
              <w:top w:w="0" w:type="dxa"/>
              <w:left w:w="108" w:type="dxa"/>
              <w:bottom w:w="0" w:type="dxa"/>
              <w:right w:w="108" w:type="dxa"/>
            </w:tcMar>
            <w:vAlign w:val="bottom"/>
            <w:hideMark/>
          </w:tcPr>
          <w:p w14:paraId="6B85D2C1" w14:textId="34636461" w:rsidR="0017018E" w:rsidRPr="00DB024D" w:rsidRDefault="00E75DE1" w:rsidP="002A5FFC">
            <w:pPr>
              <w:pStyle w:val="RowHeading"/>
              <w:jc w:val="center"/>
              <w:rPr>
                <w:rFonts w:eastAsiaTheme="minorHAnsi"/>
                <w:i/>
                <w:iCs/>
              </w:rPr>
            </w:pPr>
            <w:r>
              <w:rPr>
                <w:i/>
                <w:iCs/>
              </w:rPr>
              <w:t>Current</w:t>
            </w:r>
            <w:r w:rsidR="0017018E" w:rsidRPr="00DB024D">
              <w:rPr>
                <w:i/>
                <w:iCs/>
              </w:rPr>
              <w:t xml:space="preserve"> </w:t>
            </w:r>
            <w:r w:rsidR="00CA0FAD">
              <w:rPr>
                <w:i/>
                <w:iCs/>
              </w:rPr>
              <w:t>T</w:t>
            </w:r>
            <w:r w:rsidR="0017018E" w:rsidRPr="00DB024D">
              <w:rPr>
                <w:i/>
                <w:iCs/>
              </w:rPr>
              <w:t>rends</w:t>
            </w:r>
          </w:p>
        </w:tc>
        <w:tc>
          <w:tcPr>
            <w:tcW w:w="768" w:type="pct"/>
            <w:shd w:val="clear" w:color="auto" w:fill="auto"/>
            <w:tcMar>
              <w:top w:w="0" w:type="dxa"/>
              <w:left w:w="108" w:type="dxa"/>
              <w:bottom w:w="0" w:type="dxa"/>
              <w:right w:w="108" w:type="dxa"/>
            </w:tcMar>
            <w:vAlign w:val="bottom"/>
            <w:hideMark/>
          </w:tcPr>
          <w:p w14:paraId="07F32BC1" w14:textId="7F2FA37B" w:rsidR="0017018E" w:rsidRPr="00DB024D" w:rsidRDefault="008575B5" w:rsidP="002A5FFC">
            <w:pPr>
              <w:pStyle w:val="RowHeading"/>
              <w:jc w:val="center"/>
              <w:rPr>
                <w:rFonts w:eastAsiaTheme="minorHAnsi"/>
                <w:i/>
                <w:iCs/>
              </w:rPr>
            </w:pPr>
            <w:r w:rsidRPr="00DB024D">
              <w:rPr>
                <w:i/>
                <w:iCs/>
              </w:rPr>
              <w:t>S</w:t>
            </w:r>
            <w:r w:rsidR="0017018E" w:rsidRPr="00DB024D">
              <w:rPr>
                <w:i/>
                <w:iCs/>
              </w:rPr>
              <w:t xml:space="preserve">tep </w:t>
            </w:r>
            <w:r w:rsidR="00CA0FAD">
              <w:rPr>
                <w:i/>
                <w:iCs/>
              </w:rPr>
              <w:t>C</w:t>
            </w:r>
            <w:r w:rsidR="0017018E" w:rsidRPr="00DB024D">
              <w:rPr>
                <w:i/>
                <w:iCs/>
              </w:rPr>
              <w:t>hange</w:t>
            </w:r>
          </w:p>
        </w:tc>
        <w:tc>
          <w:tcPr>
            <w:tcW w:w="898" w:type="pct"/>
            <w:shd w:val="clear" w:color="auto" w:fill="auto"/>
            <w:tcMar>
              <w:top w:w="0" w:type="dxa"/>
              <w:left w:w="108" w:type="dxa"/>
              <w:bottom w:w="0" w:type="dxa"/>
              <w:right w:w="108" w:type="dxa"/>
            </w:tcMar>
            <w:vAlign w:val="bottom"/>
            <w:hideMark/>
          </w:tcPr>
          <w:p w14:paraId="16E2457C" w14:textId="49EEDBB6" w:rsidR="0017018E" w:rsidRPr="00DB024D" w:rsidRDefault="00E75DE1" w:rsidP="00CA0FAD">
            <w:pPr>
              <w:pStyle w:val="RowHeading"/>
              <w:jc w:val="center"/>
              <w:rPr>
                <w:rFonts w:eastAsiaTheme="minorHAnsi"/>
                <w:i/>
                <w:iCs/>
              </w:rPr>
            </w:pPr>
            <w:r>
              <w:rPr>
                <w:i/>
                <w:iCs/>
              </w:rPr>
              <w:t xml:space="preserve">Current </w:t>
            </w:r>
            <w:r w:rsidR="00CA0FAD">
              <w:rPr>
                <w:i/>
                <w:iCs/>
              </w:rPr>
              <w:t>T</w:t>
            </w:r>
            <w:r w:rsidR="0017018E" w:rsidRPr="00DB024D">
              <w:rPr>
                <w:i/>
                <w:iCs/>
              </w:rPr>
              <w:t>rends</w:t>
            </w:r>
          </w:p>
        </w:tc>
        <w:tc>
          <w:tcPr>
            <w:tcW w:w="768" w:type="pct"/>
            <w:shd w:val="clear" w:color="auto" w:fill="auto"/>
            <w:tcMar>
              <w:top w:w="0" w:type="dxa"/>
              <w:left w:w="108" w:type="dxa"/>
              <w:bottom w:w="0" w:type="dxa"/>
              <w:right w:w="108" w:type="dxa"/>
            </w:tcMar>
            <w:vAlign w:val="bottom"/>
            <w:hideMark/>
          </w:tcPr>
          <w:p w14:paraId="01906CA2" w14:textId="45A2FC17" w:rsidR="0017018E" w:rsidRPr="00DB024D" w:rsidRDefault="008575B5" w:rsidP="002A5FFC">
            <w:pPr>
              <w:pStyle w:val="RowHeading"/>
              <w:jc w:val="center"/>
              <w:rPr>
                <w:rFonts w:eastAsiaTheme="minorHAnsi"/>
                <w:i/>
                <w:iCs/>
              </w:rPr>
            </w:pPr>
            <w:r w:rsidRPr="00DB024D">
              <w:rPr>
                <w:i/>
                <w:iCs/>
              </w:rPr>
              <w:t>S</w:t>
            </w:r>
            <w:r w:rsidR="0017018E" w:rsidRPr="00DB024D">
              <w:rPr>
                <w:i/>
                <w:iCs/>
              </w:rPr>
              <w:t xml:space="preserve">tep </w:t>
            </w:r>
            <w:r w:rsidR="00CA0FAD">
              <w:rPr>
                <w:i/>
                <w:iCs/>
              </w:rPr>
              <w:t>C</w:t>
            </w:r>
            <w:r w:rsidR="0017018E" w:rsidRPr="00DB024D">
              <w:rPr>
                <w:i/>
                <w:iCs/>
              </w:rPr>
              <w:t>hange</w:t>
            </w:r>
          </w:p>
        </w:tc>
      </w:tr>
      <w:tr w:rsidR="0017018E" w:rsidRPr="00DB024D" w14:paraId="1BA93DF7" w14:textId="77777777" w:rsidTr="002A5FFC">
        <w:trPr>
          <w:trHeight w:val="300"/>
        </w:trPr>
        <w:tc>
          <w:tcPr>
            <w:tcW w:w="1668" w:type="pct"/>
            <w:shd w:val="clear" w:color="auto" w:fill="EDEDED"/>
            <w:noWrap/>
            <w:tcMar>
              <w:top w:w="0" w:type="dxa"/>
              <w:left w:w="108" w:type="dxa"/>
              <w:bottom w:w="0" w:type="dxa"/>
              <w:right w:w="108" w:type="dxa"/>
            </w:tcMar>
            <w:vAlign w:val="bottom"/>
            <w:hideMark/>
          </w:tcPr>
          <w:p w14:paraId="63603F34" w14:textId="77777777" w:rsidR="0017018E" w:rsidRPr="00DB024D" w:rsidRDefault="0017018E" w:rsidP="002A5FFC">
            <w:pPr>
              <w:pStyle w:val="TableText"/>
              <w:rPr>
                <w:rFonts w:eastAsiaTheme="minorHAnsi"/>
                <w:szCs w:val="18"/>
              </w:rPr>
            </w:pPr>
            <w:r w:rsidRPr="00DB024D">
              <w:rPr>
                <w:szCs w:val="18"/>
              </w:rPr>
              <w:t>Mining</w:t>
            </w:r>
          </w:p>
        </w:tc>
        <w:tc>
          <w:tcPr>
            <w:tcW w:w="898" w:type="pct"/>
            <w:shd w:val="clear" w:color="auto" w:fill="EDEDED"/>
            <w:noWrap/>
            <w:tcMar>
              <w:top w:w="0" w:type="dxa"/>
              <w:left w:w="108" w:type="dxa"/>
              <w:bottom w:w="0" w:type="dxa"/>
              <w:right w:w="108" w:type="dxa"/>
            </w:tcMar>
            <w:vAlign w:val="bottom"/>
            <w:hideMark/>
          </w:tcPr>
          <w:p w14:paraId="7E659A6C" w14:textId="77777777" w:rsidR="0017018E" w:rsidRPr="00DB024D" w:rsidRDefault="0017018E" w:rsidP="002A5FFC">
            <w:pPr>
              <w:pStyle w:val="TableText"/>
              <w:jc w:val="center"/>
              <w:rPr>
                <w:szCs w:val="18"/>
              </w:rPr>
            </w:pPr>
            <w:r w:rsidRPr="00DB024D">
              <w:rPr>
                <w:szCs w:val="18"/>
              </w:rPr>
              <w:t>0.8 (0.11%)</w:t>
            </w:r>
          </w:p>
        </w:tc>
        <w:tc>
          <w:tcPr>
            <w:tcW w:w="768" w:type="pct"/>
            <w:shd w:val="clear" w:color="auto" w:fill="EDEDED"/>
            <w:noWrap/>
            <w:tcMar>
              <w:top w:w="0" w:type="dxa"/>
              <w:left w:w="108" w:type="dxa"/>
              <w:bottom w:w="0" w:type="dxa"/>
              <w:right w:w="108" w:type="dxa"/>
            </w:tcMar>
            <w:vAlign w:val="bottom"/>
            <w:hideMark/>
          </w:tcPr>
          <w:p w14:paraId="1AE21261" w14:textId="77777777" w:rsidR="0017018E" w:rsidRPr="00DB024D" w:rsidRDefault="0017018E" w:rsidP="002A5FFC">
            <w:pPr>
              <w:pStyle w:val="TableText"/>
              <w:jc w:val="center"/>
              <w:rPr>
                <w:szCs w:val="18"/>
              </w:rPr>
            </w:pPr>
            <w:r w:rsidRPr="00DB024D">
              <w:rPr>
                <w:szCs w:val="18"/>
              </w:rPr>
              <w:t>2.5 (0.36%)</w:t>
            </w:r>
          </w:p>
        </w:tc>
        <w:tc>
          <w:tcPr>
            <w:tcW w:w="898" w:type="pct"/>
            <w:shd w:val="clear" w:color="auto" w:fill="EDEDED"/>
            <w:noWrap/>
            <w:tcMar>
              <w:top w:w="0" w:type="dxa"/>
              <w:left w:w="108" w:type="dxa"/>
              <w:bottom w:w="0" w:type="dxa"/>
              <w:right w:w="108" w:type="dxa"/>
            </w:tcMar>
            <w:vAlign w:val="bottom"/>
            <w:hideMark/>
          </w:tcPr>
          <w:p w14:paraId="6DE7D180" w14:textId="77777777" w:rsidR="0017018E" w:rsidRPr="00DB024D" w:rsidRDefault="0017018E" w:rsidP="002A5FFC">
            <w:pPr>
              <w:pStyle w:val="TableText"/>
              <w:jc w:val="center"/>
              <w:rPr>
                <w:szCs w:val="18"/>
              </w:rPr>
            </w:pPr>
            <w:r w:rsidRPr="00DB024D">
              <w:rPr>
                <w:szCs w:val="18"/>
              </w:rPr>
              <w:t>-4 (-0.6%)</w:t>
            </w:r>
          </w:p>
        </w:tc>
        <w:tc>
          <w:tcPr>
            <w:tcW w:w="768" w:type="pct"/>
            <w:shd w:val="clear" w:color="auto" w:fill="EDEDED"/>
            <w:noWrap/>
            <w:tcMar>
              <w:top w:w="0" w:type="dxa"/>
              <w:left w:w="108" w:type="dxa"/>
              <w:bottom w:w="0" w:type="dxa"/>
              <w:right w:w="108" w:type="dxa"/>
            </w:tcMar>
            <w:vAlign w:val="bottom"/>
            <w:hideMark/>
          </w:tcPr>
          <w:p w14:paraId="715D1987" w14:textId="77777777" w:rsidR="0017018E" w:rsidRPr="00DB024D" w:rsidRDefault="0017018E" w:rsidP="002A5FFC">
            <w:pPr>
              <w:pStyle w:val="TableText"/>
              <w:jc w:val="center"/>
              <w:rPr>
                <w:szCs w:val="18"/>
              </w:rPr>
            </w:pPr>
            <w:r w:rsidRPr="00DB024D">
              <w:rPr>
                <w:szCs w:val="18"/>
              </w:rPr>
              <w:t>-3 (-0.4%)</w:t>
            </w:r>
          </w:p>
        </w:tc>
      </w:tr>
      <w:tr w:rsidR="0017018E" w:rsidRPr="00DB024D" w14:paraId="4DE92B9E" w14:textId="77777777" w:rsidTr="002A5FFC">
        <w:trPr>
          <w:trHeight w:val="300"/>
        </w:trPr>
        <w:tc>
          <w:tcPr>
            <w:tcW w:w="1668" w:type="pct"/>
            <w:noWrap/>
            <w:tcMar>
              <w:top w:w="0" w:type="dxa"/>
              <w:left w:w="108" w:type="dxa"/>
              <w:bottom w:w="0" w:type="dxa"/>
              <w:right w:w="108" w:type="dxa"/>
            </w:tcMar>
            <w:vAlign w:val="bottom"/>
            <w:hideMark/>
          </w:tcPr>
          <w:p w14:paraId="46BAF230" w14:textId="77777777" w:rsidR="0017018E" w:rsidRPr="00DB024D" w:rsidRDefault="0017018E" w:rsidP="002A5FFC">
            <w:pPr>
              <w:pStyle w:val="TableText"/>
              <w:rPr>
                <w:rFonts w:eastAsiaTheme="minorHAnsi"/>
                <w:szCs w:val="18"/>
              </w:rPr>
            </w:pPr>
            <w:r w:rsidRPr="00DB024D">
              <w:rPr>
                <w:szCs w:val="18"/>
              </w:rPr>
              <w:t>Manufacturing</w:t>
            </w:r>
          </w:p>
        </w:tc>
        <w:tc>
          <w:tcPr>
            <w:tcW w:w="898" w:type="pct"/>
            <w:noWrap/>
            <w:tcMar>
              <w:top w:w="0" w:type="dxa"/>
              <w:left w:w="108" w:type="dxa"/>
              <w:bottom w:w="0" w:type="dxa"/>
              <w:right w:w="108" w:type="dxa"/>
            </w:tcMar>
            <w:vAlign w:val="bottom"/>
            <w:hideMark/>
          </w:tcPr>
          <w:p w14:paraId="0CEA03E4" w14:textId="77777777" w:rsidR="0017018E" w:rsidRPr="00DB024D" w:rsidRDefault="0017018E" w:rsidP="002A5FFC">
            <w:pPr>
              <w:pStyle w:val="TableText"/>
              <w:jc w:val="center"/>
              <w:rPr>
                <w:szCs w:val="18"/>
              </w:rPr>
            </w:pPr>
            <w:r w:rsidRPr="00DB024D">
              <w:rPr>
                <w:szCs w:val="18"/>
              </w:rPr>
              <w:t>4.2 (0.28%)</w:t>
            </w:r>
          </w:p>
        </w:tc>
        <w:tc>
          <w:tcPr>
            <w:tcW w:w="768" w:type="pct"/>
            <w:noWrap/>
            <w:tcMar>
              <w:top w:w="0" w:type="dxa"/>
              <w:left w:w="108" w:type="dxa"/>
              <w:bottom w:w="0" w:type="dxa"/>
              <w:right w:w="108" w:type="dxa"/>
            </w:tcMar>
            <w:vAlign w:val="bottom"/>
            <w:hideMark/>
          </w:tcPr>
          <w:p w14:paraId="08A3FD40" w14:textId="77777777" w:rsidR="0017018E" w:rsidRPr="00DB024D" w:rsidRDefault="0017018E" w:rsidP="002A5FFC">
            <w:pPr>
              <w:pStyle w:val="TableText"/>
              <w:jc w:val="center"/>
              <w:rPr>
                <w:szCs w:val="18"/>
              </w:rPr>
            </w:pPr>
            <w:r w:rsidRPr="00DB024D">
              <w:rPr>
                <w:szCs w:val="18"/>
              </w:rPr>
              <w:t>10.1 (0.68%)</w:t>
            </w:r>
          </w:p>
        </w:tc>
        <w:tc>
          <w:tcPr>
            <w:tcW w:w="898" w:type="pct"/>
            <w:noWrap/>
            <w:tcMar>
              <w:top w:w="0" w:type="dxa"/>
              <w:left w:w="108" w:type="dxa"/>
              <w:bottom w:w="0" w:type="dxa"/>
              <w:right w:w="108" w:type="dxa"/>
            </w:tcMar>
            <w:vAlign w:val="bottom"/>
            <w:hideMark/>
          </w:tcPr>
          <w:p w14:paraId="1637354D" w14:textId="77777777" w:rsidR="0017018E" w:rsidRPr="00DB024D" w:rsidRDefault="0017018E" w:rsidP="002A5FFC">
            <w:pPr>
              <w:pStyle w:val="TableText"/>
              <w:jc w:val="center"/>
              <w:rPr>
                <w:szCs w:val="18"/>
              </w:rPr>
            </w:pPr>
            <w:r w:rsidRPr="00DB024D">
              <w:rPr>
                <w:szCs w:val="18"/>
              </w:rPr>
              <w:t>-59 (-8.2%)</w:t>
            </w:r>
          </w:p>
        </w:tc>
        <w:tc>
          <w:tcPr>
            <w:tcW w:w="768" w:type="pct"/>
            <w:noWrap/>
            <w:tcMar>
              <w:top w:w="0" w:type="dxa"/>
              <w:left w:w="108" w:type="dxa"/>
              <w:bottom w:w="0" w:type="dxa"/>
              <w:right w:w="108" w:type="dxa"/>
            </w:tcMar>
            <w:vAlign w:val="bottom"/>
            <w:hideMark/>
          </w:tcPr>
          <w:p w14:paraId="5F049586" w14:textId="77777777" w:rsidR="0017018E" w:rsidRPr="00DB024D" w:rsidRDefault="0017018E" w:rsidP="002A5FFC">
            <w:pPr>
              <w:pStyle w:val="TableText"/>
              <w:jc w:val="center"/>
              <w:rPr>
                <w:szCs w:val="18"/>
              </w:rPr>
            </w:pPr>
            <w:r w:rsidRPr="00DB024D">
              <w:rPr>
                <w:szCs w:val="18"/>
              </w:rPr>
              <w:t>-46 (-6.4%)</w:t>
            </w:r>
          </w:p>
        </w:tc>
      </w:tr>
      <w:tr w:rsidR="0017018E" w:rsidRPr="00DB024D" w14:paraId="7BB01627" w14:textId="77777777" w:rsidTr="002A5FFC">
        <w:trPr>
          <w:trHeight w:val="300"/>
        </w:trPr>
        <w:tc>
          <w:tcPr>
            <w:tcW w:w="1668" w:type="pct"/>
            <w:shd w:val="clear" w:color="auto" w:fill="EDEDED"/>
            <w:noWrap/>
            <w:tcMar>
              <w:top w:w="0" w:type="dxa"/>
              <w:left w:w="108" w:type="dxa"/>
              <w:bottom w:w="0" w:type="dxa"/>
              <w:right w:w="108" w:type="dxa"/>
            </w:tcMar>
            <w:vAlign w:val="bottom"/>
            <w:hideMark/>
          </w:tcPr>
          <w:p w14:paraId="053B227F" w14:textId="77777777" w:rsidR="0017018E" w:rsidRPr="00DB024D" w:rsidRDefault="0017018E" w:rsidP="002A5FFC">
            <w:pPr>
              <w:pStyle w:val="TableText"/>
              <w:rPr>
                <w:rFonts w:eastAsiaTheme="minorHAnsi"/>
                <w:szCs w:val="18"/>
              </w:rPr>
            </w:pPr>
            <w:r w:rsidRPr="00DB024D">
              <w:rPr>
                <w:szCs w:val="18"/>
              </w:rPr>
              <w:t>Construction</w:t>
            </w:r>
          </w:p>
        </w:tc>
        <w:tc>
          <w:tcPr>
            <w:tcW w:w="898" w:type="pct"/>
            <w:shd w:val="clear" w:color="auto" w:fill="EDEDED"/>
            <w:noWrap/>
            <w:tcMar>
              <w:top w:w="0" w:type="dxa"/>
              <w:left w:w="108" w:type="dxa"/>
              <w:bottom w:w="0" w:type="dxa"/>
              <w:right w:w="108" w:type="dxa"/>
            </w:tcMar>
            <w:vAlign w:val="bottom"/>
            <w:hideMark/>
          </w:tcPr>
          <w:p w14:paraId="48A70A4C" w14:textId="77777777" w:rsidR="0017018E" w:rsidRPr="00DB024D" w:rsidRDefault="0017018E" w:rsidP="002A5FFC">
            <w:pPr>
              <w:pStyle w:val="TableText"/>
              <w:jc w:val="center"/>
              <w:rPr>
                <w:szCs w:val="18"/>
              </w:rPr>
            </w:pPr>
            <w:r w:rsidRPr="00DB024D">
              <w:rPr>
                <w:szCs w:val="18"/>
              </w:rPr>
              <w:t>0.0 (0.10%)</w:t>
            </w:r>
          </w:p>
        </w:tc>
        <w:tc>
          <w:tcPr>
            <w:tcW w:w="768" w:type="pct"/>
            <w:shd w:val="clear" w:color="auto" w:fill="EDEDED"/>
            <w:noWrap/>
            <w:tcMar>
              <w:top w:w="0" w:type="dxa"/>
              <w:left w:w="108" w:type="dxa"/>
              <w:bottom w:w="0" w:type="dxa"/>
              <w:right w:w="108" w:type="dxa"/>
            </w:tcMar>
            <w:vAlign w:val="bottom"/>
            <w:hideMark/>
          </w:tcPr>
          <w:p w14:paraId="4B42ED3C" w14:textId="77777777" w:rsidR="0017018E" w:rsidRPr="00DB024D" w:rsidRDefault="0017018E" w:rsidP="002A5FFC">
            <w:pPr>
              <w:pStyle w:val="TableText"/>
              <w:jc w:val="center"/>
              <w:rPr>
                <w:szCs w:val="18"/>
              </w:rPr>
            </w:pPr>
            <w:r w:rsidRPr="00DB024D">
              <w:rPr>
                <w:szCs w:val="18"/>
              </w:rPr>
              <w:t>0.3 (1.2%)</w:t>
            </w:r>
          </w:p>
        </w:tc>
        <w:tc>
          <w:tcPr>
            <w:tcW w:w="898" w:type="pct"/>
            <w:shd w:val="clear" w:color="auto" w:fill="EDEDED"/>
            <w:noWrap/>
            <w:tcMar>
              <w:top w:w="0" w:type="dxa"/>
              <w:left w:w="108" w:type="dxa"/>
              <w:bottom w:w="0" w:type="dxa"/>
              <w:right w:w="108" w:type="dxa"/>
            </w:tcMar>
            <w:vAlign w:val="bottom"/>
            <w:hideMark/>
          </w:tcPr>
          <w:p w14:paraId="6193F8A7" w14:textId="77777777" w:rsidR="0017018E" w:rsidRPr="00DB024D" w:rsidRDefault="0017018E" w:rsidP="002A5FFC">
            <w:pPr>
              <w:pStyle w:val="TableText"/>
              <w:jc w:val="center"/>
              <w:rPr>
                <w:szCs w:val="18"/>
              </w:rPr>
            </w:pPr>
            <w:r w:rsidRPr="00DB024D">
              <w:rPr>
                <w:szCs w:val="18"/>
              </w:rPr>
              <w:t>2 (7.7%)</w:t>
            </w:r>
          </w:p>
        </w:tc>
        <w:tc>
          <w:tcPr>
            <w:tcW w:w="768" w:type="pct"/>
            <w:shd w:val="clear" w:color="auto" w:fill="EDEDED"/>
            <w:noWrap/>
            <w:tcMar>
              <w:top w:w="0" w:type="dxa"/>
              <w:left w:w="108" w:type="dxa"/>
              <w:bottom w:w="0" w:type="dxa"/>
              <w:right w:w="108" w:type="dxa"/>
            </w:tcMar>
            <w:vAlign w:val="bottom"/>
            <w:hideMark/>
          </w:tcPr>
          <w:p w14:paraId="04B7010E" w14:textId="77777777" w:rsidR="0017018E" w:rsidRPr="00DB024D" w:rsidRDefault="0017018E" w:rsidP="002A5FFC">
            <w:pPr>
              <w:pStyle w:val="TableText"/>
              <w:jc w:val="center"/>
              <w:rPr>
                <w:szCs w:val="18"/>
              </w:rPr>
            </w:pPr>
            <w:r w:rsidRPr="00DB024D">
              <w:rPr>
                <w:szCs w:val="18"/>
              </w:rPr>
              <w:t>2 (7.7%)</w:t>
            </w:r>
          </w:p>
        </w:tc>
      </w:tr>
      <w:tr w:rsidR="0017018E" w:rsidRPr="00DB024D" w14:paraId="3A3E86AC" w14:textId="77777777" w:rsidTr="002A5FFC">
        <w:trPr>
          <w:trHeight w:val="300"/>
        </w:trPr>
        <w:tc>
          <w:tcPr>
            <w:tcW w:w="1668" w:type="pct"/>
            <w:noWrap/>
            <w:tcMar>
              <w:top w:w="0" w:type="dxa"/>
              <w:left w:w="108" w:type="dxa"/>
              <w:bottom w:w="0" w:type="dxa"/>
              <w:right w:w="108" w:type="dxa"/>
            </w:tcMar>
            <w:vAlign w:val="bottom"/>
            <w:hideMark/>
          </w:tcPr>
          <w:p w14:paraId="2D4ECC7B" w14:textId="77777777" w:rsidR="0017018E" w:rsidRPr="00DB024D" w:rsidRDefault="0017018E" w:rsidP="002A5FFC">
            <w:pPr>
              <w:pStyle w:val="TableText"/>
              <w:rPr>
                <w:rFonts w:eastAsiaTheme="minorHAnsi"/>
                <w:szCs w:val="18"/>
              </w:rPr>
            </w:pPr>
            <w:r w:rsidRPr="00DB024D">
              <w:rPr>
                <w:szCs w:val="18"/>
              </w:rPr>
              <w:t>Transport</w:t>
            </w:r>
          </w:p>
        </w:tc>
        <w:tc>
          <w:tcPr>
            <w:tcW w:w="898" w:type="pct"/>
            <w:noWrap/>
            <w:tcMar>
              <w:top w:w="0" w:type="dxa"/>
              <w:left w:w="108" w:type="dxa"/>
              <w:bottom w:w="0" w:type="dxa"/>
              <w:right w:w="108" w:type="dxa"/>
            </w:tcMar>
            <w:vAlign w:val="bottom"/>
            <w:hideMark/>
          </w:tcPr>
          <w:p w14:paraId="43075D54" w14:textId="77777777" w:rsidR="0017018E" w:rsidRPr="00DB024D" w:rsidRDefault="0017018E" w:rsidP="002A5FFC">
            <w:pPr>
              <w:pStyle w:val="TableText"/>
              <w:jc w:val="center"/>
              <w:rPr>
                <w:szCs w:val="18"/>
              </w:rPr>
            </w:pPr>
            <w:r w:rsidRPr="00DB024D">
              <w:rPr>
                <w:szCs w:val="18"/>
              </w:rPr>
              <w:t>3.4 (0.18%)</w:t>
            </w:r>
          </w:p>
        </w:tc>
        <w:tc>
          <w:tcPr>
            <w:tcW w:w="768" w:type="pct"/>
            <w:noWrap/>
            <w:tcMar>
              <w:top w:w="0" w:type="dxa"/>
              <w:left w:w="108" w:type="dxa"/>
              <w:bottom w:w="0" w:type="dxa"/>
              <w:right w:w="108" w:type="dxa"/>
            </w:tcMar>
            <w:vAlign w:val="bottom"/>
            <w:hideMark/>
          </w:tcPr>
          <w:p w14:paraId="0C9446C5" w14:textId="77777777" w:rsidR="0017018E" w:rsidRPr="00DB024D" w:rsidRDefault="0017018E" w:rsidP="002A5FFC">
            <w:pPr>
              <w:pStyle w:val="TableText"/>
              <w:jc w:val="center"/>
              <w:rPr>
                <w:szCs w:val="18"/>
              </w:rPr>
            </w:pPr>
            <w:r w:rsidRPr="00DB024D">
              <w:rPr>
                <w:szCs w:val="18"/>
              </w:rPr>
              <w:t>100.8 (5.3%)</w:t>
            </w:r>
          </w:p>
        </w:tc>
        <w:tc>
          <w:tcPr>
            <w:tcW w:w="898" w:type="pct"/>
            <w:noWrap/>
            <w:tcMar>
              <w:top w:w="0" w:type="dxa"/>
              <w:left w:w="108" w:type="dxa"/>
              <w:bottom w:w="0" w:type="dxa"/>
              <w:right w:w="108" w:type="dxa"/>
            </w:tcMar>
            <w:vAlign w:val="bottom"/>
            <w:hideMark/>
          </w:tcPr>
          <w:p w14:paraId="2F6BB295" w14:textId="77777777" w:rsidR="0017018E" w:rsidRPr="00DB024D" w:rsidRDefault="0017018E" w:rsidP="002A5FFC">
            <w:pPr>
              <w:pStyle w:val="TableText"/>
              <w:jc w:val="center"/>
              <w:rPr>
                <w:szCs w:val="18"/>
              </w:rPr>
            </w:pPr>
            <w:r w:rsidRPr="00DB024D">
              <w:rPr>
                <w:szCs w:val="18"/>
              </w:rPr>
              <w:t>0 (0%)</w:t>
            </w:r>
          </w:p>
        </w:tc>
        <w:tc>
          <w:tcPr>
            <w:tcW w:w="768" w:type="pct"/>
            <w:noWrap/>
            <w:tcMar>
              <w:top w:w="0" w:type="dxa"/>
              <w:left w:w="108" w:type="dxa"/>
              <w:bottom w:w="0" w:type="dxa"/>
              <w:right w:w="108" w:type="dxa"/>
            </w:tcMar>
            <w:vAlign w:val="bottom"/>
            <w:hideMark/>
          </w:tcPr>
          <w:p w14:paraId="51AECEC0" w14:textId="77777777" w:rsidR="0017018E" w:rsidRPr="00DB024D" w:rsidRDefault="0017018E" w:rsidP="002A5FFC">
            <w:pPr>
              <w:pStyle w:val="TableText"/>
              <w:jc w:val="center"/>
              <w:rPr>
                <w:szCs w:val="18"/>
              </w:rPr>
            </w:pPr>
            <w:r w:rsidRPr="00DB024D">
              <w:rPr>
                <w:szCs w:val="18"/>
              </w:rPr>
              <w:t>0 (0%)</w:t>
            </w:r>
          </w:p>
        </w:tc>
      </w:tr>
      <w:tr w:rsidR="0017018E" w:rsidRPr="00DB024D" w14:paraId="25655736" w14:textId="77777777" w:rsidTr="002A5FFC">
        <w:trPr>
          <w:trHeight w:val="300"/>
        </w:trPr>
        <w:tc>
          <w:tcPr>
            <w:tcW w:w="1668" w:type="pct"/>
            <w:shd w:val="clear" w:color="auto" w:fill="EDEDED"/>
            <w:noWrap/>
            <w:tcMar>
              <w:top w:w="0" w:type="dxa"/>
              <w:left w:w="108" w:type="dxa"/>
              <w:bottom w:w="0" w:type="dxa"/>
              <w:right w:w="108" w:type="dxa"/>
            </w:tcMar>
            <w:vAlign w:val="bottom"/>
            <w:hideMark/>
          </w:tcPr>
          <w:p w14:paraId="0BC1560B" w14:textId="7B87EEA1" w:rsidR="0017018E" w:rsidRPr="00DB024D" w:rsidRDefault="0017018E" w:rsidP="002A5FFC">
            <w:pPr>
              <w:pStyle w:val="TableText"/>
              <w:rPr>
                <w:rFonts w:eastAsiaTheme="minorHAnsi"/>
                <w:szCs w:val="18"/>
              </w:rPr>
            </w:pPr>
            <w:r w:rsidRPr="00DB024D">
              <w:rPr>
                <w:szCs w:val="18"/>
              </w:rPr>
              <w:t xml:space="preserve">Commercial and </w:t>
            </w:r>
            <w:r w:rsidR="0069045A">
              <w:rPr>
                <w:szCs w:val="18"/>
              </w:rPr>
              <w:t>s</w:t>
            </w:r>
            <w:r w:rsidRPr="00DB024D">
              <w:rPr>
                <w:szCs w:val="18"/>
              </w:rPr>
              <w:t>ervices</w:t>
            </w:r>
          </w:p>
        </w:tc>
        <w:tc>
          <w:tcPr>
            <w:tcW w:w="898" w:type="pct"/>
            <w:shd w:val="clear" w:color="auto" w:fill="EDEDED"/>
            <w:noWrap/>
            <w:tcMar>
              <w:top w:w="0" w:type="dxa"/>
              <w:left w:w="108" w:type="dxa"/>
              <w:bottom w:w="0" w:type="dxa"/>
              <w:right w:w="108" w:type="dxa"/>
            </w:tcMar>
            <w:vAlign w:val="bottom"/>
            <w:hideMark/>
          </w:tcPr>
          <w:p w14:paraId="130EAA82" w14:textId="77777777" w:rsidR="0017018E" w:rsidRPr="00DB024D" w:rsidRDefault="0017018E" w:rsidP="002A5FFC">
            <w:pPr>
              <w:pStyle w:val="TableText"/>
              <w:jc w:val="center"/>
              <w:rPr>
                <w:szCs w:val="18"/>
              </w:rPr>
            </w:pPr>
            <w:r w:rsidRPr="00DB024D">
              <w:rPr>
                <w:szCs w:val="18"/>
              </w:rPr>
              <w:t>0.0 (0%)</w:t>
            </w:r>
          </w:p>
        </w:tc>
        <w:tc>
          <w:tcPr>
            <w:tcW w:w="768" w:type="pct"/>
            <w:shd w:val="clear" w:color="auto" w:fill="EDEDED"/>
            <w:noWrap/>
            <w:tcMar>
              <w:top w:w="0" w:type="dxa"/>
              <w:left w:w="108" w:type="dxa"/>
              <w:bottom w:w="0" w:type="dxa"/>
              <w:right w:w="108" w:type="dxa"/>
            </w:tcMar>
            <w:vAlign w:val="bottom"/>
            <w:hideMark/>
          </w:tcPr>
          <w:p w14:paraId="34AFEDC8" w14:textId="77777777" w:rsidR="0017018E" w:rsidRPr="00DB024D" w:rsidRDefault="0017018E" w:rsidP="002A5FFC">
            <w:pPr>
              <w:pStyle w:val="TableText"/>
              <w:jc w:val="center"/>
              <w:rPr>
                <w:szCs w:val="18"/>
              </w:rPr>
            </w:pPr>
            <w:r w:rsidRPr="00DB024D">
              <w:rPr>
                <w:szCs w:val="18"/>
              </w:rPr>
              <w:t>6.4 (1.7%)</w:t>
            </w:r>
          </w:p>
        </w:tc>
        <w:tc>
          <w:tcPr>
            <w:tcW w:w="898" w:type="pct"/>
            <w:shd w:val="clear" w:color="auto" w:fill="EDEDED"/>
            <w:noWrap/>
            <w:tcMar>
              <w:top w:w="0" w:type="dxa"/>
              <w:left w:w="108" w:type="dxa"/>
              <w:bottom w:w="0" w:type="dxa"/>
              <w:right w:w="108" w:type="dxa"/>
            </w:tcMar>
            <w:vAlign w:val="bottom"/>
            <w:hideMark/>
          </w:tcPr>
          <w:p w14:paraId="5C41E01B" w14:textId="77777777" w:rsidR="0017018E" w:rsidRPr="00DB024D" w:rsidRDefault="0017018E" w:rsidP="002A5FFC">
            <w:pPr>
              <w:pStyle w:val="TableText"/>
              <w:jc w:val="center"/>
              <w:rPr>
                <w:szCs w:val="18"/>
              </w:rPr>
            </w:pPr>
            <w:r w:rsidRPr="00DB024D">
              <w:rPr>
                <w:szCs w:val="18"/>
              </w:rPr>
              <w:t>129 (8.51%)</w:t>
            </w:r>
          </w:p>
        </w:tc>
        <w:tc>
          <w:tcPr>
            <w:tcW w:w="768" w:type="pct"/>
            <w:shd w:val="clear" w:color="auto" w:fill="EDEDED"/>
            <w:noWrap/>
            <w:tcMar>
              <w:top w:w="0" w:type="dxa"/>
              <w:left w:w="108" w:type="dxa"/>
              <w:bottom w:w="0" w:type="dxa"/>
              <w:right w:w="108" w:type="dxa"/>
            </w:tcMar>
            <w:vAlign w:val="bottom"/>
            <w:hideMark/>
          </w:tcPr>
          <w:p w14:paraId="663F4C77" w14:textId="77777777" w:rsidR="0017018E" w:rsidRPr="00DB024D" w:rsidRDefault="0017018E" w:rsidP="002A5FFC">
            <w:pPr>
              <w:pStyle w:val="TableText"/>
              <w:jc w:val="center"/>
              <w:rPr>
                <w:szCs w:val="18"/>
              </w:rPr>
            </w:pPr>
            <w:r w:rsidRPr="00DB024D">
              <w:rPr>
                <w:szCs w:val="18"/>
              </w:rPr>
              <w:t>165 (10.9%)</w:t>
            </w:r>
          </w:p>
        </w:tc>
      </w:tr>
      <w:tr w:rsidR="0017018E" w:rsidRPr="00DB024D" w14:paraId="5B31AD07" w14:textId="77777777" w:rsidTr="002A5FFC">
        <w:trPr>
          <w:trHeight w:val="300"/>
        </w:trPr>
        <w:tc>
          <w:tcPr>
            <w:tcW w:w="1668" w:type="pct"/>
            <w:noWrap/>
            <w:tcMar>
              <w:top w:w="0" w:type="dxa"/>
              <w:left w:w="108" w:type="dxa"/>
              <w:bottom w:w="0" w:type="dxa"/>
              <w:right w:w="108" w:type="dxa"/>
            </w:tcMar>
            <w:vAlign w:val="bottom"/>
            <w:hideMark/>
          </w:tcPr>
          <w:p w14:paraId="3BCF6E43" w14:textId="77777777" w:rsidR="0017018E" w:rsidRPr="00DB024D" w:rsidRDefault="0017018E" w:rsidP="002A5FFC">
            <w:pPr>
              <w:pStyle w:val="TableText"/>
              <w:rPr>
                <w:rFonts w:eastAsiaTheme="minorHAnsi"/>
                <w:szCs w:val="18"/>
              </w:rPr>
            </w:pPr>
            <w:r w:rsidRPr="00DB024D">
              <w:rPr>
                <w:rFonts w:eastAsiaTheme="minorHAnsi"/>
                <w:szCs w:val="18"/>
              </w:rPr>
              <w:t>Residential</w:t>
            </w:r>
          </w:p>
        </w:tc>
        <w:tc>
          <w:tcPr>
            <w:tcW w:w="898" w:type="pct"/>
            <w:noWrap/>
            <w:tcMar>
              <w:top w:w="0" w:type="dxa"/>
              <w:left w:w="108" w:type="dxa"/>
              <w:bottom w:w="0" w:type="dxa"/>
              <w:right w:w="108" w:type="dxa"/>
            </w:tcMar>
            <w:vAlign w:val="bottom"/>
            <w:hideMark/>
          </w:tcPr>
          <w:p w14:paraId="1FC5CA4C" w14:textId="77777777" w:rsidR="0017018E" w:rsidRPr="00DB024D" w:rsidRDefault="0017018E" w:rsidP="002A5FFC">
            <w:pPr>
              <w:pStyle w:val="TableText"/>
              <w:jc w:val="center"/>
              <w:rPr>
                <w:szCs w:val="18"/>
              </w:rPr>
            </w:pPr>
            <w:r w:rsidRPr="00DB024D">
              <w:rPr>
                <w:szCs w:val="18"/>
              </w:rPr>
              <w:t>5.3 (0.96%)</w:t>
            </w:r>
          </w:p>
        </w:tc>
        <w:tc>
          <w:tcPr>
            <w:tcW w:w="768" w:type="pct"/>
            <w:noWrap/>
            <w:tcMar>
              <w:top w:w="0" w:type="dxa"/>
              <w:left w:w="108" w:type="dxa"/>
              <w:bottom w:w="0" w:type="dxa"/>
              <w:right w:w="108" w:type="dxa"/>
            </w:tcMar>
            <w:vAlign w:val="bottom"/>
            <w:hideMark/>
          </w:tcPr>
          <w:p w14:paraId="01EE83CE" w14:textId="77777777" w:rsidR="0017018E" w:rsidRPr="00DB024D" w:rsidRDefault="0017018E" w:rsidP="002A5FFC">
            <w:pPr>
              <w:pStyle w:val="TableText"/>
              <w:jc w:val="center"/>
              <w:rPr>
                <w:szCs w:val="18"/>
              </w:rPr>
            </w:pPr>
            <w:r w:rsidRPr="00DB024D">
              <w:rPr>
                <w:szCs w:val="18"/>
              </w:rPr>
              <w:t>21.1 (3.8%)</w:t>
            </w:r>
          </w:p>
        </w:tc>
        <w:tc>
          <w:tcPr>
            <w:tcW w:w="898" w:type="pct"/>
            <w:noWrap/>
            <w:tcMar>
              <w:top w:w="0" w:type="dxa"/>
              <w:left w:w="108" w:type="dxa"/>
              <w:bottom w:w="0" w:type="dxa"/>
              <w:right w:w="108" w:type="dxa"/>
            </w:tcMar>
            <w:vAlign w:val="bottom"/>
            <w:hideMark/>
          </w:tcPr>
          <w:p w14:paraId="3643202C" w14:textId="77777777" w:rsidR="0017018E" w:rsidRPr="00DB024D" w:rsidRDefault="0017018E" w:rsidP="002A5FFC">
            <w:pPr>
              <w:pStyle w:val="TableText"/>
              <w:jc w:val="center"/>
              <w:rPr>
                <w:szCs w:val="18"/>
              </w:rPr>
            </w:pPr>
            <w:r w:rsidRPr="00DB024D">
              <w:rPr>
                <w:szCs w:val="18"/>
              </w:rPr>
              <w:t>634 (30.6%)</w:t>
            </w:r>
          </w:p>
        </w:tc>
        <w:tc>
          <w:tcPr>
            <w:tcW w:w="768" w:type="pct"/>
            <w:noWrap/>
            <w:tcMar>
              <w:top w:w="0" w:type="dxa"/>
              <w:left w:w="108" w:type="dxa"/>
              <w:bottom w:w="0" w:type="dxa"/>
              <w:right w:w="108" w:type="dxa"/>
            </w:tcMar>
            <w:vAlign w:val="bottom"/>
            <w:hideMark/>
          </w:tcPr>
          <w:p w14:paraId="48360384" w14:textId="77777777" w:rsidR="0017018E" w:rsidRPr="00DB024D" w:rsidRDefault="0017018E" w:rsidP="002A5FFC">
            <w:pPr>
              <w:pStyle w:val="TableText"/>
              <w:jc w:val="center"/>
              <w:rPr>
                <w:szCs w:val="18"/>
              </w:rPr>
            </w:pPr>
            <w:r w:rsidRPr="00DB024D">
              <w:rPr>
                <w:szCs w:val="18"/>
              </w:rPr>
              <w:t>843 (40.7%)</w:t>
            </w:r>
          </w:p>
        </w:tc>
      </w:tr>
      <w:tr w:rsidR="0017018E" w:rsidRPr="00DB024D" w14:paraId="43902BD2" w14:textId="77777777" w:rsidTr="002A5FFC">
        <w:trPr>
          <w:trHeight w:val="300"/>
        </w:trPr>
        <w:tc>
          <w:tcPr>
            <w:tcW w:w="1668" w:type="pct"/>
            <w:shd w:val="clear" w:color="auto" w:fill="EDEDED"/>
            <w:noWrap/>
            <w:tcMar>
              <w:top w:w="0" w:type="dxa"/>
              <w:left w:w="108" w:type="dxa"/>
              <w:bottom w:w="0" w:type="dxa"/>
              <w:right w:w="108" w:type="dxa"/>
            </w:tcMar>
            <w:vAlign w:val="bottom"/>
            <w:hideMark/>
          </w:tcPr>
          <w:p w14:paraId="1BC7C9BA" w14:textId="77777777" w:rsidR="0017018E" w:rsidRPr="00DB024D" w:rsidRDefault="0017018E" w:rsidP="002A5FFC">
            <w:pPr>
              <w:pStyle w:val="TableText"/>
              <w:rPr>
                <w:rFonts w:eastAsiaTheme="minorHAnsi"/>
                <w:szCs w:val="18"/>
              </w:rPr>
            </w:pPr>
            <w:r w:rsidRPr="00DB024D">
              <w:rPr>
                <w:szCs w:val="18"/>
              </w:rPr>
              <w:t>Water supply and waste services</w:t>
            </w:r>
          </w:p>
        </w:tc>
        <w:tc>
          <w:tcPr>
            <w:tcW w:w="898" w:type="pct"/>
            <w:shd w:val="clear" w:color="auto" w:fill="EDEDED"/>
            <w:noWrap/>
            <w:tcMar>
              <w:top w:w="0" w:type="dxa"/>
              <w:left w:w="108" w:type="dxa"/>
              <w:bottom w:w="0" w:type="dxa"/>
              <w:right w:w="108" w:type="dxa"/>
            </w:tcMar>
            <w:vAlign w:val="bottom"/>
            <w:hideMark/>
          </w:tcPr>
          <w:p w14:paraId="5A92926D" w14:textId="77777777" w:rsidR="0017018E" w:rsidRPr="00DB024D" w:rsidRDefault="0017018E" w:rsidP="002A5FFC">
            <w:pPr>
              <w:pStyle w:val="TableText"/>
              <w:jc w:val="center"/>
              <w:rPr>
                <w:szCs w:val="18"/>
              </w:rPr>
            </w:pPr>
            <w:r w:rsidRPr="00DB024D">
              <w:rPr>
                <w:szCs w:val="18"/>
              </w:rPr>
              <w:t>0.0 (0.13%)</w:t>
            </w:r>
          </w:p>
        </w:tc>
        <w:tc>
          <w:tcPr>
            <w:tcW w:w="768" w:type="pct"/>
            <w:shd w:val="clear" w:color="auto" w:fill="EDEDED"/>
            <w:noWrap/>
            <w:tcMar>
              <w:top w:w="0" w:type="dxa"/>
              <w:left w:w="108" w:type="dxa"/>
              <w:bottom w:w="0" w:type="dxa"/>
              <w:right w:w="108" w:type="dxa"/>
            </w:tcMar>
            <w:vAlign w:val="bottom"/>
            <w:hideMark/>
          </w:tcPr>
          <w:p w14:paraId="44083FBB" w14:textId="77777777" w:rsidR="0017018E" w:rsidRPr="00DB024D" w:rsidRDefault="0017018E" w:rsidP="002A5FFC">
            <w:pPr>
              <w:pStyle w:val="TableText"/>
              <w:jc w:val="center"/>
              <w:rPr>
                <w:szCs w:val="18"/>
              </w:rPr>
            </w:pPr>
            <w:r w:rsidRPr="00DB024D">
              <w:rPr>
                <w:szCs w:val="18"/>
              </w:rPr>
              <w:t>0.04 (~0%)</w:t>
            </w:r>
          </w:p>
        </w:tc>
        <w:tc>
          <w:tcPr>
            <w:tcW w:w="898" w:type="pct"/>
            <w:shd w:val="clear" w:color="auto" w:fill="EDEDED"/>
            <w:noWrap/>
            <w:tcMar>
              <w:top w:w="0" w:type="dxa"/>
              <w:left w:w="108" w:type="dxa"/>
              <w:bottom w:w="0" w:type="dxa"/>
              <w:right w:w="108" w:type="dxa"/>
            </w:tcMar>
            <w:vAlign w:val="bottom"/>
            <w:hideMark/>
          </w:tcPr>
          <w:p w14:paraId="0B81C480" w14:textId="77777777" w:rsidR="0017018E" w:rsidRPr="00DB024D" w:rsidRDefault="0017018E" w:rsidP="002A5FFC">
            <w:pPr>
              <w:pStyle w:val="TableText"/>
              <w:jc w:val="center"/>
              <w:rPr>
                <w:szCs w:val="18"/>
              </w:rPr>
            </w:pPr>
            <w:r w:rsidRPr="00DB024D">
              <w:rPr>
                <w:szCs w:val="18"/>
              </w:rPr>
              <w:t>435 (26.7%)</w:t>
            </w:r>
          </w:p>
        </w:tc>
        <w:tc>
          <w:tcPr>
            <w:tcW w:w="768" w:type="pct"/>
            <w:shd w:val="clear" w:color="auto" w:fill="EDEDED"/>
            <w:noWrap/>
            <w:tcMar>
              <w:top w:w="0" w:type="dxa"/>
              <w:left w:w="108" w:type="dxa"/>
              <w:bottom w:w="0" w:type="dxa"/>
              <w:right w:w="108" w:type="dxa"/>
            </w:tcMar>
            <w:vAlign w:val="bottom"/>
            <w:hideMark/>
          </w:tcPr>
          <w:p w14:paraId="0C5C14A1" w14:textId="77777777" w:rsidR="0017018E" w:rsidRPr="00DB024D" w:rsidRDefault="0017018E" w:rsidP="002A5FFC">
            <w:pPr>
              <w:pStyle w:val="TableText"/>
              <w:jc w:val="center"/>
              <w:rPr>
                <w:szCs w:val="18"/>
              </w:rPr>
            </w:pPr>
            <w:r w:rsidRPr="00DB024D">
              <w:rPr>
                <w:szCs w:val="18"/>
              </w:rPr>
              <w:t>436 (26.8%)</w:t>
            </w:r>
          </w:p>
        </w:tc>
      </w:tr>
      <w:tr w:rsidR="0017018E" w:rsidRPr="00DB024D" w14:paraId="082BF84D" w14:textId="77777777" w:rsidTr="002A5FFC">
        <w:trPr>
          <w:trHeight w:val="300"/>
        </w:trPr>
        <w:tc>
          <w:tcPr>
            <w:tcW w:w="1668" w:type="pct"/>
            <w:tcBorders>
              <w:bottom w:val="single" w:sz="4" w:space="0" w:color="auto"/>
            </w:tcBorders>
            <w:noWrap/>
            <w:tcMar>
              <w:top w:w="0" w:type="dxa"/>
              <w:left w:w="108" w:type="dxa"/>
              <w:bottom w:w="0" w:type="dxa"/>
              <w:right w:w="108" w:type="dxa"/>
            </w:tcMar>
            <w:vAlign w:val="bottom"/>
            <w:hideMark/>
          </w:tcPr>
          <w:p w14:paraId="0CEDEE22" w14:textId="77777777" w:rsidR="0017018E" w:rsidRPr="00DB024D" w:rsidRDefault="0017018E" w:rsidP="002A5FFC">
            <w:pPr>
              <w:pStyle w:val="TableText"/>
              <w:rPr>
                <w:rFonts w:eastAsiaTheme="minorHAnsi"/>
                <w:szCs w:val="18"/>
              </w:rPr>
            </w:pPr>
            <w:r w:rsidRPr="00DB024D">
              <w:rPr>
                <w:szCs w:val="18"/>
              </w:rPr>
              <w:t>Electricity generation</w:t>
            </w:r>
          </w:p>
        </w:tc>
        <w:tc>
          <w:tcPr>
            <w:tcW w:w="898" w:type="pct"/>
            <w:tcBorders>
              <w:bottom w:val="single" w:sz="4" w:space="0" w:color="auto"/>
            </w:tcBorders>
            <w:noWrap/>
            <w:tcMar>
              <w:top w:w="0" w:type="dxa"/>
              <w:left w:w="108" w:type="dxa"/>
              <w:bottom w:w="0" w:type="dxa"/>
              <w:right w:w="108" w:type="dxa"/>
            </w:tcMar>
            <w:vAlign w:val="bottom"/>
            <w:hideMark/>
          </w:tcPr>
          <w:p w14:paraId="1ED555D6" w14:textId="77777777" w:rsidR="0017018E" w:rsidRPr="00DB024D" w:rsidRDefault="0017018E" w:rsidP="002A5FFC">
            <w:pPr>
              <w:pStyle w:val="TableText"/>
              <w:jc w:val="center"/>
              <w:rPr>
                <w:szCs w:val="18"/>
              </w:rPr>
            </w:pPr>
            <w:r w:rsidRPr="00DB024D">
              <w:rPr>
                <w:szCs w:val="18"/>
              </w:rPr>
              <w:t>0.0 (0%)</w:t>
            </w:r>
          </w:p>
        </w:tc>
        <w:tc>
          <w:tcPr>
            <w:tcW w:w="768" w:type="pct"/>
            <w:tcBorders>
              <w:bottom w:val="single" w:sz="4" w:space="0" w:color="auto"/>
            </w:tcBorders>
            <w:noWrap/>
            <w:tcMar>
              <w:top w:w="0" w:type="dxa"/>
              <w:left w:w="108" w:type="dxa"/>
              <w:bottom w:w="0" w:type="dxa"/>
              <w:right w:w="108" w:type="dxa"/>
            </w:tcMar>
            <w:vAlign w:val="bottom"/>
            <w:hideMark/>
          </w:tcPr>
          <w:p w14:paraId="794AB127" w14:textId="77777777" w:rsidR="0017018E" w:rsidRPr="00DB024D" w:rsidRDefault="0017018E" w:rsidP="002A5FFC">
            <w:pPr>
              <w:pStyle w:val="TableText"/>
              <w:jc w:val="center"/>
              <w:rPr>
                <w:szCs w:val="18"/>
              </w:rPr>
            </w:pPr>
            <w:r w:rsidRPr="00DB024D">
              <w:rPr>
                <w:szCs w:val="18"/>
              </w:rPr>
              <w:t>0.0 (0%)</w:t>
            </w:r>
          </w:p>
        </w:tc>
        <w:tc>
          <w:tcPr>
            <w:tcW w:w="898" w:type="pct"/>
            <w:tcBorders>
              <w:bottom w:val="single" w:sz="4" w:space="0" w:color="auto"/>
            </w:tcBorders>
            <w:noWrap/>
            <w:tcMar>
              <w:top w:w="0" w:type="dxa"/>
              <w:left w:w="108" w:type="dxa"/>
              <w:bottom w:w="0" w:type="dxa"/>
              <w:right w:w="108" w:type="dxa"/>
            </w:tcMar>
            <w:vAlign w:val="bottom"/>
            <w:hideMark/>
          </w:tcPr>
          <w:p w14:paraId="417B3122" w14:textId="77777777" w:rsidR="0017018E" w:rsidRPr="00DB024D" w:rsidRDefault="0017018E" w:rsidP="002A5FFC">
            <w:pPr>
              <w:pStyle w:val="TableText"/>
              <w:jc w:val="center"/>
              <w:rPr>
                <w:szCs w:val="18"/>
              </w:rPr>
            </w:pPr>
            <w:r w:rsidRPr="00DB024D">
              <w:rPr>
                <w:szCs w:val="18"/>
              </w:rPr>
              <w:t>14 (4.2%)</w:t>
            </w:r>
          </w:p>
        </w:tc>
        <w:tc>
          <w:tcPr>
            <w:tcW w:w="768" w:type="pct"/>
            <w:tcBorders>
              <w:bottom w:val="single" w:sz="4" w:space="0" w:color="auto"/>
            </w:tcBorders>
            <w:noWrap/>
            <w:tcMar>
              <w:top w:w="0" w:type="dxa"/>
              <w:left w:w="108" w:type="dxa"/>
              <w:bottom w:w="0" w:type="dxa"/>
              <w:right w:w="108" w:type="dxa"/>
            </w:tcMar>
            <w:vAlign w:val="bottom"/>
            <w:hideMark/>
          </w:tcPr>
          <w:p w14:paraId="2E18CAE1" w14:textId="77777777" w:rsidR="0017018E" w:rsidRPr="00DB024D" w:rsidRDefault="0017018E" w:rsidP="002A5FFC">
            <w:pPr>
              <w:pStyle w:val="TableText"/>
              <w:jc w:val="center"/>
              <w:rPr>
                <w:szCs w:val="18"/>
              </w:rPr>
            </w:pPr>
            <w:r w:rsidRPr="00DB024D">
              <w:rPr>
                <w:szCs w:val="18"/>
              </w:rPr>
              <w:t>14 (4. %)</w:t>
            </w:r>
          </w:p>
        </w:tc>
      </w:tr>
      <w:tr w:rsidR="0017018E" w:rsidRPr="00807B36" w14:paraId="0FDDB2E8" w14:textId="77777777" w:rsidTr="002A5FFC">
        <w:trPr>
          <w:trHeight w:val="95"/>
        </w:trPr>
        <w:tc>
          <w:tcPr>
            <w:tcW w:w="1668" w:type="pct"/>
            <w:tcBorders>
              <w:top w:val="single" w:sz="4" w:space="0" w:color="auto"/>
              <w:bottom w:val="single" w:sz="4" w:space="0" w:color="auto"/>
            </w:tcBorders>
            <w:shd w:val="clear" w:color="auto" w:fill="EDEDED"/>
            <w:noWrap/>
            <w:tcMar>
              <w:top w:w="0" w:type="dxa"/>
              <w:left w:w="108" w:type="dxa"/>
              <w:bottom w:w="0" w:type="dxa"/>
              <w:right w:w="108" w:type="dxa"/>
            </w:tcMar>
            <w:vAlign w:val="bottom"/>
            <w:hideMark/>
          </w:tcPr>
          <w:p w14:paraId="75EB1F30" w14:textId="029673A7" w:rsidR="0017018E" w:rsidRPr="002A5FFC" w:rsidRDefault="0017018E" w:rsidP="002A5FFC">
            <w:pPr>
              <w:pStyle w:val="TableText"/>
              <w:rPr>
                <w:rFonts w:eastAsiaTheme="minorHAnsi"/>
                <w:b/>
                <w:szCs w:val="18"/>
              </w:rPr>
            </w:pPr>
            <w:r w:rsidRPr="002A5FFC">
              <w:rPr>
                <w:b/>
                <w:szCs w:val="18"/>
              </w:rPr>
              <w:t>TOTAL</w:t>
            </w:r>
            <w:r w:rsidR="008575B5" w:rsidRPr="00807B36">
              <w:rPr>
                <w:b/>
                <w:szCs w:val="18"/>
              </w:rPr>
              <w:t xml:space="preserve"> </w:t>
            </w:r>
            <w:r w:rsidRPr="002A5FFC">
              <w:rPr>
                <w:b/>
                <w:szCs w:val="18"/>
              </w:rPr>
              <w:t>(cumulative savings)</w:t>
            </w:r>
          </w:p>
        </w:tc>
        <w:tc>
          <w:tcPr>
            <w:tcW w:w="898" w:type="pct"/>
            <w:tcBorders>
              <w:top w:val="single" w:sz="4" w:space="0" w:color="auto"/>
              <w:bottom w:val="single" w:sz="4" w:space="0" w:color="auto"/>
            </w:tcBorders>
            <w:shd w:val="clear" w:color="auto" w:fill="EDEDED"/>
            <w:noWrap/>
            <w:tcMar>
              <w:top w:w="0" w:type="dxa"/>
              <w:left w:w="108" w:type="dxa"/>
              <w:bottom w:w="0" w:type="dxa"/>
              <w:right w:w="108" w:type="dxa"/>
            </w:tcMar>
            <w:vAlign w:val="bottom"/>
            <w:hideMark/>
          </w:tcPr>
          <w:p w14:paraId="58185A44" w14:textId="77777777" w:rsidR="0017018E" w:rsidRPr="002A5FFC" w:rsidRDefault="0017018E" w:rsidP="002A5FFC">
            <w:pPr>
              <w:pStyle w:val="TableText"/>
              <w:jc w:val="center"/>
              <w:rPr>
                <w:b/>
                <w:szCs w:val="18"/>
              </w:rPr>
            </w:pPr>
            <w:r w:rsidRPr="002A5FFC">
              <w:rPr>
                <w:b/>
                <w:szCs w:val="18"/>
              </w:rPr>
              <w:t>14 (0.19%)</w:t>
            </w:r>
          </w:p>
        </w:tc>
        <w:tc>
          <w:tcPr>
            <w:tcW w:w="768" w:type="pct"/>
            <w:tcBorders>
              <w:top w:val="single" w:sz="4" w:space="0" w:color="auto"/>
              <w:bottom w:val="single" w:sz="4" w:space="0" w:color="auto"/>
            </w:tcBorders>
            <w:shd w:val="clear" w:color="auto" w:fill="EDEDED"/>
            <w:noWrap/>
            <w:tcMar>
              <w:top w:w="0" w:type="dxa"/>
              <w:left w:w="108" w:type="dxa"/>
              <w:bottom w:w="0" w:type="dxa"/>
              <w:right w:w="108" w:type="dxa"/>
            </w:tcMar>
            <w:vAlign w:val="bottom"/>
            <w:hideMark/>
          </w:tcPr>
          <w:p w14:paraId="394BB6D9" w14:textId="77777777" w:rsidR="0017018E" w:rsidRPr="002A5FFC" w:rsidRDefault="0017018E" w:rsidP="002A5FFC">
            <w:pPr>
              <w:pStyle w:val="TableText"/>
              <w:jc w:val="center"/>
              <w:rPr>
                <w:b/>
                <w:szCs w:val="18"/>
              </w:rPr>
            </w:pPr>
            <w:r w:rsidRPr="002A5FFC">
              <w:rPr>
                <w:b/>
                <w:szCs w:val="18"/>
              </w:rPr>
              <w:t>141 (2.0%)</w:t>
            </w:r>
          </w:p>
        </w:tc>
        <w:tc>
          <w:tcPr>
            <w:tcW w:w="898" w:type="pct"/>
            <w:tcBorders>
              <w:top w:val="single" w:sz="4" w:space="0" w:color="auto"/>
              <w:bottom w:val="single" w:sz="4" w:space="0" w:color="auto"/>
            </w:tcBorders>
            <w:shd w:val="clear" w:color="auto" w:fill="EDEDED"/>
            <w:noWrap/>
            <w:tcMar>
              <w:top w:w="0" w:type="dxa"/>
              <w:left w:w="108" w:type="dxa"/>
              <w:bottom w:w="0" w:type="dxa"/>
              <w:right w:w="108" w:type="dxa"/>
            </w:tcMar>
            <w:vAlign w:val="bottom"/>
            <w:hideMark/>
          </w:tcPr>
          <w:p w14:paraId="28B27C00" w14:textId="77777777" w:rsidR="0017018E" w:rsidRPr="002A5FFC" w:rsidRDefault="0017018E" w:rsidP="002A5FFC">
            <w:pPr>
              <w:pStyle w:val="TableText"/>
              <w:jc w:val="center"/>
              <w:rPr>
                <w:b/>
                <w:szCs w:val="18"/>
              </w:rPr>
            </w:pPr>
            <w:r w:rsidRPr="002A5FFC">
              <w:rPr>
                <w:b/>
                <w:szCs w:val="18"/>
              </w:rPr>
              <w:t>1151 (16.5%)</w:t>
            </w:r>
          </w:p>
        </w:tc>
        <w:tc>
          <w:tcPr>
            <w:tcW w:w="768" w:type="pct"/>
            <w:tcBorders>
              <w:top w:val="single" w:sz="4" w:space="0" w:color="auto"/>
              <w:bottom w:val="single" w:sz="4" w:space="0" w:color="auto"/>
            </w:tcBorders>
            <w:shd w:val="clear" w:color="auto" w:fill="EDEDED"/>
            <w:noWrap/>
            <w:tcMar>
              <w:top w:w="0" w:type="dxa"/>
              <w:left w:w="108" w:type="dxa"/>
              <w:bottom w:w="0" w:type="dxa"/>
              <w:right w:w="108" w:type="dxa"/>
            </w:tcMar>
            <w:vAlign w:val="bottom"/>
            <w:hideMark/>
          </w:tcPr>
          <w:p w14:paraId="624BC552" w14:textId="77777777" w:rsidR="0017018E" w:rsidRPr="002A5FFC" w:rsidRDefault="0017018E" w:rsidP="002A5FFC">
            <w:pPr>
              <w:pStyle w:val="TableText"/>
              <w:jc w:val="center"/>
              <w:rPr>
                <w:b/>
                <w:szCs w:val="18"/>
              </w:rPr>
            </w:pPr>
            <w:r w:rsidRPr="002A5FFC">
              <w:rPr>
                <w:b/>
                <w:szCs w:val="18"/>
              </w:rPr>
              <w:t>1412 (20.2%)</w:t>
            </w:r>
          </w:p>
        </w:tc>
      </w:tr>
    </w:tbl>
    <w:p w14:paraId="3F653337" w14:textId="4547DC7C" w:rsidR="00D9266C" w:rsidRPr="007B0D5A" w:rsidRDefault="00D9266C" w:rsidP="00D9266C">
      <w:pPr>
        <w:pStyle w:val="Source"/>
        <w:tabs>
          <w:tab w:val="clear" w:pos="539"/>
        </w:tabs>
        <w:ind w:left="0" w:firstLine="0"/>
      </w:pPr>
      <w:r>
        <w:t>NOTE: Projections are b</w:t>
      </w:r>
      <w:r w:rsidRPr="007B0D5A">
        <w:t xml:space="preserve">ased on the simulation of changes to intensities (resource use/gross value add) and projections of gross value add. </w:t>
      </w:r>
      <w:r>
        <w:t xml:space="preserve"> Absolute and % difference in annual consumption is reported with respect to values at 2011.</w:t>
      </w:r>
    </w:p>
    <w:p w14:paraId="7A0DB8CC" w14:textId="4D81C112" w:rsidR="0017018E" w:rsidRPr="007B0D5A" w:rsidRDefault="0017018E" w:rsidP="007B0D5A">
      <w:pPr>
        <w:pStyle w:val="Caption"/>
        <w:spacing w:before="240" w:after="200" w:line="240" w:lineRule="auto"/>
        <w:contextualSpacing w:val="0"/>
        <w:rPr>
          <w:color w:val="00A9CE" w:themeColor="accent1"/>
        </w:rPr>
      </w:pPr>
      <w:bookmarkStart w:id="6" w:name="_Ref359918942"/>
      <w:bookmarkStart w:id="7" w:name="_Toc359911306"/>
      <w:bookmarkStart w:id="8" w:name="_Toc433977519"/>
      <w:r w:rsidRPr="007B0D5A">
        <w:rPr>
          <w:color w:val="00A9CE" w:themeColor="accent1"/>
        </w:rPr>
        <w:t xml:space="preserve">Table </w:t>
      </w:r>
      <w:r w:rsidR="00447CD6" w:rsidRPr="007B0D5A">
        <w:rPr>
          <w:color w:val="00A9CE" w:themeColor="accent1"/>
        </w:rPr>
        <w:fldChar w:fldCharType="begin"/>
      </w:r>
      <w:r w:rsidR="00447CD6" w:rsidRPr="007B0D5A">
        <w:rPr>
          <w:color w:val="00A9CE" w:themeColor="accent1"/>
        </w:rPr>
        <w:instrText xml:space="preserve"> SEQ Table \* ARABIC </w:instrText>
      </w:r>
      <w:r w:rsidR="00447CD6" w:rsidRPr="007B0D5A">
        <w:rPr>
          <w:color w:val="00A9CE" w:themeColor="accent1"/>
        </w:rPr>
        <w:fldChar w:fldCharType="separate"/>
      </w:r>
      <w:r w:rsidR="0048332C">
        <w:rPr>
          <w:noProof/>
          <w:color w:val="00A9CE" w:themeColor="accent1"/>
        </w:rPr>
        <w:t>2</w:t>
      </w:r>
      <w:r w:rsidR="00447CD6" w:rsidRPr="007B0D5A">
        <w:rPr>
          <w:color w:val="00A9CE" w:themeColor="accent1"/>
        </w:rPr>
        <w:fldChar w:fldCharType="end"/>
      </w:r>
      <w:bookmarkEnd w:id="6"/>
      <w:r w:rsidRPr="007B0D5A">
        <w:rPr>
          <w:color w:val="00A9CE" w:themeColor="accent1"/>
        </w:rPr>
        <w:t xml:space="preserve"> </w:t>
      </w:r>
      <w:bookmarkEnd w:id="7"/>
      <w:r w:rsidR="00486B94" w:rsidRPr="007B0D5A">
        <w:rPr>
          <w:color w:val="00A9CE" w:themeColor="accent1"/>
        </w:rPr>
        <w:t xml:space="preserve">Projected </w:t>
      </w:r>
      <w:r w:rsidR="00486B94">
        <w:rPr>
          <w:color w:val="00A9CE" w:themeColor="accent1"/>
        </w:rPr>
        <w:t>energy</w:t>
      </w:r>
      <w:r w:rsidR="00486B94" w:rsidRPr="007B0D5A">
        <w:rPr>
          <w:color w:val="00A9CE" w:themeColor="accent1"/>
        </w:rPr>
        <w:t xml:space="preserve"> and </w:t>
      </w:r>
      <w:r w:rsidR="00486B94">
        <w:rPr>
          <w:color w:val="00A9CE" w:themeColor="accent1"/>
        </w:rPr>
        <w:t>water savings by 205</w:t>
      </w:r>
      <w:r w:rsidR="00486B94" w:rsidRPr="007B0D5A">
        <w:rPr>
          <w:color w:val="00A9CE" w:themeColor="accent1"/>
        </w:rPr>
        <w:t>0 compared to 2011 efficiencies</w:t>
      </w:r>
      <w:r w:rsidR="00D9266C">
        <w:rPr>
          <w:color w:val="00A9CE" w:themeColor="accent1"/>
        </w:rPr>
        <w:t>.</w:t>
      </w:r>
      <w:bookmarkEnd w:id="8"/>
      <w:r w:rsidR="00486B94" w:rsidRPr="007B0D5A">
        <w:rPr>
          <w:color w:val="00A9CE" w:themeColor="accent1"/>
        </w:rPr>
        <w:t xml:space="preserve"> </w:t>
      </w:r>
    </w:p>
    <w:tbl>
      <w:tblPr>
        <w:tblW w:w="5000" w:type="pct"/>
        <w:tblLayout w:type="fixed"/>
        <w:tblCellMar>
          <w:left w:w="0" w:type="dxa"/>
          <w:right w:w="0" w:type="dxa"/>
        </w:tblCellMar>
        <w:tblLook w:val="04A0" w:firstRow="1" w:lastRow="0" w:firstColumn="1" w:lastColumn="0" w:noHBand="0" w:noVBand="1"/>
        <w:tblCaption w:val="Projected energy and water savings by 2050 compared to 2011 efficiencies. "/>
        <w:tblDescription w:val="Data presented in Table two is based on the simulation of changes to intensities from a resource use and gross value add perspective, and projects of gross value add. Absolute and percental difference in annual consumption is reported with respect to values at two thousand and eleven. Listing industries and their projected savings to two thousand and fifty in petajoules for energy and gigalitres for water, each broken down into existing trends and step change. Cumulative savings data is provided as totals. "/>
      </w:tblPr>
      <w:tblGrid>
        <w:gridCol w:w="3206"/>
        <w:gridCol w:w="1725"/>
        <w:gridCol w:w="1505"/>
        <w:gridCol w:w="1725"/>
        <w:gridCol w:w="1477"/>
      </w:tblGrid>
      <w:tr w:rsidR="0017018E" w14:paraId="5E4D822D" w14:textId="77777777" w:rsidTr="002A5FFC">
        <w:trPr>
          <w:trHeight w:val="300"/>
        </w:trPr>
        <w:tc>
          <w:tcPr>
            <w:tcW w:w="1663" w:type="pct"/>
            <w:shd w:val="clear" w:color="auto" w:fill="000000" w:themeFill="text1"/>
            <w:noWrap/>
            <w:tcMar>
              <w:top w:w="0" w:type="dxa"/>
              <w:left w:w="108" w:type="dxa"/>
              <w:bottom w:w="0" w:type="dxa"/>
              <w:right w:w="108" w:type="dxa"/>
            </w:tcMar>
            <w:vAlign w:val="bottom"/>
            <w:hideMark/>
          </w:tcPr>
          <w:p w14:paraId="2C2E33BB" w14:textId="77777777" w:rsidR="0017018E" w:rsidRPr="00FF09F3" w:rsidRDefault="0017018E" w:rsidP="002A5FFC">
            <w:pPr>
              <w:pStyle w:val="ColumnHeading"/>
              <w:spacing w:before="120"/>
              <w:rPr>
                <w:rFonts w:eastAsiaTheme="minorHAnsi"/>
              </w:rPr>
            </w:pPr>
            <w:r w:rsidRPr="00FF09F3">
              <w:t> </w:t>
            </w:r>
          </w:p>
        </w:tc>
        <w:tc>
          <w:tcPr>
            <w:tcW w:w="3337" w:type="pct"/>
            <w:gridSpan w:val="4"/>
            <w:shd w:val="clear" w:color="auto" w:fill="000000" w:themeFill="text1"/>
            <w:noWrap/>
            <w:tcMar>
              <w:top w:w="0" w:type="dxa"/>
              <w:left w:w="108" w:type="dxa"/>
              <w:bottom w:w="0" w:type="dxa"/>
              <w:right w:w="108" w:type="dxa"/>
            </w:tcMar>
            <w:vAlign w:val="bottom"/>
            <w:hideMark/>
          </w:tcPr>
          <w:p w14:paraId="03834728" w14:textId="73E185B1" w:rsidR="0017018E" w:rsidRPr="00FF09F3" w:rsidRDefault="00FF09F3" w:rsidP="002A5FFC">
            <w:pPr>
              <w:pStyle w:val="ColumnHeading"/>
              <w:spacing w:before="120"/>
              <w:jc w:val="center"/>
              <w:rPr>
                <w:rFonts w:eastAsiaTheme="minorHAnsi"/>
                <w:bCs/>
              </w:rPr>
            </w:pPr>
            <w:r w:rsidRPr="00FF09F3">
              <w:rPr>
                <w:bCs/>
              </w:rPr>
              <w:t>P</w:t>
            </w:r>
            <w:r w:rsidR="0017018E" w:rsidRPr="00FF09F3">
              <w:rPr>
                <w:bCs/>
              </w:rPr>
              <w:t>rojected savings to 2050</w:t>
            </w:r>
          </w:p>
        </w:tc>
      </w:tr>
      <w:tr w:rsidR="0017018E" w14:paraId="657D37CA" w14:textId="77777777" w:rsidTr="002A5FFC">
        <w:trPr>
          <w:trHeight w:val="300"/>
        </w:trPr>
        <w:tc>
          <w:tcPr>
            <w:tcW w:w="1663" w:type="pct"/>
            <w:shd w:val="clear" w:color="auto" w:fill="000000" w:themeFill="text1"/>
            <w:noWrap/>
            <w:tcMar>
              <w:top w:w="0" w:type="dxa"/>
              <w:left w:w="108" w:type="dxa"/>
              <w:bottom w:w="0" w:type="dxa"/>
              <w:right w:w="108" w:type="dxa"/>
            </w:tcMar>
            <w:vAlign w:val="bottom"/>
            <w:hideMark/>
          </w:tcPr>
          <w:p w14:paraId="5E87DE79" w14:textId="77777777" w:rsidR="0017018E" w:rsidRPr="00FF09F3" w:rsidRDefault="0017018E" w:rsidP="002A5FFC">
            <w:pPr>
              <w:pStyle w:val="ColumnHeading"/>
              <w:spacing w:after="60"/>
              <w:rPr>
                <w:rFonts w:eastAsiaTheme="minorHAnsi"/>
              </w:rPr>
            </w:pPr>
            <w:r w:rsidRPr="00FF09F3">
              <w:t> </w:t>
            </w:r>
          </w:p>
        </w:tc>
        <w:tc>
          <w:tcPr>
            <w:tcW w:w="1676" w:type="pct"/>
            <w:gridSpan w:val="2"/>
            <w:shd w:val="clear" w:color="auto" w:fill="000000" w:themeFill="text1"/>
            <w:noWrap/>
            <w:tcMar>
              <w:top w:w="0" w:type="dxa"/>
              <w:left w:w="108" w:type="dxa"/>
              <w:bottom w:w="0" w:type="dxa"/>
              <w:right w:w="108" w:type="dxa"/>
            </w:tcMar>
            <w:vAlign w:val="bottom"/>
            <w:hideMark/>
          </w:tcPr>
          <w:p w14:paraId="1D6EB7E7" w14:textId="77777777" w:rsidR="0017018E" w:rsidRPr="00FF09F3" w:rsidRDefault="0017018E" w:rsidP="002A5FFC">
            <w:pPr>
              <w:pStyle w:val="ColumnHeading"/>
              <w:spacing w:after="60"/>
              <w:jc w:val="center"/>
              <w:rPr>
                <w:rFonts w:eastAsiaTheme="minorHAnsi"/>
              </w:rPr>
            </w:pPr>
            <w:r w:rsidRPr="00FF09F3">
              <w:t>Energy (PJ/year)</w:t>
            </w:r>
          </w:p>
        </w:tc>
        <w:tc>
          <w:tcPr>
            <w:tcW w:w="1661" w:type="pct"/>
            <w:gridSpan w:val="2"/>
            <w:shd w:val="clear" w:color="auto" w:fill="000000" w:themeFill="text1"/>
            <w:noWrap/>
            <w:tcMar>
              <w:top w:w="0" w:type="dxa"/>
              <w:left w:w="108" w:type="dxa"/>
              <w:bottom w:w="0" w:type="dxa"/>
              <w:right w:w="108" w:type="dxa"/>
            </w:tcMar>
            <w:vAlign w:val="bottom"/>
            <w:hideMark/>
          </w:tcPr>
          <w:p w14:paraId="3B91DAA1" w14:textId="2DD2C718" w:rsidR="0017018E" w:rsidRPr="00FF09F3" w:rsidRDefault="0017018E" w:rsidP="002A5FFC">
            <w:pPr>
              <w:pStyle w:val="ColumnHeading"/>
              <w:spacing w:after="60"/>
              <w:jc w:val="center"/>
              <w:rPr>
                <w:rFonts w:eastAsiaTheme="minorHAnsi"/>
              </w:rPr>
            </w:pPr>
            <w:r w:rsidRPr="00FF09F3">
              <w:t>Water (GL/year)</w:t>
            </w:r>
          </w:p>
        </w:tc>
      </w:tr>
      <w:tr w:rsidR="008575B5" w:rsidRPr="00DB024D" w14:paraId="501B7414" w14:textId="77777777" w:rsidTr="002A5FFC">
        <w:trPr>
          <w:trHeight w:val="413"/>
        </w:trPr>
        <w:tc>
          <w:tcPr>
            <w:tcW w:w="1663" w:type="pct"/>
            <w:shd w:val="clear" w:color="auto" w:fill="auto"/>
            <w:noWrap/>
            <w:tcMar>
              <w:top w:w="0" w:type="dxa"/>
              <w:left w:w="108" w:type="dxa"/>
              <w:bottom w:w="0" w:type="dxa"/>
              <w:right w:w="108" w:type="dxa"/>
            </w:tcMar>
            <w:vAlign w:val="bottom"/>
            <w:hideMark/>
          </w:tcPr>
          <w:p w14:paraId="0FD23067" w14:textId="77777777" w:rsidR="0017018E" w:rsidRPr="008575B5" w:rsidRDefault="0017018E" w:rsidP="002A5FFC">
            <w:pPr>
              <w:pStyle w:val="RowHeading"/>
              <w:rPr>
                <w:rFonts w:eastAsiaTheme="minorHAnsi"/>
              </w:rPr>
            </w:pPr>
            <w:r w:rsidRPr="008575B5">
              <w:t> </w:t>
            </w:r>
          </w:p>
        </w:tc>
        <w:tc>
          <w:tcPr>
            <w:tcW w:w="895" w:type="pct"/>
            <w:shd w:val="clear" w:color="auto" w:fill="auto"/>
            <w:tcMar>
              <w:top w:w="0" w:type="dxa"/>
              <w:left w:w="108" w:type="dxa"/>
              <w:bottom w:w="0" w:type="dxa"/>
              <w:right w:w="108" w:type="dxa"/>
            </w:tcMar>
            <w:vAlign w:val="bottom"/>
            <w:hideMark/>
          </w:tcPr>
          <w:p w14:paraId="0D97A81A" w14:textId="2B7079DD" w:rsidR="0017018E" w:rsidRPr="008575B5" w:rsidRDefault="00E75DE1" w:rsidP="002A5FFC">
            <w:pPr>
              <w:pStyle w:val="RowHeading"/>
              <w:jc w:val="center"/>
              <w:rPr>
                <w:rFonts w:eastAsiaTheme="minorHAnsi"/>
                <w:i/>
                <w:iCs/>
              </w:rPr>
            </w:pPr>
            <w:r>
              <w:rPr>
                <w:i/>
                <w:iCs/>
              </w:rPr>
              <w:t xml:space="preserve">Current </w:t>
            </w:r>
            <w:r w:rsidR="00CA0FAD">
              <w:rPr>
                <w:i/>
                <w:iCs/>
              </w:rPr>
              <w:t>T</w:t>
            </w:r>
            <w:r w:rsidR="0017018E" w:rsidRPr="008575B5">
              <w:rPr>
                <w:i/>
                <w:iCs/>
              </w:rPr>
              <w:t>rends</w:t>
            </w:r>
          </w:p>
        </w:tc>
        <w:tc>
          <w:tcPr>
            <w:tcW w:w="781" w:type="pct"/>
            <w:shd w:val="clear" w:color="auto" w:fill="auto"/>
            <w:tcMar>
              <w:top w:w="0" w:type="dxa"/>
              <w:left w:w="108" w:type="dxa"/>
              <w:bottom w:w="0" w:type="dxa"/>
              <w:right w:w="108" w:type="dxa"/>
            </w:tcMar>
            <w:vAlign w:val="bottom"/>
            <w:hideMark/>
          </w:tcPr>
          <w:p w14:paraId="0E18A844" w14:textId="5FE72C5C" w:rsidR="0017018E" w:rsidRPr="008575B5" w:rsidRDefault="00917437" w:rsidP="002A5FFC">
            <w:pPr>
              <w:pStyle w:val="RowHeading"/>
              <w:jc w:val="center"/>
              <w:rPr>
                <w:rFonts w:eastAsiaTheme="minorHAnsi"/>
                <w:i/>
                <w:iCs/>
              </w:rPr>
            </w:pPr>
            <w:r>
              <w:rPr>
                <w:i/>
                <w:iCs/>
              </w:rPr>
              <w:t>S</w:t>
            </w:r>
            <w:r w:rsidR="0017018E" w:rsidRPr="008575B5">
              <w:rPr>
                <w:i/>
                <w:iCs/>
              </w:rPr>
              <w:t xml:space="preserve">tep </w:t>
            </w:r>
            <w:r w:rsidR="00CA0FAD">
              <w:rPr>
                <w:i/>
                <w:iCs/>
              </w:rPr>
              <w:t>C</w:t>
            </w:r>
            <w:r w:rsidR="0017018E" w:rsidRPr="008575B5">
              <w:rPr>
                <w:i/>
                <w:iCs/>
              </w:rPr>
              <w:t>hange</w:t>
            </w:r>
          </w:p>
        </w:tc>
        <w:tc>
          <w:tcPr>
            <w:tcW w:w="895" w:type="pct"/>
            <w:shd w:val="clear" w:color="auto" w:fill="auto"/>
            <w:tcMar>
              <w:top w:w="0" w:type="dxa"/>
              <w:left w:w="108" w:type="dxa"/>
              <w:bottom w:w="0" w:type="dxa"/>
              <w:right w:w="108" w:type="dxa"/>
            </w:tcMar>
            <w:vAlign w:val="bottom"/>
            <w:hideMark/>
          </w:tcPr>
          <w:p w14:paraId="62FC02BB" w14:textId="02DEC11E" w:rsidR="0017018E" w:rsidRPr="00DB024D" w:rsidRDefault="00E75DE1" w:rsidP="002A5FFC">
            <w:pPr>
              <w:pStyle w:val="RowHeading"/>
              <w:jc w:val="center"/>
              <w:rPr>
                <w:rFonts w:eastAsiaTheme="minorHAnsi"/>
                <w:i/>
                <w:iCs/>
              </w:rPr>
            </w:pPr>
            <w:r>
              <w:rPr>
                <w:i/>
                <w:iCs/>
              </w:rPr>
              <w:t xml:space="preserve">Current </w:t>
            </w:r>
            <w:r w:rsidR="00CA0FAD">
              <w:rPr>
                <w:i/>
                <w:iCs/>
              </w:rPr>
              <w:t>T</w:t>
            </w:r>
            <w:r w:rsidR="0017018E" w:rsidRPr="00DB024D">
              <w:rPr>
                <w:i/>
                <w:iCs/>
              </w:rPr>
              <w:t>rends</w:t>
            </w:r>
          </w:p>
        </w:tc>
        <w:tc>
          <w:tcPr>
            <w:tcW w:w="766" w:type="pct"/>
            <w:shd w:val="clear" w:color="auto" w:fill="auto"/>
            <w:tcMar>
              <w:top w:w="0" w:type="dxa"/>
              <w:left w:w="108" w:type="dxa"/>
              <w:bottom w:w="0" w:type="dxa"/>
              <w:right w:w="108" w:type="dxa"/>
            </w:tcMar>
            <w:vAlign w:val="bottom"/>
            <w:hideMark/>
          </w:tcPr>
          <w:p w14:paraId="7901AB74" w14:textId="38408D7B" w:rsidR="0017018E" w:rsidRPr="00DB024D" w:rsidRDefault="008575B5" w:rsidP="002A5FFC">
            <w:pPr>
              <w:pStyle w:val="RowHeading"/>
              <w:jc w:val="center"/>
              <w:rPr>
                <w:rFonts w:eastAsiaTheme="minorHAnsi"/>
                <w:i/>
                <w:iCs/>
              </w:rPr>
            </w:pPr>
            <w:r w:rsidRPr="00DB024D">
              <w:rPr>
                <w:i/>
                <w:iCs/>
              </w:rPr>
              <w:t>S</w:t>
            </w:r>
            <w:r w:rsidR="0017018E" w:rsidRPr="00DB024D">
              <w:rPr>
                <w:i/>
                <w:iCs/>
              </w:rPr>
              <w:t xml:space="preserve">tep </w:t>
            </w:r>
            <w:r w:rsidR="00CA0FAD">
              <w:rPr>
                <w:i/>
                <w:iCs/>
              </w:rPr>
              <w:t>C</w:t>
            </w:r>
            <w:r w:rsidR="0017018E" w:rsidRPr="00DB024D">
              <w:rPr>
                <w:i/>
                <w:iCs/>
              </w:rPr>
              <w:t>hange</w:t>
            </w:r>
          </w:p>
        </w:tc>
      </w:tr>
      <w:tr w:rsidR="0017018E" w14:paraId="21C5D451" w14:textId="77777777" w:rsidTr="002A5FFC">
        <w:trPr>
          <w:trHeight w:val="300"/>
        </w:trPr>
        <w:tc>
          <w:tcPr>
            <w:tcW w:w="1663" w:type="pct"/>
            <w:shd w:val="clear" w:color="auto" w:fill="EDEDED"/>
            <w:noWrap/>
            <w:tcMar>
              <w:top w:w="0" w:type="dxa"/>
              <w:left w:w="108" w:type="dxa"/>
              <w:bottom w:w="0" w:type="dxa"/>
              <w:right w:w="108" w:type="dxa"/>
            </w:tcMar>
            <w:vAlign w:val="bottom"/>
            <w:hideMark/>
          </w:tcPr>
          <w:p w14:paraId="484115AE" w14:textId="77777777" w:rsidR="0017018E" w:rsidRDefault="0017018E" w:rsidP="002A5FFC">
            <w:pPr>
              <w:pStyle w:val="TableText"/>
              <w:rPr>
                <w:rFonts w:eastAsiaTheme="minorHAnsi"/>
              </w:rPr>
            </w:pPr>
            <w:r>
              <w:t>Mining</w:t>
            </w:r>
          </w:p>
        </w:tc>
        <w:tc>
          <w:tcPr>
            <w:tcW w:w="895" w:type="pct"/>
            <w:shd w:val="clear" w:color="auto" w:fill="EDEDED"/>
            <w:noWrap/>
            <w:tcMar>
              <w:top w:w="0" w:type="dxa"/>
              <w:left w:w="108" w:type="dxa"/>
              <w:bottom w:w="0" w:type="dxa"/>
              <w:right w:w="108" w:type="dxa"/>
            </w:tcMar>
            <w:vAlign w:val="bottom"/>
            <w:hideMark/>
          </w:tcPr>
          <w:p w14:paraId="03E99C11" w14:textId="77777777" w:rsidR="0017018E" w:rsidRDefault="0017018E" w:rsidP="002A5FFC">
            <w:pPr>
              <w:pStyle w:val="TableText"/>
              <w:jc w:val="center"/>
            </w:pPr>
            <w:r>
              <w:t>34.8 (3.1%)</w:t>
            </w:r>
          </w:p>
        </w:tc>
        <w:tc>
          <w:tcPr>
            <w:tcW w:w="781" w:type="pct"/>
            <w:shd w:val="clear" w:color="auto" w:fill="EDEDED"/>
            <w:noWrap/>
            <w:tcMar>
              <w:top w:w="0" w:type="dxa"/>
              <w:left w:w="108" w:type="dxa"/>
              <w:bottom w:w="0" w:type="dxa"/>
              <w:right w:w="108" w:type="dxa"/>
            </w:tcMar>
            <w:vAlign w:val="bottom"/>
            <w:hideMark/>
          </w:tcPr>
          <w:p w14:paraId="3414E236" w14:textId="77777777" w:rsidR="0017018E" w:rsidRDefault="0017018E" w:rsidP="002A5FFC">
            <w:pPr>
              <w:pStyle w:val="TableText"/>
              <w:jc w:val="center"/>
            </w:pPr>
            <w:r>
              <w:t>127.2 (11.3%)</w:t>
            </w:r>
          </w:p>
        </w:tc>
        <w:tc>
          <w:tcPr>
            <w:tcW w:w="895" w:type="pct"/>
            <w:shd w:val="clear" w:color="auto" w:fill="EDEDED"/>
            <w:noWrap/>
            <w:tcMar>
              <w:top w:w="0" w:type="dxa"/>
              <w:left w:w="108" w:type="dxa"/>
              <w:bottom w:w="0" w:type="dxa"/>
              <w:right w:w="108" w:type="dxa"/>
            </w:tcMar>
            <w:vAlign w:val="bottom"/>
            <w:hideMark/>
          </w:tcPr>
          <w:p w14:paraId="203707A3" w14:textId="77777777" w:rsidR="0017018E" w:rsidRDefault="0017018E" w:rsidP="002A5FFC">
            <w:pPr>
              <w:pStyle w:val="TableText"/>
              <w:jc w:val="center"/>
            </w:pPr>
            <w:r>
              <w:t>-8 (-0.75%)</w:t>
            </w:r>
          </w:p>
        </w:tc>
        <w:tc>
          <w:tcPr>
            <w:tcW w:w="766" w:type="pct"/>
            <w:shd w:val="clear" w:color="auto" w:fill="EDEDED"/>
            <w:noWrap/>
            <w:tcMar>
              <w:top w:w="0" w:type="dxa"/>
              <w:left w:w="108" w:type="dxa"/>
              <w:bottom w:w="0" w:type="dxa"/>
              <w:right w:w="108" w:type="dxa"/>
            </w:tcMar>
            <w:vAlign w:val="bottom"/>
            <w:hideMark/>
          </w:tcPr>
          <w:p w14:paraId="7A2CBFC5" w14:textId="77777777" w:rsidR="0017018E" w:rsidRDefault="0017018E" w:rsidP="002A5FFC">
            <w:pPr>
              <w:pStyle w:val="TableText"/>
              <w:jc w:val="center"/>
            </w:pPr>
            <w:r>
              <w:t>53 (5.0%)</w:t>
            </w:r>
          </w:p>
        </w:tc>
      </w:tr>
      <w:tr w:rsidR="0017018E" w14:paraId="7F4B6F20" w14:textId="77777777" w:rsidTr="002A5FFC">
        <w:trPr>
          <w:trHeight w:val="300"/>
        </w:trPr>
        <w:tc>
          <w:tcPr>
            <w:tcW w:w="1663" w:type="pct"/>
            <w:noWrap/>
            <w:tcMar>
              <w:top w:w="0" w:type="dxa"/>
              <w:left w:w="108" w:type="dxa"/>
              <w:bottom w:w="0" w:type="dxa"/>
              <w:right w:w="108" w:type="dxa"/>
            </w:tcMar>
            <w:vAlign w:val="bottom"/>
            <w:hideMark/>
          </w:tcPr>
          <w:p w14:paraId="3D6EE2B2" w14:textId="77777777" w:rsidR="0017018E" w:rsidRDefault="0017018E" w:rsidP="002A5FFC">
            <w:pPr>
              <w:pStyle w:val="TableText"/>
              <w:rPr>
                <w:rFonts w:eastAsiaTheme="minorHAnsi"/>
              </w:rPr>
            </w:pPr>
            <w:r>
              <w:t>Manufacturing</w:t>
            </w:r>
          </w:p>
        </w:tc>
        <w:tc>
          <w:tcPr>
            <w:tcW w:w="895" w:type="pct"/>
            <w:noWrap/>
            <w:tcMar>
              <w:top w:w="0" w:type="dxa"/>
              <w:left w:w="108" w:type="dxa"/>
              <w:bottom w:w="0" w:type="dxa"/>
              <w:right w:w="108" w:type="dxa"/>
            </w:tcMar>
            <w:vAlign w:val="bottom"/>
            <w:hideMark/>
          </w:tcPr>
          <w:p w14:paraId="61FB9423" w14:textId="77777777" w:rsidR="0017018E" w:rsidRDefault="0017018E" w:rsidP="002A5FFC">
            <w:pPr>
              <w:pStyle w:val="TableText"/>
              <w:jc w:val="center"/>
            </w:pPr>
            <w:r>
              <w:t>154.9 (8.3%)</w:t>
            </w:r>
          </w:p>
        </w:tc>
        <w:tc>
          <w:tcPr>
            <w:tcW w:w="781" w:type="pct"/>
            <w:noWrap/>
            <w:tcMar>
              <w:top w:w="0" w:type="dxa"/>
              <w:left w:w="108" w:type="dxa"/>
              <w:bottom w:w="0" w:type="dxa"/>
              <w:right w:w="108" w:type="dxa"/>
            </w:tcMar>
            <w:vAlign w:val="bottom"/>
            <w:hideMark/>
          </w:tcPr>
          <w:p w14:paraId="0B6EFBE1" w14:textId="77777777" w:rsidR="0017018E" w:rsidRDefault="0017018E" w:rsidP="002A5FFC">
            <w:pPr>
              <w:pStyle w:val="TableText"/>
              <w:jc w:val="center"/>
            </w:pPr>
            <w:r>
              <w:t>468.6 (25.0%)</w:t>
            </w:r>
          </w:p>
        </w:tc>
        <w:tc>
          <w:tcPr>
            <w:tcW w:w="895" w:type="pct"/>
            <w:noWrap/>
            <w:tcMar>
              <w:top w:w="0" w:type="dxa"/>
              <w:left w:w="108" w:type="dxa"/>
              <w:bottom w:w="0" w:type="dxa"/>
              <w:right w:w="108" w:type="dxa"/>
            </w:tcMar>
            <w:vAlign w:val="bottom"/>
            <w:hideMark/>
          </w:tcPr>
          <w:p w14:paraId="3BC18F33" w14:textId="77777777" w:rsidR="0017018E" w:rsidRDefault="0017018E" w:rsidP="002A5FFC">
            <w:pPr>
              <w:pStyle w:val="TableText"/>
              <w:jc w:val="center"/>
            </w:pPr>
            <w:r>
              <w:t>-93 (-10.2%)</w:t>
            </w:r>
          </w:p>
        </w:tc>
        <w:tc>
          <w:tcPr>
            <w:tcW w:w="766" w:type="pct"/>
            <w:noWrap/>
            <w:tcMar>
              <w:top w:w="0" w:type="dxa"/>
              <w:left w:w="108" w:type="dxa"/>
              <w:bottom w:w="0" w:type="dxa"/>
              <w:right w:w="108" w:type="dxa"/>
            </w:tcMar>
            <w:vAlign w:val="bottom"/>
            <w:hideMark/>
          </w:tcPr>
          <w:p w14:paraId="0B9F74AB" w14:textId="77777777" w:rsidR="0017018E" w:rsidRDefault="0017018E" w:rsidP="002A5FFC">
            <w:pPr>
              <w:pStyle w:val="TableText"/>
              <w:jc w:val="center"/>
            </w:pPr>
            <w:r>
              <w:t>383 (41.9%)</w:t>
            </w:r>
          </w:p>
        </w:tc>
      </w:tr>
      <w:tr w:rsidR="0017018E" w14:paraId="2C530C1B" w14:textId="77777777" w:rsidTr="002A5FFC">
        <w:trPr>
          <w:trHeight w:val="300"/>
        </w:trPr>
        <w:tc>
          <w:tcPr>
            <w:tcW w:w="1663" w:type="pct"/>
            <w:shd w:val="clear" w:color="auto" w:fill="EDEDED"/>
            <w:noWrap/>
            <w:tcMar>
              <w:top w:w="0" w:type="dxa"/>
              <w:left w:w="108" w:type="dxa"/>
              <w:bottom w:w="0" w:type="dxa"/>
              <w:right w:w="108" w:type="dxa"/>
            </w:tcMar>
            <w:vAlign w:val="bottom"/>
            <w:hideMark/>
          </w:tcPr>
          <w:p w14:paraId="0BF328DF" w14:textId="77777777" w:rsidR="0017018E" w:rsidRDefault="0017018E" w:rsidP="002A5FFC">
            <w:pPr>
              <w:pStyle w:val="TableText"/>
              <w:rPr>
                <w:rFonts w:eastAsiaTheme="minorHAnsi"/>
              </w:rPr>
            </w:pPr>
            <w:r>
              <w:t>Construction</w:t>
            </w:r>
          </w:p>
        </w:tc>
        <w:tc>
          <w:tcPr>
            <w:tcW w:w="895" w:type="pct"/>
            <w:shd w:val="clear" w:color="auto" w:fill="EDEDED"/>
            <w:noWrap/>
            <w:tcMar>
              <w:top w:w="0" w:type="dxa"/>
              <w:left w:w="108" w:type="dxa"/>
              <w:bottom w:w="0" w:type="dxa"/>
              <w:right w:w="108" w:type="dxa"/>
            </w:tcMar>
            <w:vAlign w:val="bottom"/>
            <w:hideMark/>
          </w:tcPr>
          <w:p w14:paraId="0A73AB70" w14:textId="77777777" w:rsidR="0017018E" w:rsidRDefault="0017018E" w:rsidP="002A5FFC">
            <w:pPr>
              <w:pStyle w:val="TableText"/>
              <w:jc w:val="center"/>
            </w:pPr>
            <w:r>
              <w:t>1.2 (3.0%)</w:t>
            </w:r>
          </w:p>
        </w:tc>
        <w:tc>
          <w:tcPr>
            <w:tcW w:w="781" w:type="pct"/>
            <w:shd w:val="clear" w:color="auto" w:fill="EDEDED"/>
            <w:noWrap/>
            <w:tcMar>
              <w:top w:w="0" w:type="dxa"/>
              <w:left w:w="108" w:type="dxa"/>
              <w:bottom w:w="0" w:type="dxa"/>
              <w:right w:w="108" w:type="dxa"/>
            </w:tcMar>
            <w:vAlign w:val="bottom"/>
            <w:hideMark/>
          </w:tcPr>
          <w:p w14:paraId="1284928D" w14:textId="77777777" w:rsidR="0017018E" w:rsidRDefault="0017018E" w:rsidP="002A5FFC">
            <w:pPr>
              <w:pStyle w:val="TableText"/>
              <w:jc w:val="center"/>
            </w:pPr>
            <w:r>
              <w:t>3.3 (8.2%)</w:t>
            </w:r>
          </w:p>
        </w:tc>
        <w:tc>
          <w:tcPr>
            <w:tcW w:w="895" w:type="pct"/>
            <w:shd w:val="clear" w:color="auto" w:fill="EDEDED"/>
            <w:noWrap/>
            <w:tcMar>
              <w:top w:w="0" w:type="dxa"/>
              <w:left w:w="108" w:type="dxa"/>
              <w:bottom w:w="0" w:type="dxa"/>
              <w:right w:w="108" w:type="dxa"/>
            </w:tcMar>
            <w:vAlign w:val="bottom"/>
            <w:hideMark/>
          </w:tcPr>
          <w:p w14:paraId="02F6DACE" w14:textId="77777777" w:rsidR="0017018E" w:rsidRDefault="0017018E" w:rsidP="002A5FFC">
            <w:pPr>
              <w:pStyle w:val="TableText"/>
              <w:jc w:val="center"/>
            </w:pPr>
            <w:r>
              <w:t>13 (28.3%)</w:t>
            </w:r>
          </w:p>
        </w:tc>
        <w:tc>
          <w:tcPr>
            <w:tcW w:w="766" w:type="pct"/>
            <w:shd w:val="clear" w:color="auto" w:fill="EDEDED"/>
            <w:noWrap/>
            <w:tcMar>
              <w:top w:w="0" w:type="dxa"/>
              <w:left w:w="108" w:type="dxa"/>
              <w:bottom w:w="0" w:type="dxa"/>
              <w:right w:w="108" w:type="dxa"/>
            </w:tcMar>
            <w:vAlign w:val="bottom"/>
            <w:hideMark/>
          </w:tcPr>
          <w:p w14:paraId="5334D16C" w14:textId="77777777" w:rsidR="0017018E" w:rsidRDefault="0017018E" w:rsidP="002A5FFC">
            <w:pPr>
              <w:pStyle w:val="TableText"/>
              <w:jc w:val="center"/>
            </w:pPr>
            <w:r>
              <w:t>13 (28.3%)</w:t>
            </w:r>
          </w:p>
        </w:tc>
      </w:tr>
      <w:tr w:rsidR="0017018E" w14:paraId="13A4E217" w14:textId="77777777" w:rsidTr="002A5FFC">
        <w:trPr>
          <w:trHeight w:val="300"/>
        </w:trPr>
        <w:tc>
          <w:tcPr>
            <w:tcW w:w="1663" w:type="pct"/>
            <w:noWrap/>
            <w:tcMar>
              <w:top w:w="0" w:type="dxa"/>
              <w:left w:w="108" w:type="dxa"/>
              <w:bottom w:w="0" w:type="dxa"/>
              <w:right w:w="108" w:type="dxa"/>
            </w:tcMar>
            <w:vAlign w:val="bottom"/>
            <w:hideMark/>
          </w:tcPr>
          <w:p w14:paraId="0904398F" w14:textId="77777777" w:rsidR="0017018E" w:rsidRDefault="0017018E" w:rsidP="002A5FFC">
            <w:pPr>
              <w:pStyle w:val="TableText"/>
              <w:rPr>
                <w:rFonts w:eastAsiaTheme="minorHAnsi"/>
              </w:rPr>
            </w:pPr>
            <w:r>
              <w:t>Transport</w:t>
            </w:r>
          </w:p>
        </w:tc>
        <w:tc>
          <w:tcPr>
            <w:tcW w:w="895" w:type="pct"/>
            <w:noWrap/>
            <w:tcMar>
              <w:top w:w="0" w:type="dxa"/>
              <w:left w:w="108" w:type="dxa"/>
              <w:bottom w:w="0" w:type="dxa"/>
              <w:right w:w="108" w:type="dxa"/>
            </w:tcMar>
            <w:vAlign w:val="bottom"/>
            <w:hideMark/>
          </w:tcPr>
          <w:p w14:paraId="0220DCF3" w14:textId="77777777" w:rsidR="0017018E" w:rsidRDefault="0017018E" w:rsidP="002A5FFC">
            <w:pPr>
              <w:pStyle w:val="TableText"/>
              <w:jc w:val="center"/>
            </w:pPr>
            <w:r>
              <w:t>166.3 (5.2%)</w:t>
            </w:r>
          </w:p>
        </w:tc>
        <w:tc>
          <w:tcPr>
            <w:tcW w:w="781" w:type="pct"/>
            <w:noWrap/>
            <w:tcMar>
              <w:top w:w="0" w:type="dxa"/>
              <w:left w:w="108" w:type="dxa"/>
              <w:bottom w:w="0" w:type="dxa"/>
              <w:right w:w="108" w:type="dxa"/>
            </w:tcMar>
            <w:vAlign w:val="bottom"/>
            <w:hideMark/>
          </w:tcPr>
          <w:p w14:paraId="41C8FA05" w14:textId="77777777" w:rsidR="0017018E" w:rsidRDefault="0017018E" w:rsidP="002A5FFC">
            <w:pPr>
              <w:pStyle w:val="TableText"/>
              <w:jc w:val="center"/>
            </w:pPr>
            <w:r>
              <w:t>681.1 (21.1%)</w:t>
            </w:r>
          </w:p>
        </w:tc>
        <w:tc>
          <w:tcPr>
            <w:tcW w:w="895" w:type="pct"/>
            <w:noWrap/>
            <w:tcMar>
              <w:top w:w="0" w:type="dxa"/>
              <w:left w:w="108" w:type="dxa"/>
              <w:bottom w:w="0" w:type="dxa"/>
              <w:right w:w="108" w:type="dxa"/>
            </w:tcMar>
            <w:vAlign w:val="bottom"/>
            <w:hideMark/>
          </w:tcPr>
          <w:p w14:paraId="562C5DF2" w14:textId="77777777" w:rsidR="0017018E" w:rsidRDefault="0017018E" w:rsidP="002A5FFC">
            <w:pPr>
              <w:pStyle w:val="TableText"/>
              <w:jc w:val="center"/>
            </w:pPr>
            <w:r>
              <w:t>0 (0%)</w:t>
            </w:r>
          </w:p>
        </w:tc>
        <w:tc>
          <w:tcPr>
            <w:tcW w:w="766" w:type="pct"/>
            <w:noWrap/>
            <w:tcMar>
              <w:top w:w="0" w:type="dxa"/>
              <w:left w:w="108" w:type="dxa"/>
              <w:bottom w:w="0" w:type="dxa"/>
              <w:right w:w="108" w:type="dxa"/>
            </w:tcMar>
            <w:vAlign w:val="bottom"/>
            <w:hideMark/>
          </w:tcPr>
          <w:p w14:paraId="7F1CEC5F" w14:textId="77777777" w:rsidR="0017018E" w:rsidRDefault="0017018E" w:rsidP="002A5FFC">
            <w:pPr>
              <w:pStyle w:val="TableText"/>
              <w:jc w:val="center"/>
            </w:pPr>
            <w:r>
              <w:t>0 (0%)</w:t>
            </w:r>
          </w:p>
        </w:tc>
      </w:tr>
      <w:tr w:rsidR="0017018E" w14:paraId="42029661" w14:textId="77777777" w:rsidTr="002A5FFC">
        <w:trPr>
          <w:trHeight w:val="300"/>
        </w:trPr>
        <w:tc>
          <w:tcPr>
            <w:tcW w:w="1663" w:type="pct"/>
            <w:shd w:val="clear" w:color="auto" w:fill="EDEDED"/>
            <w:noWrap/>
            <w:tcMar>
              <w:top w:w="0" w:type="dxa"/>
              <w:left w:w="108" w:type="dxa"/>
              <w:bottom w:w="0" w:type="dxa"/>
              <w:right w:w="108" w:type="dxa"/>
            </w:tcMar>
            <w:vAlign w:val="bottom"/>
            <w:hideMark/>
          </w:tcPr>
          <w:p w14:paraId="37823D49" w14:textId="550F300F" w:rsidR="0017018E" w:rsidRDefault="0017018E" w:rsidP="0069045A">
            <w:pPr>
              <w:pStyle w:val="TableText"/>
              <w:rPr>
                <w:rFonts w:eastAsiaTheme="minorHAnsi"/>
              </w:rPr>
            </w:pPr>
            <w:r>
              <w:t xml:space="preserve">Commercial and </w:t>
            </w:r>
            <w:r w:rsidR="0069045A">
              <w:t>s</w:t>
            </w:r>
            <w:r>
              <w:t>ervices</w:t>
            </w:r>
          </w:p>
        </w:tc>
        <w:tc>
          <w:tcPr>
            <w:tcW w:w="895" w:type="pct"/>
            <w:shd w:val="clear" w:color="auto" w:fill="EDEDED"/>
            <w:noWrap/>
            <w:tcMar>
              <w:top w:w="0" w:type="dxa"/>
              <w:left w:w="108" w:type="dxa"/>
              <w:bottom w:w="0" w:type="dxa"/>
              <w:right w:w="108" w:type="dxa"/>
            </w:tcMar>
            <w:vAlign w:val="bottom"/>
            <w:hideMark/>
          </w:tcPr>
          <w:p w14:paraId="1A75E473" w14:textId="77777777" w:rsidR="0017018E" w:rsidRDefault="0017018E" w:rsidP="002A5FFC">
            <w:pPr>
              <w:pStyle w:val="TableText"/>
              <w:jc w:val="center"/>
            </w:pPr>
            <w:r>
              <w:t>0.0 (0%)</w:t>
            </w:r>
          </w:p>
        </w:tc>
        <w:tc>
          <w:tcPr>
            <w:tcW w:w="781" w:type="pct"/>
            <w:shd w:val="clear" w:color="auto" w:fill="EDEDED"/>
            <w:noWrap/>
            <w:tcMar>
              <w:top w:w="0" w:type="dxa"/>
              <w:left w:w="108" w:type="dxa"/>
              <w:bottom w:w="0" w:type="dxa"/>
              <w:right w:w="108" w:type="dxa"/>
            </w:tcMar>
            <w:vAlign w:val="bottom"/>
            <w:hideMark/>
          </w:tcPr>
          <w:p w14:paraId="37C9DBD5" w14:textId="77777777" w:rsidR="0017018E" w:rsidRDefault="0017018E" w:rsidP="002A5FFC">
            <w:pPr>
              <w:pStyle w:val="TableText"/>
              <w:jc w:val="center"/>
            </w:pPr>
            <w:r>
              <w:t>315.3 (48.9%)</w:t>
            </w:r>
          </w:p>
        </w:tc>
        <w:tc>
          <w:tcPr>
            <w:tcW w:w="895" w:type="pct"/>
            <w:shd w:val="clear" w:color="auto" w:fill="EDEDED"/>
            <w:noWrap/>
            <w:tcMar>
              <w:top w:w="0" w:type="dxa"/>
              <w:left w:w="108" w:type="dxa"/>
              <w:bottom w:w="0" w:type="dxa"/>
              <w:right w:w="108" w:type="dxa"/>
            </w:tcMar>
            <w:vAlign w:val="bottom"/>
            <w:hideMark/>
          </w:tcPr>
          <w:p w14:paraId="56033BDD" w14:textId="77777777" w:rsidR="0017018E" w:rsidRDefault="0017018E" w:rsidP="002A5FFC">
            <w:pPr>
              <w:pStyle w:val="TableText"/>
              <w:jc w:val="center"/>
            </w:pPr>
            <w:r>
              <w:t>273 (10.7%)</w:t>
            </w:r>
          </w:p>
        </w:tc>
        <w:tc>
          <w:tcPr>
            <w:tcW w:w="766" w:type="pct"/>
            <w:shd w:val="clear" w:color="auto" w:fill="EDEDED"/>
            <w:noWrap/>
            <w:tcMar>
              <w:top w:w="0" w:type="dxa"/>
              <w:left w:w="108" w:type="dxa"/>
              <w:bottom w:w="0" w:type="dxa"/>
              <w:right w:w="108" w:type="dxa"/>
            </w:tcMar>
            <w:vAlign w:val="bottom"/>
            <w:hideMark/>
          </w:tcPr>
          <w:p w14:paraId="551C840C" w14:textId="77777777" w:rsidR="0017018E" w:rsidRDefault="0017018E" w:rsidP="002A5FFC">
            <w:pPr>
              <w:pStyle w:val="TableText"/>
              <w:jc w:val="center"/>
            </w:pPr>
            <w:r>
              <w:t>1993 (77.7%)</w:t>
            </w:r>
          </w:p>
        </w:tc>
      </w:tr>
      <w:tr w:rsidR="0017018E" w14:paraId="7D589F7E" w14:textId="77777777" w:rsidTr="002A5FFC">
        <w:trPr>
          <w:trHeight w:val="300"/>
        </w:trPr>
        <w:tc>
          <w:tcPr>
            <w:tcW w:w="1663" w:type="pct"/>
            <w:noWrap/>
            <w:tcMar>
              <w:top w:w="0" w:type="dxa"/>
              <w:left w:w="108" w:type="dxa"/>
              <w:bottom w:w="0" w:type="dxa"/>
              <w:right w:w="108" w:type="dxa"/>
            </w:tcMar>
            <w:vAlign w:val="bottom"/>
            <w:hideMark/>
          </w:tcPr>
          <w:p w14:paraId="784FCECB" w14:textId="77777777" w:rsidR="0017018E" w:rsidRDefault="0017018E" w:rsidP="002A5FFC">
            <w:pPr>
              <w:pStyle w:val="TableText"/>
              <w:rPr>
                <w:rFonts w:eastAsiaTheme="minorHAnsi"/>
              </w:rPr>
            </w:pPr>
            <w:r>
              <w:rPr>
                <w:rFonts w:eastAsiaTheme="minorHAnsi"/>
              </w:rPr>
              <w:t>Residential</w:t>
            </w:r>
          </w:p>
        </w:tc>
        <w:tc>
          <w:tcPr>
            <w:tcW w:w="895" w:type="pct"/>
            <w:noWrap/>
            <w:tcMar>
              <w:top w:w="0" w:type="dxa"/>
              <w:left w:w="108" w:type="dxa"/>
              <w:bottom w:w="0" w:type="dxa"/>
              <w:right w:w="108" w:type="dxa"/>
            </w:tcMar>
            <w:vAlign w:val="bottom"/>
            <w:hideMark/>
          </w:tcPr>
          <w:p w14:paraId="28BD2D7F" w14:textId="77777777" w:rsidR="0017018E" w:rsidRDefault="0017018E" w:rsidP="002A5FFC">
            <w:pPr>
              <w:pStyle w:val="TableText"/>
              <w:jc w:val="center"/>
            </w:pPr>
            <w:r>
              <w:t>-98.8 (-11.4%)</w:t>
            </w:r>
          </w:p>
        </w:tc>
        <w:tc>
          <w:tcPr>
            <w:tcW w:w="781" w:type="pct"/>
            <w:noWrap/>
            <w:tcMar>
              <w:top w:w="0" w:type="dxa"/>
              <w:left w:w="108" w:type="dxa"/>
              <w:bottom w:w="0" w:type="dxa"/>
              <w:right w:w="108" w:type="dxa"/>
            </w:tcMar>
            <w:vAlign w:val="bottom"/>
            <w:hideMark/>
          </w:tcPr>
          <w:p w14:paraId="7C871C67" w14:textId="77777777" w:rsidR="0017018E" w:rsidRDefault="0017018E" w:rsidP="002A5FFC">
            <w:pPr>
              <w:pStyle w:val="TableText"/>
              <w:jc w:val="center"/>
            </w:pPr>
            <w:r>
              <w:t>202.0 (23.4%)</w:t>
            </w:r>
          </w:p>
        </w:tc>
        <w:tc>
          <w:tcPr>
            <w:tcW w:w="895" w:type="pct"/>
            <w:noWrap/>
            <w:tcMar>
              <w:top w:w="0" w:type="dxa"/>
              <w:left w:w="108" w:type="dxa"/>
              <w:bottom w:w="0" w:type="dxa"/>
              <w:right w:w="108" w:type="dxa"/>
            </w:tcMar>
            <w:vAlign w:val="bottom"/>
            <w:hideMark/>
          </w:tcPr>
          <w:p w14:paraId="66598F41" w14:textId="77777777" w:rsidR="0017018E" w:rsidRDefault="0017018E" w:rsidP="002A5FFC">
            <w:pPr>
              <w:pStyle w:val="TableText"/>
              <w:jc w:val="center"/>
            </w:pPr>
            <w:r>
              <w:t>1242 (38.3%)</w:t>
            </w:r>
          </w:p>
        </w:tc>
        <w:tc>
          <w:tcPr>
            <w:tcW w:w="766" w:type="pct"/>
            <w:noWrap/>
            <w:tcMar>
              <w:top w:w="0" w:type="dxa"/>
              <w:left w:w="108" w:type="dxa"/>
              <w:bottom w:w="0" w:type="dxa"/>
              <w:right w:w="108" w:type="dxa"/>
            </w:tcMar>
            <w:vAlign w:val="bottom"/>
            <w:hideMark/>
          </w:tcPr>
          <w:p w14:paraId="14D9A9ED" w14:textId="77777777" w:rsidR="0017018E" w:rsidRDefault="0017018E" w:rsidP="002A5FFC">
            <w:pPr>
              <w:pStyle w:val="TableText"/>
              <w:jc w:val="center"/>
            </w:pPr>
            <w:r>
              <w:t>1764 (54.4%)</w:t>
            </w:r>
          </w:p>
        </w:tc>
      </w:tr>
      <w:tr w:rsidR="0017018E" w14:paraId="2BDDBFDE" w14:textId="77777777" w:rsidTr="002A5FFC">
        <w:trPr>
          <w:trHeight w:val="300"/>
        </w:trPr>
        <w:tc>
          <w:tcPr>
            <w:tcW w:w="1663" w:type="pct"/>
            <w:shd w:val="clear" w:color="auto" w:fill="EDEDED"/>
            <w:noWrap/>
            <w:tcMar>
              <w:top w:w="0" w:type="dxa"/>
              <w:left w:w="108" w:type="dxa"/>
              <w:bottom w:w="0" w:type="dxa"/>
              <w:right w:w="108" w:type="dxa"/>
            </w:tcMar>
            <w:vAlign w:val="bottom"/>
            <w:hideMark/>
          </w:tcPr>
          <w:p w14:paraId="4BEBA008" w14:textId="77777777" w:rsidR="0017018E" w:rsidRDefault="0017018E" w:rsidP="002A5FFC">
            <w:pPr>
              <w:pStyle w:val="TableText"/>
              <w:rPr>
                <w:rFonts w:eastAsiaTheme="minorHAnsi"/>
              </w:rPr>
            </w:pPr>
            <w:r>
              <w:t>Water supply and waste services</w:t>
            </w:r>
          </w:p>
        </w:tc>
        <w:tc>
          <w:tcPr>
            <w:tcW w:w="895" w:type="pct"/>
            <w:shd w:val="clear" w:color="auto" w:fill="EDEDED"/>
            <w:noWrap/>
            <w:tcMar>
              <w:top w:w="0" w:type="dxa"/>
              <w:left w:w="108" w:type="dxa"/>
              <w:bottom w:w="0" w:type="dxa"/>
              <w:right w:w="108" w:type="dxa"/>
            </w:tcMar>
            <w:vAlign w:val="bottom"/>
            <w:hideMark/>
          </w:tcPr>
          <w:p w14:paraId="2967251B" w14:textId="77777777" w:rsidR="0017018E" w:rsidRDefault="0017018E" w:rsidP="002A5FFC">
            <w:pPr>
              <w:pStyle w:val="TableText"/>
              <w:jc w:val="center"/>
            </w:pPr>
            <w:r>
              <w:t>0.6 (3.9%)</w:t>
            </w:r>
          </w:p>
        </w:tc>
        <w:tc>
          <w:tcPr>
            <w:tcW w:w="781" w:type="pct"/>
            <w:shd w:val="clear" w:color="auto" w:fill="EDEDED"/>
            <w:noWrap/>
            <w:tcMar>
              <w:top w:w="0" w:type="dxa"/>
              <w:left w:w="108" w:type="dxa"/>
              <w:bottom w:w="0" w:type="dxa"/>
              <w:right w:w="108" w:type="dxa"/>
            </w:tcMar>
            <w:vAlign w:val="bottom"/>
            <w:hideMark/>
          </w:tcPr>
          <w:p w14:paraId="75073A3F" w14:textId="77777777" w:rsidR="0017018E" w:rsidRDefault="0017018E" w:rsidP="002A5FFC">
            <w:pPr>
              <w:pStyle w:val="TableText"/>
              <w:jc w:val="center"/>
            </w:pPr>
            <w:r>
              <w:t>1.9 (13.3%)</w:t>
            </w:r>
          </w:p>
        </w:tc>
        <w:tc>
          <w:tcPr>
            <w:tcW w:w="895" w:type="pct"/>
            <w:shd w:val="clear" w:color="auto" w:fill="EDEDED"/>
            <w:noWrap/>
            <w:tcMar>
              <w:top w:w="0" w:type="dxa"/>
              <w:left w:w="108" w:type="dxa"/>
              <w:bottom w:w="0" w:type="dxa"/>
              <w:right w:w="108" w:type="dxa"/>
            </w:tcMar>
            <w:vAlign w:val="bottom"/>
            <w:hideMark/>
          </w:tcPr>
          <w:p w14:paraId="315280FE" w14:textId="77777777" w:rsidR="0017018E" w:rsidRDefault="0017018E" w:rsidP="002A5FFC">
            <w:pPr>
              <w:pStyle w:val="TableText"/>
              <w:jc w:val="center"/>
            </w:pPr>
            <w:r>
              <w:t>645 (33.4%)</w:t>
            </w:r>
          </w:p>
        </w:tc>
        <w:tc>
          <w:tcPr>
            <w:tcW w:w="766" w:type="pct"/>
            <w:shd w:val="clear" w:color="auto" w:fill="EDEDED"/>
            <w:noWrap/>
            <w:tcMar>
              <w:top w:w="0" w:type="dxa"/>
              <w:left w:w="108" w:type="dxa"/>
              <w:bottom w:w="0" w:type="dxa"/>
              <w:right w:w="108" w:type="dxa"/>
            </w:tcMar>
            <w:vAlign w:val="bottom"/>
            <w:hideMark/>
          </w:tcPr>
          <w:p w14:paraId="452B5EB9" w14:textId="77777777" w:rsidR="0017018E" w:rsidRDefault="0017018E" w:rsidP="002A5FFC">
            <w:pPr>
              <w:pStyle w:val="TableText"/>
              <w:jc w:val="center"/>
            </w:pPr>
            <w:r>
              <w:t>691 (35.8%)</w:t>
            </w:r>
          </w:p>
        </w:tc>
      </w:tr>
      <w:tr w:rsidR="0017018E" w14:paraId="7CB6925C" w14:textId="77777777" w:rsidTr="002A5FFC">
        <w:trPr>
          <w:trHeight w:val="300"/>
        </w:trPr>
        <w:tc>
          <w:tcPr>
            <w:tcW w:w="1663" w:type="pct"/>
            <w:tcBorders>
              <w:bottom w:val="single" w:sz="4" w:space="0" w:color="auto"/>
            </w:tcBorders>
            <w:noWrap/>
            <w:tcMar>
              <w:top w:w="0" w:type="dxa"/>
              <w:left w:w="108" w:type="dxa"/>
              <w:bottom w:w="0" w:type="dxa"/>
              <w:right w:w="108" w:type="dxa"/>
            </w:tcMar>
            <w:vAlign w:val="bottom"/>
            <w:hideMark/>
          </w:tcPr>
          <w:p w14:paraId="75166742" w14:textId="77777777" w:rsidR="0017018E" w:rsidRDefault="0017018E" w:rsidP="002A5FFC">
            <w:pPr>
              <w:pStyle w:val="TableText"/>
              <w:rPr>
                <w:rFonts w:eastAsiaTheme="minorHAnsi"/>
              </w:rPr>
            </w:pPr>
            <w:r>
              <w:t>Electricity generation</w:t>
            </w:r>
          </w:p>
        </w:tc>
        <w:tc>
          <w:tcPr>
            <w:tcW w:w="895" w:type="pct"/>
            <w:tcBorders>
              <w:bottom w:val="single" w:sz="4" w:space="0" w:color="auto"/>
            </w:tcBorders>
            <w:noWrap/>
            <w:tcMar>
              <w:top w:w="0" w:type="dxa"/>
              <w:left w:w="108" w:type="dxa"/>
              <w:bottom w:w="0" w:type="dxa"/>
              <w:right w:w="108" w:type="dxa"/>
            </w:tcMar>
            <w:vAlign w:val="bottom"/>
            <w:hideMark/>
          </w:tcPr>
          <w:p w14:paraId="77845758" w14:textId="77777777" w:rsidR="0017018E" w:rsidRDefault="0017018E" w:rsidP="002A5FFC">
            <w:pPr>
              <w:pStyle w:val="TableText"/>
              <w:jc w:val="center"/>
            </w:pPr>
            <w:r>
              <w:t>0.0 (0%)</w:t>
            </w:r>
          </w:p>
        </w:tc>
        <w:tc>
          <w:tcPr>
            <w:tcW w:w="781" w:type="pct"/>
            <w:tcBorders>
              <w:bottom w:val="single" w:sz="4" w:space="0" w:color="auto"/>
            </w:tcBorders>
            <w:noWrap/>
            <w:tcMar>
              <w:top w:w="0" w:type="dxa"/>
              <w:left w:w="108" w:type="dxa"/>
              <w:bottom w:w="0" w:type="dxa"/>
              <w:right w:w="108" w:type="dxa"/>
            </w:tcMar>
            <w:vAlign w:val="bottom"/>
            <w:hideMark/>
          </w:tcPr>
          <w:p w14:paraId="2B17BB4A" w14:textId="77777777" w:rsidR="0017018E" w:rsidRDefault="0017018E" w:rsidP="002A5FFC">
            <w:pPr>
              <w:pStyle w:val="TableText"/>
              <w:jc w:val="center"/>
            </w:pPr>
            <w:r>
              <w:t>0.0 (0%)</w:t>
            </w:r>
          </w:p>
        </w:tc>
        <w:tc>
          <w:tcPr>
            <w:tcW w:w="895" w:type="pct"/>
            <w:tcBorders>
              <w:bottom w:val="single" w:sz="4" w:space="0" w:color="auto"/>
            </w:tcBorders>
            <w:noWrap/>
            <w:tcMar>
              <w:top w:w="0" w:type="dxa"/>
              <w:left w:w="108" w:type="dxa"/>
              <w:bottom w:w="0" w:type="dxa"/>
              <w:right w:w="108" w:type="dxa"/>
            </w:tcMar>
            <w:vAlign w:val="bottom"/>
            <w:hideMark/>
          </w:tcPr>
          <w:p w14:paraId="4878C426" w14:textId="77777777" w:rsidR="0017018E" w:rsidRDefault="0017018E" w:rsidP="002A5FFC">
            <w:pPr>
              <w:pStyle w:val="TableText"/>
              <w:jc w:val="center"/>
            </w:pPr>
            <w:r>
              <w:t>25 (5.3%)</w:t>
            </w:r>
          </w:p>
        </w:tc>
        <w:tc>
          <w:tcPr>
            <w:tcW w:w="766" w:type="pct"/>
            <w:tcBorders>
              <w:bottom w:val="single" w:sz="4" w:space="0" w:color="auto"/>
            </w:tcBorders>
            <w:noWrap/>
            <w:tcMar>
              <w:top w:w="0" w:type="dxa"/>
              <w:left w:w="108" w:type="dxa"/>
              <w:bottom w:w="0" w:type="dxa"/>
              <w:right w:w="108" w:type="dxa"/>
            </w:tcMar>
            <w:vAlign w:val="bottom"/>
            <w:hideMark/>
          </w:tcPr>
          <w:p w14:paraId="5C09BD78" w14:textId="77777777" w:rsidR="0017018E" w:rsidRDefault="0017018E" w:rsidP="002A5FFC">
            <w:pPr>
              <w:pStyle w:val="TableText"/>
              <w:jc w:val="center"/>
            </w:pPr>
            <w:r>
              <w:t>25 (5.3%)</w:t>
            </w:r>
          </w:p>
        </w:tc>
      </w:tr>
      <w:tr w:rsidR="0017018E" w:rsidRPr="008575B5" w14:paraId="573AA94E" w14:textId="77777777" w:rsidTr="002A5FFC">
        <w:trPr>
          <w:trHeight w:val="300"/>
        </w:trPr>
        <w:tc>
          <w:tcPr>
            <w:tcW w:w="1663" w:type="pct"/>
            <w:tcBorders>
              <w:top w:val="single" w:sz="4" w:space="0" w:color="auto"/>
              <w:bottom w:val="single" w:sz="4" w:space="0" w:color="auto"/>
            </w:tcBorders>
            <w:shd w:val="clear" w:color="auto" w:fill="EDEDED"/>
            <w:noWrap/>
            <w:tcMar>
              <w:top w:w="0" w:type="dxa"/>
              <w:left w:w="108" w:type="dxa"/>
              <w:bottom w:w="0" w:type="dxa"/>
              <w:right w:w="108" w:type="dxa"/>
            </w:tcMar>
            <w:vAlign w:val="bottom"/>
            <w:hideMark/>
          </w:tcPr>
          <w:p w14:paraId="1170CBF2" w14:textId="6A147944" w:rsidR="0017018E" w:rsidRPr="002A5FFC" w:rsidRDefault="0017018E" w:rsidP="002A5FFC">
            <w:pPr>
              <w:pStyle w:val="TableText"/>
              <w:rPr>
                <w:rFonts w:eastAsiaTheme="minorHAnsi"/>
                <w:b/>
              </w:rPr>
            </w:pPr>
            <w:r w:rsidRPr="002A5FFC">
              <w:rPr>
                <w:b/>
              </w:rPr>
              <w:t>TOTAL</w:t>
            </w:r>
            <w:r w:rsidR="00C10B42">
              <w:rPr>
                <w:b/>
              </w:rPr>
              <w:t xml:space="preserve"> </w:t>
            </w:r>
            <w:r w:rsidRPr="002A5FFC">
              <w:rPr>
                <w:b/>
              </w:rPr>
              <w:t>(cumulative savings)</w:t>
            </w:r>
          </w:p>
        </w:tc>
        <w:tc>
          <w:tcPr>
            <w:tcW w:w="895" w:type="pct"/>
            <w:tcBorders>
              <w:top w:val="single" w:sz="4" w:space="0" w:color="auto"/>
              <w:bottom w:val="single" w:sz="4" w:space="0" w:color="auto"/>
            </w:tcBorders>
            <w:shd w:val="clear" w:color="auto" w:fill="EDEDED"/>
            <w:noWrap/>
            <w:tcMar>
              <w:top w:w="0" w:type="dxa"/>
              <w:left w:w="108" w:type="dxa"/>
              <w:bottom w:w="0" w:type="dxa"/>
              <w:right w:w="108" w:type="dxa"/>
            </w:tcMar>
            <w:vAlign w:val="bottom"/>
            <w:hideMark/>
          </w:tcPr>
          <w:p w14:paraId="2F4CC1B5" w14:textId="77777777" w:rsidR="0017018E" w:rsidRPr="002A5FFC" w:rsidRDefault="0017018E" w:rsidP="002A5FFC">
            <w:pPr>
              <w:pStyle w:val="TableText"/>
              <w:jc w:val="center"/>
              <w:rPr>
                <w:b/>
              </w:rPr>
            </w:pPr>
            <w:r w:rsidRPr="002A5FFC">
              <w:rPr>
                <w:b/>
              </w:rPr>
              <w:t>259 (2.5%)</w:t>
            </w:r>
          </w:p>
        </w:tc>
        <w:tc>
          <w:tcPr>
            <w:tcW w:w="781" w:type="pct"/>
            <w:tcBorders>
              <w:top w:val="single" w:sz="4" w:space="0" w:color="auto"/>
              <w:bottom w:val="single" w:sz="4" w:space="0" w:color="auto"/>
            </w:tcBorders>
            <w:shd w:val="clear" w:color="auto" w:fill="EDEDED"/>
            <w:noWrap/>
            <w:tcMar>
              <w:top w:w="0" w:type="dxa"/>
              <w:left w:w="108" w:type="dxa"/>
              <w:bottom w:w="0" w:type="dxa"/>
              <w:right w:w="108" w:type="dxa"/>
            </w:tcMar>
            <w:vAlign w:val="bottom"/>
            <w:hideMark/>
          </w:tcPr>
          <w:p w14:paraId="2EB00F7A" w14:textId="77777777" w:rsidR="0017018E" w:rsidRPr="002A5FFC" w:rsidRDefault="0017018E" w:rsidP="002A5FFC">
            <w:pPr>
              <w:pStyle w:val="TableText"/>
              <w:jc w:val="center"/>
              <w:rPr>
                <w:b/>
              </w:rPr>
            </w:pPr>
            <w:r w:rsidRPr="002A5FFC">
              <w:rPr>
                <w:b/>
              </w:rPr>
              <w:t>1800 (16.9%)</w:t>
            </w:r>
          </w:p>
        </w:tc>
        <w:tc>
          <w:tcPr>
            <w:tcW w:w="895" w:type="pct"/>
            <w:tcBorders>
              <w:top w:val="single" w:sz="4" w:space="0" w:color="auto"/>
              <w:bottom w:val="single" w:sz="4" w:space="0" w:color="auto"/>
            </w:tcBorders>
            <w:shd w:val="clear" w:color="auto" w:fill="EDEDED"/>
            <w:noWrap/>
            <w:tcMar>
              <w:top w:w="0" w:type="dxa"/>
              <w:left w:w="108" w:type="dxa"/>
              <w:bottom w:w="0" w:type="dxa"/>
              <w:right w:w="108" w:type="dxa"/>
            </w:tcMar>
            <w:vAlign w:val="bottom"/>
            <w:hideMark/>
          </w:tcPr>
          <w:p w14:paraId="334E832D" w14:textId="77777777" w:rsidR="0017018E" w:rsidRPr="002A5FFC" w:rsidRDefault="0017018E" w:rsidP="002A5FFC">
            <w:pPr>
              <w:pStyle w:val="TableText"/>
              <w:jc w:val="center"/>
              <w:rPr>
                <w:b/>
              </w:rPr>
            </w:pPr>
            <w:r w:rsidRPr="002A5FFC">
              <w:rPr>
                <w:b/>
              </w:rPr>
              <w:t>2097 (20.5%)</w:t>
            </w:r>
          </w:p>
        </w:tc>
        <w:tc>
          <w:tcPr>
            <w:tcW w:w="766" w:type="pct"/>
            <w:tcBorders>
              <w:top w:val="single" w:sz="4" w:space="0" w:color="auto"/>
              <w:bottom w:val="single" w:sz="4" w:space="0" w:color="auto"/>
            </w:tcBorders>
            <w:shd w:val="clear" w:color="auto" w:fill="EDEDED"/>
            <w:noWrap/>
            <w:tcMar>
              <w:top w:w="0" w:type="dxa"/>
              <w:left w:w="108" w:type="dxa"/>
              <w:bottom w:w="0" w:type="dxa"/>
              <w:right w:w="108" w:type="dxa"/>
            </w:tcMar>
            <w:vAlign w:val="bottom"/>
            <w:hideMark/>
          </w:tcPr>
          <w:p w14:paraId="660B369A" w14:textId="77777777" w:rsidR="0017018E" w:rsidRPr="002A5FFC" w:rsidRDefault="0017018E" w:rsidP="002A5FFC">
            <w:pPr>
              <w:pStyle w:val="TableText"/>
              <w:jc w:val="center"/>
              <w:rPr>
                <w:b/>
              </w:rPr>
            </w:pPr>
            <w:r w:rsidRPr="002A5FFC">
              <w:rPr>
                <w:b/>
              </w:rPr>
              <w:t>4921 (48.1%)</w:t>
            </w:r>
          </w:p>
        </w:tc>
      </w:tr>
    </w:tbl>
    <w:p w14:paraId="0ED57DBD" w14:textId="6773170B" w:rsidR="00D9266C" w:rsidRPr="00D9266C" w:rsidRDefault="00D9266C" w:rsidP="00D9266C">
      <w:pPr>
        <w:pStyle w:val="Source"/>
        <w:tabs>
          <w:tab w:val="clear" w:pos="539"/>
        </w:tabs>
        <w:ind w:left="0" w:firstLine="0"/>
      </w:pPr>
      <w:r>
        <w:t xml:space="preserve">NOTE: Projections are </w:t>
      </w:r>
      <w:r w:rsidRPr="00D9266C">
        <w:t>based on the simulation of changes to intensities (resource use/gross value add) and projections of gross value add.  Absolute and % difference in annual consumption is reported with respect to values at 2011</w:t>
      </w:r>
      <w:r>
        <w:t>.</w:t>
      </w:r>
    </w:p>
    <w:p w14:paraId="007DFCBE" w14:textId="1FF4D67F" w:rsidR="0017018E" w:rsidRDefault="0017018E" w:rsidP="0017018E">
      <w:pPr>
        <w:spacing w:after="0"/>
      </w:pPr>
    </w:p>
    <w:p w14:paraId="7C55AB9C" w14:textId="77777777" w:rsidR="0017018E" w:rsidRPr="006D07FA" w:rsidRDefault="0017018E" w:rsidP="006D07FA">
      <w:pPr>
        <w:pStyle w:val="Heading1"/>
        <w:numPr>
          <w:ilvl w:val="0"/>
          <w:numId w:val="13"/>
        </w:numPr>
        <w:tabs>
          <w:tab w:val="clear" w:pos="1134"/>
          <w:tab w:val="left" w:pos="851"/>
        </w:tabs>
        <w:spacing w:after="1080"/>
        <w:rPr>
          <w:color w:val="00A9CE" w:themeColor="accent1"/>
        </w:rPr>
      </w:pPr>
      <w:bookmarkStart w:id="9" w:name="_Toc359885762"/>
      <w:bookmarkStart w:id="10" w:name="_Ref299022613"/>
      <w:bookmarkStart w:id="11" w:name="_Toc433975073"/>
      <w:r w:rsidRPr="006D07FA">
        <w:rPr>
          <w:color w:val="00A9CE" w:themeColor="accent1"/>
        </w:rPr>
        <w:lastRenderedPageBreak/>
        <w:t>Introduction</w:t>
      </w:r>
      <w:bookmarkEnd w:id="9"/>
      <w:bookmarkEnd w:id="10"/>
      <w:bookmarkEnd w:id="11"/>
    </w:p>
    <w:p w14:paraId="7DA56E6A" w14:textId="77777777" w:rsidR="0017018E" w:rsidRDefault="0017018E" w:rsidP="0017018E">
      <w:r>
        <w:t xml:space="preserve">Historical data on water and energy use and projections of future trends in efficiency have been collated and developed for the Australian National Outlook project. The </w:t>
      </w:r>
      <w:r w:rsidRPr="0045334E">
        <w:t>Material and Energy Flow In</w:t>
      </w:r>
      <w:r>
        <w:t>tegrated with Stocks (MEFISTO) a</w:t>
      </w:r>
      <w:r w:rsidRPr="0045334E">
        <w:t>pproach</w:t>
      </w:r>
      <w:r>
        <w:t xml:space="preserve"> employs an accounting structure that parallels established data bases hosted by the Australian Bureau of Statistics (ABS) and </w:t>
      </w:r>
      <w:r w:rsidRPr="0045334E">
        <w:t>Bureau of Resources and Energy Economics</w:t>
      </w:r>
      <w:r>
        <w:t xml:space="preserve"> (BREE).</w:t>
      </w:r>
    </w:p>
    <w:p w14:paraId="4E89CFB8" w14:textId="7F78C105" w:rsidR="0017018E" w:rsidRDefault="0017018E" w:rsidP="0017018E">
      <w:r>
        <w:t xml:space="preserve">We have been fortunate to gain early access to the </w:t>
      </w:r>
      <w:r w:rsidRPr="009A3301">
        <w:t xml:space="preserve">Industrial Energy Efficiency Analysis Tool </w:t>
      </w:r>
      <w:r>
        <w:fldChar w:fldCharType="begin"/>
      </w:r>
      <w:r w:rsidR="00D04510">
        <w:instrText xml:space="preserve"> ADDIN EN.CITE &lt;EndNote&gt;&lt;Cite&gt;&lt;Author&gt;ClimateWorks Australia&lt;/Author&gt;&lt;Year&gt;2013&lt;/Year&gt;&lt;RecNum&gt;263&lt;/RecNum&gt;&lt;DisplayText&gt;(ClimateWorks Australia, 2013)&lt;/DisplayText&gt;&lt;record&gt;&lt;rec-number&gt;263&lt;/rec-number&gt;&lt;foreign-keys&gt;&lt;key app="EN" db-id="t55vefr95ws0pgeffdlvtde0tdta909p2zv9"&gt;263&lt;/key&gt;&lt;/foreign-keys&gt;&lt;ref-type name="Report"&gt;27&lt;/ref-type&gt;&lt;contributors&gt;&lt;authors&gt;&lt;author&gt;ClimateWorks Australia,&lt;/author&gt;&lt;/authors&gt;&lt;/contributors&gt;&lt;titles&gt;&lt;title&gt;Industrial Energy Efficiency Data Analysis &lt;/title&gt;&lt;/titles&gt;&lt;dates&gt;&lt;year&gt;2013&lt;/year&gt;&lt;pub-dates&gt;&lt;date&gt;May&lt;/date&gt;&lt;/pub-dates&gt;&lt;/dates&gt;&lt;urls&gt;&lt;related-urls&gt;&lt;url&gt;http://climateworksaustralia.org/project/current/industrial-energy-efficiency-data-analysis&lt;/url&gt;&lt;url&gt;http://www.climateworksaustralia.org/sites/default/files/documents/publications/climateworks_esi_ieedap_report_jul2012.pdf&lt;/url&gt;&lt;/related-urls&gt;&lt;/urls&gt;&lt;/record&gt;&lt;/Cite&gt;&lt;/EndNote&gt;</w:instrText>
      </w:r>
      <w:r>
        <w:fldChar w:fldCharType="separate"/>
      </w:r>
      <w:r w:rsidR="00D04510">
        <w:rPr>
          <w:noProof/>
        </w:rPr>
        <w:t>(</w:t>
      </w:r>
      <w:hyperlink w:anchor="_ENREF_10" w:tooltip="ClimateWorks Australia, 2013 #263" w:history="1">
        <w:r w:rsidR="00D04510">
          <w:rPr>
            <w:noProof/>
          </w:rPr>
          <w:t>ClimateWorks Australia, 2013</w:t>
        </w:r>
      </w:hyperlink>
      <w:r w:rsidR="00D04510">
        <w:rPr>
          <w:noProof/>
        </w:rPr>
        <w:t>)</w:t>
      </w:r>
      <w:r>
        <w:fldChar w:fldCharType="end"/>
      </w:r>
      <w:r>
        <w:t xml:space="preserve"> originally </w:t>
      </w:r>
      <w:r w:rsidRPr="009A3301">
        <w:t>developed</w:t>
      </w:r>
      <w:r>
        <w:t xml:space="preserve"> by ClimateWorks</w:t>
      </w:r>
      <w:r>
        <w:rPr>
          <w:rStyle w:val="FootnoteReference"/>
        </w:rPr>
        <w:footnoteReference w:id="1"/>
      </w:r>
      <w:r>
        <w:t xml:space="preserve"> </w:t>
      </w:r>
      <w:r w:rsidRPr="009A3301">
        <w:t xml:space="preserve">in the context of the Industrial Energy Efficiency Data Analysis Project (IEEDAP). </w:t>
      </w:r>
      <w:r>
        <w:t xml:space="preserve">From this tool we have acquired </w:t>
      </w:r>
      <w:r w:rsidR="00832205">
        <w:t>‘</w:t>
      </w:r>
      <w:r>
        <w:t>Current Trend</w:t>
      </w:r>
      <w:r w:rsidR="00832205">
        <w:t>’</w:t>
      </w:r>
      <w:r>
        <w:t xml:space="preserve"> and more ambitious </w:t>
      </w:r>
      <w:r w:rsidR="00832205">
        <w:t>‘</w:t>
      </w:r>
      <w:r>
        <w:t>Step Change</w:t>
      </w:r>
      <w:r w:rsidR="00832205">
        <w:t>’</w:t>
      </w:r>
      <w:r>
        <w:t xml:space="preserve"> potential energy efficiency targets, self-identified by industry.</w:t>
      </w:r>
    </w:p>
    <w:p w14:paraId="17F29F63" w14:textId="6771C639" w:rsidR="0017018E" w:rsidRDefault="0017018E" w:rsidP="0017018E">
      <w:bookmarkStart w:id="12" w:name="OLE_LINK1"/>
      <w:bookmarkStart w:id="13" w:name="OLE_LINK2"/>
      <w:r>
        <w:t>Projections of future energy and water efficiency in the following eight non-agricultural industry sectors and the residential sector are based on dynamic models of stock turnover driven by attrition and replacement of old stock</w:t>
      </w:r>
      <w:bookmarkEnd w:id="12"/>
      <w:bookmarkEnd w:id="13"/>
      <w:r>
        <w:t xml:space="preserve">. The sectoral definitions are based on </w:t>
      </w:r>
      <w:r w:rsidR="00696773">
        <w:t>the Australian and New Zealand Standard Industrial Classification (</w:t>
      </w:r>
      <w:r>
        <w:t>ANZSIC</w:t>
      </w:r>
      <w:r w:rsidR="00696773">
        <w:t>)</w:t>
      </w:r>
      <w:r>
        <w:t xml:space="preserve"> Industry Divisions</w:t>
      </w:r>
      <w:r>
        <w:rPr>
          <w:rStyle w:val="FootnoteReference"/>
        </w:rPr>
        <w:footnoteReference w:id="2"/>
      </w:r>
      <w:r>
        <w:t>.</w:t>
      </w:r>
    </w:p>
    <w:p w14:paraId="51D94EC3" w14:textId="434CE37E" w:rsidR="0017018E" w:rsidRPr="002A5FFC" w:rsidRDefault="0017018E" w:rsidP="002A5FFC">
      <w:pPr>
        <w:pStyle w:val="ListBullet"/>
        <w:rPr>
          <w:sz w:val="22"/>
        </w:rPr>
      </w:pPr>
      <w:r w:rsidRPr="002A5FFC">
        <w:rPr>
          <w:sz w:val="22"/>
        </w:rPr>
        <w:t>Mining (Div</w:t>
      </w:r>
      <w:r w:rsidR="00696773">
        <w:rPr>
          <w:sz w:val="22"/>
        </w:rPr>
        <w:t>ision</w:t>
      </w:r>
      <w:r w:rsidRPr="002A5FFC">
        <w:rPr>
          <w:sz w:val="22"/>
        </w:rPr>
        <w:t xml:space="preserve"> B)</w:t>
      </w:r>
    </w:p>
    <w:p w14:paraId="18AF78B7" w14:textId="5E012E3F" w:rsidR="0017018E" w:rsidRPr="002A5FFC" w:rsidRDefault="0017018E" w:rsidP="002A5FFC">
      <w:pPr>
        <w:pStyle w:val="ListBullet"/>
        <w:rPr>
          <w:sz w:val="22"/>
        </w:rPr>
      </w:pPr>
      <w:r w:rsidRPr="002A5FFC">
        <w:rPr>
          <w:sz w:val="22"/>
        </w:rPr>
        <w:t>Manufacturing (Div</w:t>
      </w:r>
      <w:r w:rsidR="00696773">
        <w:rPr>
          <w:sz w:val="22"/>
        </w:rPr>
        <w:t>ision</w:t>
      </w:r>
      <w:r w:rsidRPr="002A5FFC">
        <w:rPr>
          <w:sz w:val="22"/>
        </w:rPr>
        <w:t xml:space="preserve"> C)</w:t>
      </w:r>
    </w:p>
    <w:p w14:paraId="1EB6D136" w14:textId="5E68E3F4" w:rsidR="0017018E" w:rsidRPr="002A5FFC" w:rsidRDefault="0017018E" w:rsidP="002A5FFC">
      <w:pPr>
        <w:pStyle w:val="ListBullet"/>
        <w:rPr>
          <w:sz w:val="22"/>
        </w:rPr>
      </w:pPr>
      <w:r w:rsidRPr="002A5FFC">
        <w:rPr>
          <w:sz w:val="22"/>
        </w:rPr>
        <w:t>Construction (Div</w:t>
      </w:r>
      <w:r w:rsidR="00696773">
        <w:rPr>
          <w:sz w:val="22"/>
        </w:rPr>
        <w:t>ision</w:t>
      </w:r>
      <w:r w:rsidRPr="002A5FFC">
        <w:rPr>
          <w:sz w:val="22"/>
        </w:rPr>
        <w:t xml:space="preserve"> E)</w:t>
      </w:r>
    </w:p>
    <w:p w14:paraId="6684B817" w14:textId="6FFBBD1B" w:rsidR="0017018E" w:rsidRPr="002A5FFC" w:rsidRDefault="0017018E" w:rsidP="002A5FFC">
      <w:pPr>
        <w:pStyle w:val="ListBullet"/>
        <w:rPr>
          <w:sz w:val="22"/>
        </w:rPr>
      </w:pPr>
      <w:r w:rsidRPr="002A5FFC">
        <w:rPr>
          <w:sz w:val="22"/>
        </w:rPr>
        <w:t>Transport (Div</w:t>
      </w:r>
      <w:r w:rsidR="00696773">
        <w:rPr>
          <w:sz w:val="22"/>
        </w:rPr>
        <w:t>ision</w:t>
      </w:r>
      <w:r w:rsidRPr="002A5FFC">
        <w:rPr>
          <w:sz w:val="22"/>
        </w:rPr>
        <w:t xml:space="preserve"> I)</w:t>
      </w:r>
    </w:p>
    <w:p w14:paraId="0C974265" w14:textId="735A0FE8" w:rsidR="0017018E" w:rsidRPr="002A5FFC" w:rsidRDefault="0017018E" w:rsidP="002A5FFC">
      <w:pPr>
        <w:pStyle w:val="ListBullet"/>
        <w:rPr>
          <w:sz w:val="22"/>
        </w:rPr>
      </w:pPr>
      <w:r w:rsidRPr="002A5FFC">
        <w:rPr>
          <w:sz w:val="22"/>
        </w:rPr>
        <w:t>Commercial and Services (Div</w:t>
      </w:r>
      <w:r w:rsidR="00696773">
        <w:rPr>
          <w:sz w:val="22"/>
        </w:rPr>
        <w:t>isions</w:t>
      </w:r>
      <w:r w:rsidRPr="002A5FFC">
        <w:rPr>
          <w:sz w:val="22"/>
        </w:rPr>
        <w:t xml:space="preserve"> F, G, H, J, K, L, M, N, O, P, Q, R, S)</w:t>
      </w:r>
    </w:p>
    <w:p w14:paraId="21DACFB8" w14:textId="77777777" w:rsidR="0017018E" w:rsidRPr="002A5FFC" w:rsidRDefault="0017018E" w:rsidP="002A5FFC">
      <w:pPr>
        <w:pStyle w:val="ListBullet"/>
        <w:rPr>
          <w:sz w:val="22"/>
        </w:rPr>
      </w:pPr>
      <w:r w:rsidRPr="002A5FFC">
        <w:rPr>
          <w:sz w:val="22"/>
        </w:rPr>
        <w:t>Residential</w:t>
      </w:r>
    </w:p>
    <w:p w14:paraId="625F9411" w14:textId="01D1B5D7" w:rsidR="0017018E" w:rsidRPr="002A5FFC" w:rsidRDefault="0017018E" w:rsidP="002A5FFC">
      <w:pPr>
        <w:pStyle w:val="ListBullet"/>
        <w:rPr>
          <w:sz w:val="22"/>
        </w:rPr>
      </w:pPr>
      <w:r w:rsidRPr="002A5FFC">
        <w:rPr>
          <w:sz w:val="22"/>
        </w:rPr>
        <w:t>Water supply and waste services (part of Div</w:t>
      </w:r>
      <w:r w:rsidR="00696773">
        <w:rPr>
          <w:sz w:val="22"/>
        </w:rPr>
        <w:t>ision</w:t>
      </w:r>
      <w:r w:rsidRPr="002A5FFC">
        <w:rPr>
          <w:sz w:val="22"/>
        </w:rPr>
        <w:t xml:space="preserve"> D)</w:t>
      </w:r>
    </w:p>
    <w:p w14:paraId="07C0424C" w14:textId="0D73FF60" w:rsidR="0017018E" w:rsidRPr="002A5FFC" w:rsidRDefault="0017018E" w:rsidP="002A5FFC">
      <w:pPr>
        <w:pStyle w:val="ListBullet"/>
        <w:rPr>
          <w:sz w:val="22"/>
        </w:rPr>
      </w:pPr>
      <w:r w:rsidRPr="002A5FFC">
        <w:rPr>
          <w:sz w:val="22"/>
        </w:rPr>
        <w:t>Electricity generation(part of Div</w:t>
      </w:r>
      <w:r w:rsidR="00696773">
        <w:rPr>
          <w:sz w:val="22"/>
        </w:rPr>
        <w:t>ision</w:t>
      </w:r>
      <w:r w:rsidRPr="002A5FFC">
        <w:rPr>
          <w:sz w:val="22"/>
        </w:rPr>
        <w:t xml:space="preserve"> D)</w:t>
      </w:r>
    </w:p>
    <w:p w14:paraId="75BC0338" w14:textId="6F496565" w:rsidR="0017018E" w:rsidRPr="002A5FFC" w:rsidRDefault="0017018E" w:rsidP="002A5FFC">
      <w:pPr>
        <w:pStyle w:val="ListBullet"/>
        <w:rPr>
          <w:sz w:val="22"/>
        </w:rPr>
      </w:pPr>
      <w:r w:rsidRPr="002A5FFC">
        <w:rPr>
          <w:sz w:val="22"/>
        </w:rPr>
        <w:t>Gas Supply (part of Div</w:t>
      </w:r>
      <w:r w:rsidR="00696773">
        <w:rPr>
          <w:sz w:val="22"/>
        </w:rPr>
        <w:t>ision</w:t>
      </w:r>
      <w:r w:rsidRPr="002A5FFC">
        <w:rPr>
          <w:sz w:val="22"/>
        </w:rPr>
        <w:t xml:space="preserve"> D)</w:t>
      </w:r>
    </w:p>
    <w:p w14:paraId="48D48297" w14:textId="2F6F1134" w:rsidR="0017018E" w:rsidRDefault="0017018E" w:rsidP="0017018E">
      <w:r>
        <w:t xml:space="preserve">The focus on intensive variables of energy and water intensity measured with respect to </w:t>
      </w:r>
      <w:r w:rsidR="00A22132">
        <w:t>AUD</w:t>
      </w:r>
      <w:r>
        <w:t>$</w:t>
      </w:r>
      <w:r w:rsidR="002A5FFC">
        <w:t xml:space="preserve"> </w:t>
      </w:r>
      <w:r w:rsidR="00773C15">
        <w:t>B</w:t>
      </w:r>
      <w:r>
        <w:t xml:space="preserve">illion in value add (Petajoules </w:t>
      </w:r>
      <w:r w:rsidR="00CD3296">
        <w:t xml:space="preserve">(PJ) </w:t>
      </w:r>
      <w:r>
        <w:t>or Gigalitres</w:t>
      </w:r>
      <w:r w:rsidR="00CD3296">
        <w:t xml:space="preserve"> (GL)</w:t>
      </w:r>
      <w:r>
        <w:t xml:space="preserve"> per </w:t>
      </w:r>
      <w:r w:rsidR="00A22132">
        <w:t>AUD</w:t>
      </w:r>
      <w:r>
        <w:t>$</w:t>
      </w:r>
      <w:r w:rsidR="00A22132">
        <w:t xml:space="preserve"> </w:t>
      </w:r>
      <w:r w:rsidR="00773C15">
        <w:t>M</w:t>
      </w:r>
      <w:r>
        <w:t>illion), is deliberate as these are to be used with a CGE model that generates projections of future economic output by sector. Combined, we can produce extensive results on future total water and energy consumption in the non-agricultural economy.</w:t>
      </w:r>
    </w:p>
    <w:p w14:paraId="1BA2AF74" w14:textId="6000826B" w:rsidR="0017018E" w:rsidRDefault="0017018E" w:rsidP="0017018E">
      <w:r>
        <w:t xml:space="preserve">Currently MEFISTO has a national resolution and simulates ‘futures’ from 2012 having 2011 as a base year for most data sources. Two scenarios of future water and energy efficiency were developed: a </w:t>
      </w:r>
      <w:r w:rsidR="00845686">
        <w:t>‘</w:t>
      </w:r>
      <w:r>
        <w:t>Current Trends</w:t>
      </w:r>
      <w:r w:rsidR="00845686">
        <w:t>’</w:t>
      </w:r>
      <w:r>
        <w:t xml:space="preserve"> and a </w:t>
      </w:r>
      <w:r w:rsidR="00845686">
        <w:t>‘</w:t>
      </w:r>
      <w:r>
        <w:t>Step Change</w:t>
      </w:r>
      <w:r w:rsidR="00845686">
        <w:t>’</w:t>
      </w:r>
      <w:r>
        <w:t xml:space="preserve"> scenario.</w:t>
      </w:r>
    </w:p>
    <w:p w14:paraId="4B31AB63" w14:textId="77777777" w:rsidR="0017018E" w:rsidRPr="006D07FA" w:rsidRDefault="0017018E" w:rsidP="006D07FA">
      <w:pPr>
        <w:pStyle w:val="Heading1"/>
        <w:numPr>
          <w:ilvl w:val="0"/>
          <w:numId w:val="13"/>
        </w:numPr>
        <w:tabs>
          <w:tab w:val="clear" w:pos="1134"/>
          <w:tab w:val="left" w:pos="851"/>
        </w:tabs>
        <w:spacing w:after="1080"/>
        <w:rPr>
          <w:color w:val="00A9CE" w:themeColor="accent1"/>
        </w:rPr>
      </w:pPr>
      <w:bookmarkStart w:id="14" w:name="_Toc359885763"/>
      <w:bookmarkStart w:id="15" w:name="_Toc433975074"/>
      <w:r w:rsidRPr="006D07FA">
        <w:rPr>
          <w:color w:val="00A9CE" w:themeColor="accent1"/>
        </w:rPr>
        <w:lastRenderedPageBreak/>
        <w:t>Methods and Assumptions</w:t>
      </w:r>
      <w:bookmarkEnd w:id="14"/>
      <w:bookmarkEnd w:id="15"/>
    </w:p>
    <w:p w14:paraId="4B88E249" w14:textId="77777777" w:rsidR="0017018E" w:rsidRPr="001B3113" w:rsidRDefault="0017018E" w:rsidP="008F696F">
      <w:pPr>
        <w:pStyle w:val="Heading2"/>
        <w:numPr>
          <w:ilvl w:val="1"/>
          <w:numId w:val="13"/>
        </w:numPr>
        <w:rPr>
          <w:color w:val="00A9CE" w:themeColor="accent1"/>
          <w:szCs w:val="32"/>
        </w:rPr>
      </w:pPr>
      <w:bookmarkStart w:id="16" w:name="_Toc359885764"/>
      <w:bookmarkStart w:id="17" w:name="_Toc433975075"/>
      <w:r w:rsidRPr="001B3113">
        <w:rPr>
          <w:color w:val="00A9CE" w:themeColor="accent1"/>
          <w:szCs w:val="32"/>
        </w:rPr>
        <w:t>General Methods</w:t>
      </w:r>
      <w:bookmarkEnd w:id="16"/>
      <w:bookmarkEnd w:id="17"/>
    </w:p>
    <w:p w14:paraId="5D5DE4E2" w14:textId="2D9571E8" w:rsidR="0017018E" w:rsidRDefault="0017018E" w:rsidP="0017018E">
      <w:r>
        <w:t>It’s important to note that in this analysis there is often a separation between the inputs of the magnitude of change in energy or water intensity</w:t>
      </w:r>
      <w:r w:rsidR="00B23303">
        <w:t>,</w:t>
      </w:r>
      <w:r>
        <w:t xml:space="preserve"> and the simulation of the nature or form of that change.</w:t>
      </w:r>
    </w:p>
    <w:p w14:paraId="76228E2F" w14:textId="2FEF503C" w:rsidR="0017018E" w:rsidRDefault="0017018E" w:rsidP="0017018E">
      <w:r>
        <w:t xml:space="preserve">In general, the continuation of </w:t>
      </w:r>
      <w:r w:rsidR="002F47F3">
        <w:t>C</w:t>
      </w:r>
      <w:r>
        <w:t xml:space="preserve">urrent </w:t>
      </w:r>
      <w:r w:rsidR="002F47F3">
        <w:t>T</w:t>
      </w:r>
      <w:r>
        <w:t xml:space="preserve">rends and </w:t>
      </w:r>
      <w:r w:rsidR="002F47F3">
        <w:t>S</w:t>
      </w:r>
      <w:r>
        <w:t xml:space="preserve">tep </w:t>
      </w:r>
      <w:r w:rsidR="002F47F3">
        <w:t>C</w:t>
      </w:r>
      <w:r>
        <w:t>hange scenarios use</w:t>
      </w:r>
      <w:r w:rsidR="00B23303">
        <w:t>: 1)</w:t>
      </w:r>
      <w:r>
        <w:t xml:space="preserve"> a model of stock turnover to estimate the form of transitions in energy efficiency, w</w:t>
      </w:r>
      <w:r w:rsidR="00B23303">
        <w:t>here data is available;</w:t>
      </w:r>
      <w:r>
        <w:t xml:space="preserve"> </w:t>
      </w:r>
      <w:r w:rsidR="00B23303">
        <w:t>2) if</w:t>
      </w:r>
      <w:r>
        <w:t xml:space="preserve"> stock data is not available, but there are data for magnitudes of sector-level efficiency change, a logistic function is used to approximate the uptake</w:t>
      </w:r>
      <w:r w:rsidR="00B23303">
        <w:t xml:space="preserve"> of more efficient technologies and;</w:t>
      </w:r>
      <w:r>
        <w:t xml:space="preserve"> </w:t>
      </w:r>
      <w:r w:rsidR="00B23303">
        <w:t>3) l</w:t>
      </w:r>
      <w:r>
        <w:t>acking both stock data and information on efficiency change, an extension of historical efficiency is estimated based on</w:t>
      </w:r>
      <w:r w:rsidR="007A1D08">
        <w:t xml:space="preserve"> a statistical approach that defines</w:t>
      </w:r>
      <w:r>
        <w:t xml:space="preserve"> three classifications (increasing, decreasing or flat) of trends in observed time series data. This is more generally the case with estimating future water efficiencies. What follows is detail on these different approaches.</w:t>
      </w:r>
    </w:p>
    <w:p w14:paraId="26B5AA58" w14:textId="77777777" w:rsidR="0017018E" w:rsidRPr="001B3113" w:rsidRDefault="0017018E" w:rsidP="008F696F">
      <w:pPr>
        <w:pStyle w:val="Heading2"/>
        <w:numPr>
          <w:ilvl w:val="1"/>
          <w:numId w:val="13"/>
        </w:numPr>
        <w:rPr>
          <w:color w:val="00A9CE" w:themeColor="accent1"/>
          <w:szCs w:val="32"/>
        </w:rPr>
      </w:pPr>
      <w:bookmarkStart w:id="18" w:name="_Toc359885765"/>
      <w:bookmarkStart w:id="19" w:name="_Toc433975076"/>
      <w:r w:rsidRPr="001B3113">
        <w:rPr>
          <w:color w:val="00A9CE" w:themeColor="accent1"/>
          <w:szCs w:val="32"/>
        </w:rPr>
        <w:t>Stock flow model of asset turnover</w:t>
      </w:r>
      <w:bookmarkEnd w:id="18"/>
      <w:bookmarkEnd w:id="19"/>
    </w:p>
    <w:p w14:paraId="2254C2D2" w14:textId="77777777" w:rsidR="0017018E" w:rsidRDefault="0017018E" w:rsidP="0017018E">
      <w:pPr>
        <w:pStyle w:val="Heading3"/>
      </w:pPr>
      <w:r>
        <w:t>Components of the model</w:t>
      </w:r>
    </w:p>
    <w:p w14:paraId="28C2A564" w14:textId="691ACA9B" w:rsidR="0017018E" w:rsidRDefault="0017018E" w:rsidP="0017018E">
      <w:r>
        <w:t>A stock flow model was developed to provide a basis for transitions from current</w:t>
      </w:r>
      <w:r w:rsidR="00B23303">
        <w:t xml:space="preserve"> year</w:t>
      </w:r>
      <w:r>
        <w:t xml:space="preserve"> (2011) to simulated future efficiencies at some time point “</w:t>
      </w:r>
      <w:r w:rsidRPr="00E4740C">
        <w:rPr>
          <w:i/>
        </w:rPr>
        <w:t>t</w:t>
      </w:r>
      <w:r>
        <w:t xml:space="preserve">”. This relied on two or three key inputs depending on the availability of data and linkages to </w:t>
      </w:r>
      <w:r w:rsidRPr="002A5FFC">
        <w:rPr>
          <w:color w:val="auto"/>
        </w:rPr>
        <w:t xml:space="preserve">other models (refer to </w:t>
      </w:r>
      <w:r w:rsidRPr="002A5FFC">
        <w:rPr>
          <w:color w:val="auto"/>
        </w:rPr>
        <w:fldChar w:fldCharType="begin"/>
      </w:r>
      <w:r w:rsidRPr="002A5FFC">
        <w:rPr>
          <w:color w:val="auto"/>
        </w:rPr>
        <w:instrText xml:space="preserve"> REF _Ref358104408 \h </w:instrText>
      </w:r>
      <w:r w:rsidR="0086541B">
        <w:rPr>
          <w:color w:val="auto"/>
        </w:rPr>
        <w:instrText xml:space="preserve"> \* MERGEFORMAT </w:instrText>
      </w:r>
      <w:r w:rsidRPr="002A5FFC">
        <w:rPr>
          <w:color w:val="auto"/>
        </w:rPr>
      </w:r>
      <w:r w:rsidRPr="002A5FFC">
        <w:rPr>
          <w:color w:val="auto"/>
        </w:rPr>
        <w:fldChar w:fldCharType="separate"/>
      </w:r>
      <w:r w:rsidR="004A26FB" w:rsidRPr="002A5FFC">
        <w:rPr>
          <w:color w:val="auto"/>
        </w:rPr>
        <w:t xml:space="preserve">Figure </w:t>
      </w:r>
      <w:r w:rsidR="004A26FB" w:rsidRPr="002A5FFC">
        <w:rPr>
          <w:noProof/>
          <w:color w:val="auto"/>
        </w:rPr>
        <w:t>1</w:t>
      </w:r>
      <w:r w:rsidRPr="002A5FFC">
        <w:rPr>
          <w:color w:val="auto"/>
        </w:rPr>
        <w:fldChar w:fldCharType="end"/>
      </w:r>
      <w:r w:rsidRPr="002A5FFC">
        <w:rPr>
          <w:color w:val="auto"/>
        </w:rPr>
        <w:t>).</w:t>
      </w:r>
    </w:p>
    <w:p w14:paraId="4E4FC285" w14:textId="4A91EF15" w:rsidR="0017018E" w:rsidRDefault="0017018E" w:rsidP="0017018E">
      <w:r>
        <w:t>Firstly, a database of the current “legacy” assets is required to characterise the asset types used by industry sectors. This database initialises the “existing stock” of assets. It would be advantageous to have age-structure of asset stock in this database but, understandably, businesses are not forthcoming about the age of plant that constitutes their core capacity and potentially their competitive (dis)advantage. In the absence of age-structure data, a uniform distribution across age brackets has been assumed.</w:t>
      </w:r>
      <w:r w:rsidR="00B23303">
        <w:t xml:space="preserve"> This will underestimate the potential rate of turnover in stock and, thereby, the speed at which new efficiencies are introduced.</w:t>
      </w:r>
    </w:p>
    <w:p w14:paraId="64E6564F" w14:textId="1BF50703" w:rsidR="0017018E" w:rsidRDefault="00061069" w:rsidP="0017018E">
      <w:pPr>
        <w:jc w:val="center"/>
      </w:pPr>
      <w:r w:rsidRPr="00061069">
        <w:rPr>
          <w:noProof/>
        </w:rPr>
        <w:drawing>
          <wp:inline distT="0" distB="0" distL="0" distR="0" wp14:anchorId="1442F4CD" wp14:editId="639EEBFB">
            <wp:extent cx="3797496" cy="2179320"/>
            <wp:effectExtent l="0" t="0" r="0" b="0"/>
            <wp:docPr id="12" name="Picture 2" descr="Figure one provides a visual model of a cycle of stock flow using one dimentional cylinders to represent a variety of stocks contributing to the flow and one directional arrows to indicate flow direction. Details of flow are described in the figure caption. &#10;" title="Simplified representation of the stock flow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4703" cy="2189195"/>
                    </a:xfrm>
                    <a:prstGeom prst="rect">
                      <a:avLst/>
                    </a:prstGeom>
                    <a:noFill/>
                    <a:ln>
                      <a:noFill/>
                    </a:ln>
                  </pic:spPr>
                </pic:pic>
              </a:graphicData>
            </a:graphic>
          </wp:inline>
        </w:drawing>
      </w:r>
    </w:p>
    <w:p w14:paraId="25E603AB" w14:textId="77777777" w:rsidR="00C45F6C" w:rsidRDefault="00DB6FDA" w:rsidP="007B0D5A">
      <w:pPr>
        <w:pStyle w:val="Caption"/>
        <w:spacing w:before="240" w:after="200" w:line="240" w:lineRule="auto"/>
        <w:contextualSpacing w:val="0"/>
        <w:rPr>
          <w:color w:val="00A9CE" w:themeColor="accent1"/>
        </w:rPr>
      </w:pPr>
      <w:bookmarkStart w:id="20" w:name="_Ref358104408"/>
      <w:bookmarkStart w:id="21" w:name="_Toc433972606"/>
      <w:bookmarkStart w:id="22" w:name="_Toc359885779"/>
      <w:r w:rsidRPr="007B0D5A">
        <w:rPr>
          <w:color w:val="00A9CE" w:themeColor="accent1"/>
        </w:rPr>
        <w:t xml:space="preserve">Figure </w:t>
      </w:r>
      <w:r w:rsidR="00447CD6" w:rsidRPr="007B0D5A">
        <w:rPr>
          <w:color w:val="00A9CE" w:themeColor="accent1"/>
        </w:rPr>
        <w:fldChar w:fldCharType="begin"/>
      </w:r>
      <w:r w:rsidR="00447CD6" w:rsidRPr="007B0D5A">
        <w:rPr>
          <w:color w:val="00A9CE" w:themeColor="accent1"/>
        </w:rPr>
        <w:instrText xml:space="preserve"> SEQ Figure \* ARABIC </w:instrText>
      </w:r>
      <w:r w:rsidR="00447CD6" w:rsidRPr="007B0D5A">
        <w:rPr>
          <w:color w:val="00A9CE" w:themeColor="accent1"/>
        </w:rPr>
        <w:fldChar w:fldCharType="separate"/>
      </w:r>
      <w:r w:rsidR="00165FBD">
        <w:rPr>
          <w:noProof/>
          <w:color w:val="00A9CE" w:themeColor="accent1"/>
        </w:rPr>
        <w:t>1</w:t>
      </w:r>
      <w:r w:rsidR="00447CD6" w:rsidRPr="007B0D5A">
        <w:rPr>
          <w:color w:val="00A9CE" w:themeColor="accent1"/>
        </w:rPr>
        <w:fldChar w:fldCharType="end"/>
      </w:r>
      <w:bookmarkEnd w:id="20"/>
      <w:r w:rsidRPr="007B0D5A">
        <w:rPr>
          <w:color w:val="00A9CE" w:themeColor="accent1"/>
        </w:rPr>
        <w:t>: Simplified representation of the stock flow model.</w:t>
      </w:r>
      <w:bookmarkEnd w:id="21"/>
      <w:r w:rsidRPr="007B0D5A">
        <w:rPr>
          <w:color w:val="00A9CE" w:themeColor="accent1"/>
        </w:rPr>
        <w:t xml:space="preserve"> </w:t>
      </w:r>
    </w:p>
    <w:p w14:paraId="738A0769" w14:textId="3CA0E2E7" w:rsidR="00DB6FDA" w:rsidRPr="007B0D5A" w:rsidRDefault="00C45F6C" w:rsidP="00C45F6C">
      <w:pPr>
        <w:pStyle w:val="FigureTableSource"/>
      </w:pPr>
      <w:r>
        <w:t xml:space="preserve">NOTE: </w:t>
      </w:r>
      <w:r w:rsidR="00DB6FDA" w:rsidRPr="007B0D5A">
        <w:t>Legacy assets begin the cycle of stock attrition moderated by a failure rate that produces a flow of discarded stock</w:t>
      </w:r>
      <w:r w:rsidR="00B23303">
        <w:t>,</w:t>
      </w:r>
      <w:r w:rsidR="00DB6FDA" w:rsidRPr="007B0D5A">
        <w:t xml:space="preserve"> which defines the magnitude of the flow of new stock to replace it. The aggregate efficiency of existing stock is characterised by the blend of efficiencies in legacy and new stock (barrels represent stocks, tubes are flows and hexagons are parameters of the model).</w:t>
      </w:r>
      <w:bookmarkEnd w:id="22"/>
      <w:r w:rsidR="00B02310">
        <w:t xml:space="preserve">  </w:t>
      </w:r>
    </w:p>
    <w:p w14:paraId="114B4ADF" w14:textId="77777777" w:rsidR="00DB6FDA" w:rsidRDefault="00DB6FDA" w:rsidP="00C45F6C"/>
    <w:p w14:paraId="34F6775B" w14:textId="4F26E576" w:rsidR="0017018E" w:rsidRDefault="0017018E" w:rsidP="0017018E">
      <w:r>
        <w:lastRenderedPageBreak/>
        <w:t>Secondly, a</w:t>
      </w:r>
      <w:r w:rsidR="009D3AC2">
        <w:t xml:space="preserve"> yearly</w:t>
      </w:r>
      <w:r>
        <w:t xml:space="preserve"> “failure rate” </w:t>
      </w:r>
      <w:r w:rsidR="009D3AC2">
        <w:t>parameter needs to be specified for the expected failure in</w:t>
      </w:r>
      <w:r>
        <w:t xml:space="preserve"> the populat</w:t>
      </w:r>
      <w:r w:rsidR="009D3AC2">
        <w:t>ion of assets according to those assets’</w:t>
      </w:r>
      <w:r>
        <w:t xml:space="preserve"> expected lifetime and</w:t>
      </w:r>
      <w:r w:rsidR="009D3AC2">
        <w:t xml:space="preserve"> using</w:t>
      </w:r>
      <w:r>
        <w:t xml:space="preserve"> Weibull distributions</w:t>
      </w:r>
      <w:r w:rsidR="009D3AC2">
        <w:t xml:space="preserve"> of machine failure</w:t>
      </w:r>
      <w:r>
        <w:t xml:space="preserve"> </w:t>
      </w:r>
      <w:r>
        <w:fldChar w:fldCharType="begin"/>
      </w:r>
      <w:r w:rsidR="00D04510">
        <w:instrText xml:space="preserve"> ADDIN EN.CITE &lt;EndNote&gt;&lt;Cite&gt;&lt;Author&gt;Weibull&lt;/Author&gt;&lt;Year&gt;1951&lt;/Year&gt;&lt;RecNum&gt;996&lt;/RecNum&gt;&lt;DisplayText&gt;(Weibull, 1951)&lt;/DisplayText&gt;&lt;record&gt;&lt;rec-number&gt;996&lt;/rec-number&gt;&lt;foreign-keys&gt;&lt;key app="EN" db-id="t55vefr95ws0pgeffdlvtde0tdta909p2zv9"&gt;996&lt;/key&gt;&lt;/foreign-keys&gt;&lt;ref-type name="Journal Article"&gt;17&lt;/ref-type&gt;&lt;contributors&gt;&lt;authors&gt;&lt;author&gt;Weibull, W.&lt;/author&gt;&lt;/authors&gt;&lt;/contributors&gt;&lt;titles&gt;&lt;title&gt;A statistical distribution function of wide applicability&lt;/title&gt;&lt;secondary-title&gt;Journal of Applied Mechanics&lt;/secondary-title&gt;&lt;/titles&gt;&lt;periodical&gt;&lt;full-title&gt;Journal of Applied Mechanics&lt;/full-title&gt;&lt;/periodical&gt;&lt;pages&gt;293-297&lt;/pages&gt;&lt;volume&gt;13&lt;/volume&gt;&lt;dates&gt;&lt;year&gt;1951&lt;/year&gt;&lt;/dates&gt;&lt;urls&gt;&lt;/urls&gt;&lt;/record&gt;&lt;/Cite&gt;&lt;/EndNote&gt;</w:instrText>
      </w:r>
      <w:r>
        <w:fldChar w:fldCharType="separate"/>
      </w:r>
      <w:r w:rsidR="00D04510">
        <w:rPr>
          <w:noProof/>
        </w:rPr>
        <w:t>(</w:t>
      </w:r>
      <w:hyperlink w:anchor="_ENREF_24" w:tooltip="Weibull, 1951 #996" w:history="1">
        <w:r w:rsidR="00D04510">
          <w:rPr>
            <w:noProof/>
          </w:rPr>
          <w:t>Weibull, 1951</w:t>
        </w:r>
      </w:hyperlink>
      <w:r w:rsidR="00D04510">
        <w:rPr>
          <w:noProof/>
        </w:rPr>
        <w:t>)</w:t>
      </w:r>
      <w:r>
        <w:fldChar w:fldCharType="end"/>
      </w:r>
      <w:r>
        <w:t xml:space="preserve">. Weibull distributions are commonly used statistical models in engineering failure studies and lifetime analysis </w:t>
      </w:r>
      <w:r>
        <w:fldChar w:fldCharType="begin">
          <w:fldData xml:space="preserve">PEVuZE5vdGU+PENpdGU+PEF1dGhvcj5JRUVFIFN0YW5kYXJkcyBDb29yZGluYXRpbmcgQ29tbWl0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</w:fldData>
        </w:fldChar>
      </w:r>
      <w:r w:rsidR="00D04510">
        <w:instrText xml:space="preserve"> ADDIN EN.CITE </w:instrText>
      </w:r>
      <w:r w:rsidR="00D04510">
        <w:fldChar w:fldCharType="begin">
          <w:fldData xml:space="preserve">PEVuZE5vdGU+PENpdGU+PEF1dGhvcj5JRUVFIFN0YW5kYXJkcyBDb29yZGluYXRpbmcgQ29tbWl0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</w:fldData>
        </w:fldChar>
      </w:r>
      <w:r w:rsidR="00D04510">
        <w:instrText xml:space="preserve"> ADDIN EN.CITE.DATA </w:instrText>
      </w:r>
      <w:r w:rsidR="00D04510">
        <w:fldChar w:fldCharType="end"/>
      </w:r>
      <w:r>
        <w:fldChar w:fldCharType="separate"/>
      </w:r>
      <w:r w:rsidR="00D04510">
        <w:rPr>
          <w:noProof/>
        </w:rPr>
        <w:t>(</w:t>
      </w:r>
      <w:hyperlink w:anchor="_ENREF_17" w:tooltip="Kececioglu, 2002 #590" w:history="1">
        <w:r w:rsidR="00D04510">
          <w:rPr>
            <w:noProof/>
          </w:rPr>
          <w:t>Kececioglu, 2002</w:t>
        </w:r>
      </w:hyperlink>
      <w:r w:rsidR="00CD3296">
        <w:rPr>
          <w:noProof/>
        </w:rPr>
        <w:t>;</w:t>
      </w:r>
      <w:r w:rsidR="00D04510">
        <w:rPr>
          <w:noProof/>
        </w:rPr>
        <w:t xml:space="preserve"> </w:t>
      </w:r>
      <w:hyperlink w:anchor="_ENREF_15" w:tooltip="IEEE Standards Coordinating Committee 37 on Reliability Prediction, 2003 #560" w:history="1">
        <w:r w:rsidR="00D04510">
          <w:rPr>
            <w:noProof/>
          </w:rPr>
          <w:t>IEEE Standards Coordinating Committee 37 on Reliability Prediction, 2003</w:t>
        </w:r>
      </w:hyperlink>
      <w:r w:rsidR="00CD3296">
        <w:rPr>
          <w:noProof/>
        </w:rPr>
        <w:t>;</w:t>
      </w:r>
      <w:r w:rsidR="00D04510">
        <w:rPr>
          <w:noProof/>
        </w:rPr>
        <w:t xml:space="preserve"> </w:t>
      </w:r>
      <w:hyperlink w:anchor="_ENREF_18" w:tooltip="Lawless, 2003 #627" w:history="1">
        <w:r w:rsidR="00D04510">
          <w:rPr>
            <w:noProof/>
          </w:rPr>
          <w:t>Lawless, 2003</w:t>
        </w:r>
      </w:hyperlink>
      <w:r w:rsidR="00D04510">
        <w:rPr>
          <w:noProof/>
        </w:rPr>
        <w:t>)</w:t>
      </w:r>
      <w:r>
        <w:fldChar w:fldCharType="end"/>
      </w:r>
    </w:p>
    <w:p w14:paraId="6E4DB5A6" w14:textId="77777777" w:rsidR="0017018E" w:rsidRDefault="0017018E" w:rsidP="0017018E">
      <w:pPr>
        <w:pStyle w:val="Heading3"/>
      </w:pPr>
      <w:r>
        <w:t xml:space="preserve">Weibull </w:t>
      </w:r>
      <w:r w:rsidRPr="009E0BE0">
        <w:t>distributions</w:t>
      </w:r>
    </w:p>
    <w:p w14:paraId="363E881B" w14:textId="209965C5" w:rsidR="0017018E" w:rsidRDefault="0017018E" w:rsidP="0017018E">
      <w:r>
        <w:t xml:space="preserve">Two-parameter Weibull distributions have the </w:t>
      </w:r>
      <w:r w:rsidRPr="002A5FFC">
        <w:rPr>
          <w:color w:val="auto"/>
        </w:rPr>
        <w:t xml:space="preserve">mathematical form as in </w:t>
      </w:r>
      <w:r w:rsidR="00E6290E">
        <w:rPr>
          <w:color w:val="auto"/>
        </w:rPr>
        <w:t xml:space="preserve">Equation 1 </w:t>
      </w:r>
      <w:r w:rsidRPr="002A5FFC">
        <w:rPr>
          <w:color w:val="auto"/>
        </w:rPr>
        <w:t>below:</w:t>
      </w:r>
    </w:p>
    <w:bookmarkStart w:id="23" w:name="_Ref358282921"/>
    <w:p w14:paraId="17F855BE" w14:textId="559B1142" w:rsidR="0017018E" w:rsidRDefault="00284BD7" w:rsidP="007B0D5A">
      <w:pPr>
        <w:pStyle w:val="Caption"/>
        <w:spacing w:before="240" w:after="200" w:line="240" w:lineRule="auto"/>
        <w:contextualSpacing w:val="0"/>
        <w:rPr>
          <w:color w:val="00A9CE" w:themeColor="accent1"/>
        </w:rPr>
      </w:pPr>
      <w:r>
        <w:rPr>
          <w:noProof/>
          <w:color w:val="00A9CE" w:themeColor="accent1"/>
        </w:rPr>
        <mc:AlternateContent>
          <mc:Choice Requires="wps">
            <w:drawing>
              <wp:anchor distT="0" distB="0" distL="114300" distR="114300" simplePos="0" relativeHeight="251739136" behindDoc="0" locked="0" layoutInCell="1" allowOverlap="1" wp14:anchorId="38F1E951" wp14:editId="0906ED4B">
                <wp:simplePos x="0" y="0"/>
                <wp:positionH relativeFrom="column">
                  <wp:posOffset>1908810</wp:posOffset>
                </wp:positionH>
                <wp:positionV relativeFrom="paragraph">
                  <wp:posOffset>117475</wp:posOffset>
                </wp:positionV>
                <wp:extent cx="2316480" cy="495300"/>
                <wp:effectExtent l="0" t="0" r="7620" b="0"/>
                <wp:wrapNone/>
                <wp:docPr id="5" name="Text Box 5" descr="W open parentheses t comma k comma L close parentheses equals k over L to the power of k t to the power of k minus 1 end exponent e to the power of negative open parentheses t divided by L close parentheses to the power of k end exponent comma 0 less than x less than infinity." title="Equation 1"/>
                <wp:cNvGraphicFramePr/>
                <a:graphic xmlns:a="http://schemas.openxmlformats.org/drawingml/2006/main">
                  <a:graphicData uri="http://schemas.microsoft.com/office/word/2010/wordprocessingShape">
                    <wps:wsp>
                      <wps:cNvSpPr txBox="1"/>
                      <wps:spPr>
                        <a:xfrm>
                          <a:off x="0" y="0"/>
                          <a:ext cx="2316480" cy="495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32C391" w14:textId="3FCB4D91" w:rsidR="0073787E" w:rsidRPr="008F4D85" w:rsidRDefault="0073787E" w:rsidP="00284BD7">
                            <w:pPr>
                              <w:pStyle w:val="Caption"/>
                              <w:rPr>
                                <w:rFonts w:ascii="Arial" w:eastAsia="Times New Roman" w:hAnsi="Arial" w:cs="Arial"/>
                                <w:b w:val="0"/>
                                <w:color w:val="555555"/>
                              </w:rPr>
                            </w:pPr>
                            <m:oMathPara>
                              <m:oMath>
                                <m:r>
                                  <m:rPr>
                                    <m:sty m:val="bi"/>
                                  </m:rPr>
                                  <w:rPr>
                                    <w:rFonts w:ascii="Cambria Math" w:eastAsia="Times New Roman" w:hAnsi="Cambria Math" w:cs="Arial"/>
                                    <w:color w:val="555555"/>
                                  </w:rPr>
                                  <m:t>W(</m:t>
                                </m:r>
                                <m:sSup>
                                  <m:sSupPr>
                                    <m:ctrlPr>
                                      <w:rPr>
                                        <w:rFonts w:ascii="Cambria Math" w:eastAsia="Times New Roman" w:hAnsi="Cambria Math" w:cs="Arial"/>
                                        <w:b w:val="0"/>
                                        <w:color w:val="555555"/>
                                      </w:rPr>
                                    </m:ctrlPr>
                                  </m:sSupPr>
                                  <m:e>
                                    <m:r>
                                      <m:rPr>
                                        <m:sty m:val="bi"/>
                                      </m:rPr>
                                      <w:rPr>
                                        <w:rFonts w:ascii="Cambria Math" w:eastAsia="Times New Roman" w:hAnsi="Cambria Math" w:cs="Arial"/>
                                        <w:color w:val="555555"/>
                                      </w:rPr>
                                      <m:t>t,k,L)=</m:t>
                                    </m:r>
                                    <m:f>
                                      <m:fPr>
                                        <m:ctrlPr>
                                          <w:rPr>
                                            <w:rFonts w:ascii="Cambria Math" w:eastAsia="Times New Roman" w:hAnsi="Cambria Math" w:cs="Arial"/>
                                            <w:b w:val="0"/>
                                            <w:color w:val="555555"/>
                                          </w:rPr>
                                        </m:ctrlPr>
                                      </m:fPr>
                                      <m:num>
                                        <m:r>
                                          <m:rPr>
                                            <m:sty m:val="bi"/>
                                          </m:rPr>
                                          <w:rPr>
                                            <w:rFonts w:ascii="Cambria Math" w:eastAsia="Times New Roman" w:hAnsi="Cambria Math" w:cs="Arial"/>
                                            <w:color w:val="555555"/>
                                          </w:rPr>
                                          <m:t>k</m:t>
                                        </m:r>
                                      </m:num>
                                      <m:den>
                                        <m:sSup>
                                          <m:sSupPr>
                                            <m:ctrlPr>
                                              <w:rPr>
                                                <w:rFonts w:ascii="Cambria Math" w:eastAsia="Times New Roman" w:hAnsi="Cambria Math" w:cs="Arial"/>
                                                <w:b w:val="0"/>
                                                <w:color w:val="555555"/>
                                              </w:rPr>
                                            </m:ctrlPr>
                                          </m:sSupPr>
                                          <m:e>
                                            <m:r>
                                              <m:rPr>
                                                <m:sty m:val="bi"/>
                                              </m:rPr>
                                              <w:rPr>
                                                <w:rFonts w:ascii="Cambria Math" w:eastAsia="Times New Roman" w:hAnsi="Cambria Math" w:cs="Arial"/>
                                                <w:color w:val="555555"/>
                                              </w:rPr>
                                              <m:t>L</m:t>
                                            </m:r>
                                          </m:e>
                                          <m:sup>
                                            <m:r>
                                              <m:rPr>
                                                <m:sty m:val="bi"/>
                                              </m:rPr>
                                              <w:rPr>
                                                <w:rFonts w:ascii="Cambria Math" w:eastAsia="Times New Roman" w:hAnsi="Cambria Math" w:cs="Arial"/>
                                                <w:color w:val="555555"/>
                                              </w:rPr>
                                              <m:t>k</m:t>
                                            </m:r>
                                          </m:sup>
                                        </m:sSup>
                                      </m:den>
                                    </m:f>
                                    <m:r>
                                      <m:rPr>
                                        <m:sty m:val="bi"/>
                                      </m:rPr>
                                      <w:rPr>
                                        <w:rFonts w:ascii="Cambria Math" w:eastAsia="Times New Roman" w:hAnsi="Cambria Math" w:cs="Arial"/>
                                        <w:color w:val="555555"/>
                                      </w:rPr>
                                      <m:t>t</m:t>
                                    </m:r>
                                  </m:e>
                                  <m:sup>
                                    <m:r>
                                      <m:rPr>
                                        <m:sty m:val="bi"/>
                                      </m:rPr>
                                      <w:rPr>
                                        <w:rFonts w:ascii="Cambria Math" w:eastAsia="Times New Roman" w:hAnsi="Cambria Math" w:cs="Arial"/>
                                        <w:color w:val="555555"/>
                                      </w:rPr>
                                      <m:t>k</m:t>
                                    </m:r>
                                    <m:r>
                                      <m:rPr>
                                        <m:sty m:val="b"/>
                                      </m:rPr>
                                      <w:rPr>
                                        <w:rFonts w:ascii="Cambria Math" w:eastAsia="Times New Roman" w:hAnsi="Cambria Math" w:cs="Arial"/>
                                        <w:color w:val="555555"/>
                                      </w:rPr>
                                      <m:t>-1</m:t>
                                    </m:r>
                                  </m:sup>
                                </m:sSup>
                                <m:sSup>
                                  <m:sSupPr>
                                    <m:ctrlPr>
                                      <w:rPr>
                                        <w:rFonts w:ascii="Cambria Math" w:eastAsia="Times New Roman" w:hAnsi="Cambria Math" w:cs="Arial"/>
                                        <w:b w:val="0"/>
                                        <w:color w:val="555555"/>
                                      </w:rPr>
                                    </m:ctrlPr>
                                  </m:sSupPr>
                                  <m:e>
                                    <m:r>
                                      <m:rPr>
                                        <m:sty m:val="bi"/>
                                      </m:rPr>
                                      <w:rPr>
                                        <w:rFonts w:ascii="Cambria Math" w:eastAsia="Times New Roman" w:hAnsi="Cambria Math" w:cs="Arial"/>
                                        <w:color w:val="555555"/>
                                      </w:rPr>
                                      <m:t>e</m:t>
                                    </m:r>
                                  </m:e>
                                  <m:sup>
                                    <m:r>
                                      <m:rPr>
                                        <m:sty m:val="b"/>
                                      </m:rPr>
                                      <w:rPr>
                                        <w:rFonts w:ascii="Cambria Math" w:eastAsia="Times New Roman" w:hAnsi="Cambria Math" w:cs="Arial"/>
                                        <w:color w:val="555555"/>
                                      </w:rPr>
                                      <m:t>-(</m:t>
                                    </m:r>
                                    <m:sSup>
                                      <m:sSupPr>
                                        <m:ctrlPr>
                                          <w:rPr>
                                            <w:rFonts w:ascii="Cambria Math" w:eastAsia="Times New Roman" w:hAnsi="Cambria Math" w:cs="Arial"/>
                                            <w:b w:val="0"/>
                                            <w:color w:val="555555"/>
                                          </w:rPr>
                                        </m:ctrlPr>
                                      </m:sSupPr>
                                      <m:e>
                                        <m:f>
                                          <m:fPr>
                                            <m:type m:val="lin"/>
                                            <m:ctrlPr>
                                              <w:rPr>
                                                <w:rFonts w:ascii="Cambria Math" w:eastAsia="Times New Roman" w:hAnsi="Cambria Math" w:cs="Arial"/>
                                                <w:b w:val="0"/>
                                                <w:i/>
                                                <w:color w:val="555555"/>
                                              </w:rPr>
                                            </m:ctrlPr>
                                          </m:fPr>
                                          <m:num>
                                            <m:r>
                                              <m:rPr>
                                                <m:sty m:val="bi"/>
                                              </m:rPr>
                                              <w:rPr>
                                                <w:rFonts w:ascii="Cambria Math" w:eastAsia="Times New Roman" w:hAnsi="Cambria Math" w:cs="Arial"/>
                                                <w:color w:val="555555"/>
                                              </w:rPr>
                                              <m:t>t</m:t>
                                            </m:r>
                                          </m:num>
                                          <m:den>
                                            <m:r>
                                              <m:rPr>
                                                <m:sty m:val="bi"/>
                                              </m:rPr>
                                              <w:rPr>
                                                <w:rFonts w:ascii="Cambria Math" w:eastAsia="Times New Roman" w:hAnsi="Cambria Math" w:cs="Arial"/>
                                                <w:color w:val="555555"/>
                                              </w:rPr>
                                              <m:t>L</m:t>
                                            </m:r>
                                          </m:den>
                                        </m:f>
                                        <m:r>
                                          <m:rPr>
                                            <m:sty m:val="bi"/>
                                          </m:rPr>
                                          <w:rPr>
                                            <w:rFonts w:ascii="Cambria Math" w:eastAsia="Times New Roman" w:hAnsi="Cambria Math" w:cs="Arial"/>
                                            <w:color w:val="555555"/>
                                          </w:rPr>
                                          <m:t>)</m:t>
                                        </m:r>
                                      </m:e>
                                      <m:sup>
                                        <m:r>
                                          <m:rPr>
                                            <m:sty m:val="b"/>
                                          </m:rPr>
                                          <w:rPr>
                                            <w:rFonts w:ascii="Cambria Math" w:eastAsia="Times New Roman" w:hAnsi="Cambria Math" w:cs="Arial"/>
                                            <w:color w:val="555555"/>
                                          </w:rPr>
                                          <m:t>k</m:t>
                                        </m:r>
                                      </m:sup>
                                    </m:sSup>
                                  </m:sup>
                                </m:sSup>
                                <m:r>
                                  <m:rPr>
                                    <m:sty m:val="bi"/>
                                  </m:rPr>
                                  <w:rPr>
                                    <w:rFonts w:ascii="Cambria Math" w:eastAsia="Times New Roman" w:hAnsi="Cambria Math" w:cs="Arial"/>
                                    <w:color w:val="555555"/>
                                  </w:rPr>
                                  <m:t>,0&lt;x&lt;∞</m:t>
                                </m:r>
                              </m:oMath>
                            </m:oMathPara>
                          </w:p>
                          <w:p w14:paraId="4F90F228" w14:textId="77777777" w:rsidR="0073787E" w:rsidRDefault="007378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8F1E951" id="_x0000_t202" coordsize="21600,21600" o:spt="202" path="m,l,21600r21600,l21600,xe">
                <v:stroke joinstyle="miter"/>
                <v:path gradientshapeok="t" o:connecttype="rect"/>
              </v:shapetype>
              <v:shape id="Text Box 5" o:spid="_x0000_s1057" type="#_x0000_t202" alt="Title: Equation 1 - Description: W open parentheses t comma k comma L close parentheses equals k over L to the power of k t to the power of k minus 1 end exponent e to the power of negative open parentheses t divided by L close parentheses to the power of k end exponent comma 0 less than x less than infinity." style="position:absolute;margin-left:150.3pt;margin-top:9.25pt;width:182.4pt;height:39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" fillcolor="white [3201]" stroked="f" strokeweight=".5pt">
                <v:textbox>
                  <w:txbxContent>
                    <w:p w14:paraId="3732C391" w14:textId="3FCB4D91" w:rsidR="0073787E" w:rsidRPr="008F4D85" w:rsidRDefault="0073787E" w:rsidP="00284BD7">
                      <w:pPr>
                        <w:pStyle w:val="Caption"/>
                        <w:rPr>
                          <w:rFonts w:ascii="Arial" w:eastAsia="Times New Roman" w:hAnsi="Arial" w:cs="Arial"/>
                          <w:b w:val="0"/>
                          <w:color w:val="555555"/>
                        </w:rPr>
                      </w:pPr>
                      <m:oMathPara>
                        <m:oMath>
                          <m:r>
                            <m:rPr>
                              <m:sty m:val="bi"/>
                            </m:rPr>
                            <w:rPr>
                              <w:rFonts w:ascii="Cambria Math" w:eastAsia="Times New Roman" w:hAnsi="Cambria Math" w:cs="Arial"/>
                              <w:color w:val="555555"/>
                            </w:rPr>
                            <m:t>W(</m:t>
                          </m:r>
                          <m:sSup>
                            <m:sSupPr>
                              <m:ctrlPr>
                                <w:rPr>
                                  <w:rFonts w:ascii="Cambria Math" w:eastAsia="Times New Roman" w:hAnsi="Cambria Math" w:cs="Arial"/>
                                  <w:b w:val="0"/>
                                  <w:color w:val="555555"/>
                                </w:rPr>
                              </m:ctrlPr>
                            </m:sSupPr>
                            <m:e>
                              <m:r>
                                <m:rPr>
                                  <m:sty m:val="bi"/>
                                </m:rPr>
                                <w:rPr>
                                  <w:rFonts w:ascii="Cambria Math" w:eastAsia="Times New Roman" w:hAnsi="Cambria Math" w:cs="Arial"/>
                                  <w:color w:val="555555"/>
                                </w:rPr>
                                <m:t>t,k,L)=</m:t>
                              </m:r>
                              <m:f>
                                <m:fPr>
                                  <m:ctrlPr>
                                    <w:rPr>
                                      <w:rFonts w:ascii="Cambria Math" w:eastAsia="Times New Roman" w:hAnsi="Cambria Math" w:cs="Arial"/>
                                      <w:b w:val="0"/>
                                      <w:color w:val="555555"/>
                                    </w:rPr>
                                  </m:ctrlPr>
                                </m:fPr>
                                <m:num>
                                  <m:r>
                                    <m:rPr>
                                      <m:sty m:val="bi"/>
                                    </m:rPr>
                                    <w:rPr>
                                      <w:rFonts w:ascii="Cambria Math" w:eastAsia="Times New Roman" w:hAnsi="Cambria Math" w:cs="Arial"/>
                                      <w:color w:val="555555"/>
                                    </w:rPr>
                                    <m:t>k</m:t>
                                  </m:r>
                                </m:num>
                                <m:den>
                                  <m:sSup>
                                    <m:sSupPr>
                                      <m:ctrlPr>
                                        <w:rPr>
                                          <w:rFonts w:ascii="Cambria Math" w:eastAsia="Times New Roman" w:hAnsi="Cambria Math" w:cs="Arial"/>
                                          <w:b w:val="0"/>
                                          <w:color w:val="555555"/>
                                        </w:rPr>
                                      </m:ctrlPr>
                                    </m:sSupPr>
                                    <m:e>
                                      <m:r>
                                        <m:rPr>
                                          <m:sty m:val="bi"/>
                                        </m:rPr>
                                        <w:rPr>
                                          <w:rFonts w:ascii="Cambria Math" w:eastAsia="Times New Roman" w:hAnsi="Cambria Math" w:cs="Arial"/>
                                          <w:color w:val="555555"/>
                                        </w:rPr>
                                        <m:t>L</m:t>
                                      </m:r>
                                    </m:e>
                                    <m:sup>
                                      <m:r>
                                        <m:rPr>
                                          <m:sty m:val="bi"/>
                                        </m:rPr>
                                        <w:rPr>
                                          <w:rFonts w:ascii="Cambria Math" w:eastAsia="Times New Roman" w:hAnsi="Cambria Math" w:cs="Arial"/>
                                          <w:color w:val="555555"/>
                                        </w:rPr>
                                        <m:t>k</m:t>
                                      </m:r>
                                    </m:sup>
                                  </m:sSup>
                                </m:den>
                              </m:f>
                              <m:r>
                                <m:rPr>
                                  <m:sty m:val="bi"/>
                                </m:rPr>
                                <w:rPr>
                                  <w:rFonts w:ascii="Cambria Math" w:eastAsia="Times New Roman" w:hAnsi="Cambria Math" w:cs="Arial"/>
                                  <w:color w:val="555555"/>
                                </w:rPr>
                                <m:t>t</m:t>
                              </m:r>
                            </m:e>
                            <m:sup>
                              <m:r>
                                <m:rPr>
                                  <m:sty m:val="bi"/>
                                </m:rPr>
                                <w:rPr>
                                  <w:rFonts w:ascii="Cambria Math" w:eastAsia="Times New Roman" w:hAnsi="Cambria Math" w:cs="Arial"/>
                                  <w:color w:val="555555"/>
                                </w:rPr>
                                <m:t>k</m:t>
                              </m:r>
                              <m:r>
                                <m:rPr>
                                  <m:sty m:val="b"/>
                                </m:rPr>
                                <w:rPr>
                                  <w:rFonts w:ascii="Cambria Math" w:eastAsia="Times New Roman" w:hAnsi="Cambria Math" w:cs="Arial"/>
                                  <w:color w:val="555555"/>
                                </w:rPr>
                                <m:t>-1</m:t>
                              </m:r>
                            </m:sup>
                          </m:sSup>
                          <m:sSup>
                            <m:sSupPr>
                              <m:ctrlPr>
                                <w:rPr>
                                  <w:rFonts w:ascii="Cambria Math" w:eastAsia="Times New Roman" w:hAnsi="Cambria Math" w:cs="Arial"/>
                                  <w:b w:val="0"/>
                                  <w:color w:val="555555"/>
                                </w:rPr>
                              </m:ctrlPr>
                            </m:sSupPr>
                            <m:e>
                              <m:r>
                                <m:rPr>
                                  <m:sty m:val="bi"/>
                                </m:rPr>
                                <w:rPr>
                                  <w:rFonts w:ascii="Cambria Math" w:eastAsia="Times New Roman" w:hAnsi="Cambria Math" w:cs="Arial"/>
                                  <w:color w:val="555555"/>
                                </w:rPr>
                                <m:t>e</m:t>
                              </m:r>
                            </m:e>
                            <m:sup>
                              <m:r>
                                <m:rPr>
                                  <m:sty m:val="b"/>
                                </m:rPr>
                                <w:rPr>
                                  <w:rFonts w:ascii="Cambria Math" w:eastAsia="Times New Roman" w:hAnsi="Cambria Math" w:cs="Arial"/>
                                  <w:color w:val="555555"/>
                                </w:rPr>
                                <m:t>-(</m:t>
                              </m:r>
                              <m:sSup>
                                <m:sSupPr>
                                  <m:ctrlPr>
                                    <w:rPr>
                                      <w:rFonts w:ascii="Cambria Math" w:eastAsia="Times New Roman" w:hAnsi="Cambria Math" w:cs="Arial"/>
                                      <w:b w:val="0"/>
                                      <w:color w:val="555555"/>
                                    </w:rPr>
                                  </m:ctrlPr>
                                </m:sSupPr>
                                <m:e>
                                  <m:f>
                                    <m:fPr>
                                      <m:type m:val="lin"/>
                                      <m:ctrlPr>
                                        <w:rPr>
                                          <w:rFonts w:ascii="Cambria Math" w:eastAsia="Times New Roman" w:hAnsi="Cambria Math" w:cs="Arial"/>
                                          <w:b w:val="0"/>
                                          <w:i/>
                                          <w:color w:val="555555"/>
                                        </w:rPr>
                                      </m:ctrlPr>
                                    </m:fPr>
                                    <m:num>
                                      <m:r>
                                        <m:rPr>
                                          <m:sty m:val="bi"/>
                                        </m:rPr>
                                        <w:rPr>
                                          <w:rFonts w:ascii="Cambria Math" w:eastAsia="Times New Roman" w:hAnsi="Cambria Math" w:cs="Arial"/>
                                          <w:color w:val="555555"/>
                                        </w:rPr>
                                        <m:t>t</m:t>
                                      </m:r>
                                    </m:num>
                                    <m:den>
                                      <m:r>
                                        <m:rPr>
                                          <m:sty m:val="bi"/>
                                        </m:rPr>
                                        <w:rPr>
                                          <w:rFonts w:ascii="Cambria Math" w:eastAsia="Times New Roman" w:hAnsi="Cambria Math" w:cs="Arial"/>
                                          <w:color w:val="555555"/>
                                        </w:rPr>
                                        <m:t>L</m:t>
                                      </m:r>
                                    </m:den>
                                  </m:f>
                                  <m:r>
                                    <m:rPr>
                                      <m:sty m:val="bi"/>
                                    </m:rPr>
                                    <w:rPr>
                                      <w:rFonts w:ascii="Cambria Math" w:eastAsia="Times New Roman" w:hAnsi="Cambria Math" w:cs="Arial"/>
                                      <w:color w:val="555555"/>
                                    </w:rPr>
                                    <m:t>)</m:t>
                                  </m:r>
                                </m:e>
                                <m:sup>
                                  <m:r>
                                    <m:rPr>
                                      <m:sty m:val="b"/>
                                    </m:rPr>
                                    <w:rPr>
                                      <w:rFonts w:ascii="Cambria Math" w:eastAsia="Times New Roman" w:hAnsi="Cambria Math" w:cs="Arial"/>
                                      <w:color w:val="555555"/>
                                    </w:rPr>
                                    <m:t>k</m:t>
                                  </m:r>
                                </m:sup>
                              </m:sSup>
                            </m:sup>
                          </m:sSup>
                          <m:r>
                            <m:rPr>
                              <m:sty m:val="bi"/>
                            </m:rPr>
                            <w:rPr>
                              <w:rFonts w:ascii="Cambria Math" w:eastAsia="Times New Roman" w:hAnsi="Cambria Math" w:cs="Arial"/>
                              <w:color w:val="555555"/>
                            </w:rPr>
                            <m:t>,0&lt;x&lt;∞</m:t>
                          </m:r>
                        </m:oMath>
                      </m:oMathPara>
                    </w:p>
                    <w:p w14:paraId="4F90F228" w14:textId="77777777" w:rsidR="0073787E" w:rsidRDefault="0073787E"/>
                  </w:txbxContent>
                </v:textbox>
              </v:shape>
            </w:pict>
          </mc:Fallback>
        </mc:AlternateContent>
      </w:r>
      <w:r w:rsidR="0017018E" w:rsidRPr="007B0D5A">
        <w:rPr>
          <w:color w:val="00A9CE" w:themeColor="accent1"/>
        </w:rPr>
        <w:t xml:space="preserve">Equation </w:t>
      </w:r>
      <w:r w:rsidR="00447CD6" w:rsidRPr="007B0D5A">
        <w:rPr>
          <w:color w:val="00A9CE" w:themeColor="accent1"/>
        </w:rPr>
        <w:fldChar w:fldCharType="begin"/>
      </w:r>
      <w:r w:rsidR="00447CD6" w:rsidRPr="007B0D5A">
        <w:rPr>
          <w:color w:val="00A9CE" w:themeColor="accent1"/>
        </w:rPr>
        <w:instrText xml:space="preserve"> SEQ Equation \* ARABIC </w:instrText>
      </w:r>
      <w:r w:rsidR="00447CD6" w:rsidRPr="007B0D5A">
        <w:rPr>
          <w:color w:val="00A9CE" w:themeColor="accent1"/>
        </w:rPr>
        <w:fldChar w:fldCharType="separate"/>
      </w:r>
      <w:r w:rsidR="004A26FB">
        <w:rPr>
          <w:noProof/>
          <w:color w:val="00A9CE" w:themeColor="accent1"/>
        </w:rPr>
        <w:t>1</w:t>
      </w:r>
      <w:r w:rsidR="00447CD6" w:rsidRPr="007B0D5A">
        <w:rPr>
          <w:color w:val="00A9CE" w:themeColor="accent1"/>
        </w:rPr>
        <w:fldChar w:fldCharType="end"/>
      </w:r>
      <w:bookmarkEnd w:id="23"/>
    </w:p>
    <w:p w14:paraId="635283AB" w14:textId="77777777" w:rsidR="00284BD7" w:rsidRPr="00284BD7" w:rsidRDefault="00284BD7" w:rsidP="00284BD7">
      <w:pPr>
        <w:pStyle w:val="BodyText"/>
      </w:pPr>
    </w:p>
    <w:p w14:paraId="2BABBE67" w14:textId="4EE69000" w:rsidR="0017018E" w:rsidRDefault="0017018E" w:rsidP="0017018E">
      <w:r>
        <w:t xml:space="preserve">In this work, the variable </w:t>
      </w:r>
      <w:r w:rsidRPr="00527E18">
        <w:rPr>
          <w:i/>
        </w:rPr>
        <w:t>t</w:t>
      </w:r>
      <w:r>
        <w:t xml:space="preserve"> refers to simulated future time. Please note: unless otherwise stated, “</w:t>
      </w:r>
      <w:r w:rsidRPr="00F9227B">
        <w:rPr>
          <w:i/>
        </w:rPr>
        <w:t>t</w:t>
      </w:r>
      <w:r>
        <w:rPr>
          <w:i/>
        </w:rPr>
        <w:t>”</w:t>
      </w:r>
      <w:r>
        <w:t xml:space="preserve"> refers to the time </w:t>
      </w:r>
      <w:r w:rsidRPr="00E4740C">
        <w:rPr>
          <w:i/>
        </w:rPr>
        <w:t>interval</w:t>
      </w:r>
      <w:r>
        <w:t xml:space="preserve"> between the future date and the base year of 2011</w:t>
      </w:r>
      <w:r w:rsidR="00943AF1">
        <w:t>,</w:t>
      </w:r>
      <w:r>
        <w:t xml:space="preserve"> e.g. at 2020, </w:t>
      </w:r>
      <w:r w:rsidRPr="00F9227B">
        <w:rPr>
          <w:i/>
        </w:rPr>
        <w:t>t</w:t>
      </w:r>
      <w:r>
        <w:t xml:space="preserve"> = 9. </w:t>
      </w:r>
      <w:r w:rsidRPr="00527E18">
        <w:rPr>
          <w:rFonts w:asciiTheme="minorHAnsi" w:hAnsiTheme="minorHAnsi"/>
          <w:i/>
        </w:rPr>
        <w:t>k</w:t>
      </w:r>
      <w:r>
        <w:t xml:space="preserve"> is the shape parameter and </w:t>
      </w:r>
      <w:r w:rsidRPr="00527E18">
        <w:rPr>
          <w:i/>
        </w:rPr>
        <w:t>L</w:t>
      </w:r>
      <w:r>
        <w:t xml:space="preserve"> is the scale parameter of the distribution. We used a different Weibull distribution for each stock type defined by different scale parameters.</w:t>
      </w:r>
    </w:p>
    <w:p w14:paraId="76B445BD" w14:textId="67EE4A39" w:rsidR="0017018E" w:rsidRDefault="0017018E" w:rsidP="0017018E">
      <w:r>
        <w:t xml:space="preserve">Given the assumption of a uniform age-structure distribution for a stock type, we may treat the time </w:t>
      </w:r>
      <w:r w:rsidRPr="002A5FFC">
        <w:rPr>
          <w:color w:val="auto"/>
        </w:rPr>
        <w:t xml:space="preserve">dimension as effectively the “time to failure” for the population of stock of a given type. In this case, </w:t>
      </w:r>
      <w:r w:rsidR="00CC2859">
        <w:rPr>
          <w:color w:val="auto"/>
        </w:rPr>
        <w:t xml:space="preserve">Equation 1 </w:t>
      </w:r>
      <w:r w:rsidRPr="002A5FFC">
        <w:rPr>
          <w:color w:val="auto"/>
        </w:rPr>
        <w:t xml:space="preserve">gives a </w:t>
      </w:r>
      <w:r>
        <w:t>distribution for which the failure rate is proportional to a power of time. The shape parameter,</w:t>
      </w:r>
      <w:r w:rsidRPr="00527E18">
        <w:rPr>
          <w:i/>
        </w:rPr>
        <w:t xml:space="preserve"> k</w:t>
      </w:r>
      <w:r>
        <w:t xml:space="preserve">, is that power plus one, and where </w:t>
      </w:r>
      <w:r w:rsidRPr="00527E18">
        <w:rPr>
          <w:i/>
        </w:rPr>
        <w:t>k</w:t>
      </w:r>
      <w:r>
        <w:t xml:space="preserve"> &gt; 1, this indicates that the failure rate increases with time. This is characteristic of an ageing process, or where parts are more likely to fail as time goes on. For all stock types, </w:t>
      </w:r>
      <w:r w:rsidRPr="003B6227">
        <w:rPr>
          <w:i/>
        </w:rPr>
        <w:t>k</w:t>
      </w:r>
      <w:r>
        <w:t xml:space="preserve"> was chosen to be equal to 5. The life expectancies of different stock types were used as the scale parameter, </w:t>
      </w:r>
      <w:r w:rsidRPr="003B6227">
        <w:rPr>
          <w:i/>
        </w:rPr>
        <w:t>L</w:t>
      </w:r>
      <w:r>
        <w:t>.</w:t>
      </w:r>
    </w:p>
    <w:p w14:paraId="7CE45912" w14:textId="2A997FB9" w:rsidR="0017018E" w:rsidRDefault="0017018E" w:rsidP="0017018E">
      <w:r>
        <w:t xml:space="preserve">Note that in this exercise we do not need to apply the Weibull distribution repeatedly over time to simulate successive generations of new plant. The first generation of new plant is assumed to have an energy efficiency representing the trend or </w:t>
      </w:r>
      <w:r w:rsidR="00CA0FAD">
        <w:t>S</w:t>
      </w:r>
      <w:r>
        <w:t xml:space="preserve">tep </w:t>
      </w:r>
      <w:r w:rsidR="00CA0FAD">
        <w:t>C</w:t>
      </w:r>
      <w:r>
        <w:t>hange scenario. Thereafter any new or replacement plant has the same efficiency as the preceding generation.</w:t>
      </w:r>
    </w:p>
    <w:p w14:paraId="5F39F9A7" w14:textId="236E682D" w:rsidR="0017018E" w:rsidRDefault="0017018E" w:rsidP="0017018E">
      <w:r>
        <w:t xml:space="preserve">Another way of saying this is: we </w:t>
      </w:r>
      <w:r w:rsidRPr="003B6227">
        <w:rPr>
          <w:i/>
        </w:rPr>
        <w:t>could</w:t>
      </w:r>
      <w:r>
        <w:t xml:space="preserve"> have used the Weibull distribution repeatedly to get a sense of the timing of a 2</w:t>
      </w:r>
      <w:r w:rsidRPr="003B6227">
        <w:rPr>
          <w:vertAlign w:val="superscript"/>
        </w:rPr>
        <w:t>nd</w:t>
      </w:r>
      <w:r>
        <w:t xml:space="preserve"> or 3</w:t>
      </w:r>
      <w:r w:rsidRPr="003B6227">
        <w:rPr>
          <w:vertAlign w:val="superscript"/>
        </w:rPr>
        <w:t>rd</w:t>
      </w:r>
      <w:r>
        <w:t xml:space="preserve"> generation of new plant, but this would not give us any further information on the transition to new efficiencies. They would have already been achieved in the first generation.</w:t>
      </w:r>
      <w:r w:rsidR="0020743A">
        <w:t xml:space="preserve"> Second generation efficiencies are modelled according to the logic of Section </w:t>
      </w:r>
      <w:r w:rsidR="0020743A">
        <w:fldChar w:fldCharType="begin"/>
      </w:r>
      <w:r w:rsidR="0020743A">
        <w:instrText xml:space="preserve"> REF _Ref299102535 \r \h </w:instrText>
      </w:r>
      <w:r w:rsidR="0020743A">
        <w:fldChar w:fldCharType="separate"/>
      </w:r>
      <w:r w:rsidR="0020743A">
        <w:t>2.5</w:t>
      </w:r>
      <w:r w:rsidR="0020743A">
        <w:fldChar w:fldCharType="end"/>
      </w:r>
      <w:r w:rsidR="0020743A">
        <w:t>.</w:t>
      </w:r>
    </w:p>
    <w:p w14:paraId="4E2B6E15" w14:textId="2C1BAE58" w:rsidR="0017018E" w:rsidRDefault="0017018E" w:rsidP="0017018E">
      <w:r w:rsidRPr="00E05DC1">
        <w:rPr>
          <w:color w:val="auto"/>
        </w:rPr>
        <w:t>Refer</w:t>
      </w:r>
      <w:r w:rsidR="007857FB">
        <w:rPr>
          <w:color w:val="auto"/>
        </w:rPr>
        <w:t xml:space="preserve"> to</w:t>
      </w:r>
      <w:r w:rsidRPr="00E05DC1">
        <w:rPr>
          <w:color w:val="auto"/>
        </w:rPr>
        <w:t xml:space="preserve"> </w:t>
      </w:r>
      <w:r w:rsidR="00F57920" w:rsidRPr="00E05DC1">
        <w:rPr>
          <w:color w:val="auto"/>
        </w:rPr>
        <w:fldChar w:fldCharType="begin"/>
      </w:r>
      <w:r w:rsidR="00F57920" w:rsidRPr="00E05DC1">
        <w:rPr>
          <w:color w:val="auto"/>
        </w:rPr>
        <w:instrText xml:space="preserve"> REF _Ref433370120 \h  \* MERGEFORMAT </w:instrText>
      </w:r>
      <w:r w:rsidR="00F57920" w:rsidRPr="00E05DC1">
        <w:rPr>
          <w:color w:val="auto"/>
        </w:rPr>
      </w:r>
      <w:r w:rsidR="00F57920" w:rsidRPr="00E05DC1">
        <w:rPr>
          <w:color w:val="auto"/>
        </w:rPr>
        <w:fldChar w:fldCharType="separate"/>
      </w:r>
      <w:r w:rsidR="00F57920" w:rsidRPr="00E05DC1">
        <w:rPr>
          <w:color w:val="auto"/>
        </w:rPr>
        <w:t>Figure 9</w:t>
      </w:r>
      <w:r w:rsidR="00F57920" w:rsidRPr="00E05DC1">
        <w:rPr>
          <w:color w:val="auto"/>
        </w:rPr>
        <w:fldChar w:fldCharType="end"/>
      </w:r>
      <w:r w:rsidR="00F57920" w:rsidRPr="00E05DC1">
        <w:rPr>
          <w:color w:val="auto"/>
        </w:rPr>
        <w:t xml:space="preserve"> in </w:t>
      </w:r>
      <w:r w:rsidRPr="00E05DC1">
        <w:rPr>
          <w:color w:val="auto"/>
        </w:rPr>
        <w:t xml:space="preserve">the </w:t>
      </w:r>
      <w:r w:rsidR="007857FB">
        <w:rPr>
          <w:color w:val="auto"/>
        </w:rPr>
        <w:t xml:space="preserve">Supplementary information </w:t>
      </w:r>
      <w:r w:rsidR="009D3AC2" w:rsidRPr="00E05DC1">
        <w:rPr>
          <w:color w:val="auto"/>
        </w:rPr>
        <w:t xml:space="preserve">for </w:t>
      </w:r>
      <w:r w:rsidRPr="00E05DC1">
        <w:t xml:space="preserve">a graph of Weibull </w:t>
      </w:r>
      <w:r w:rsidRPr="00E05DC1">
        <w:rPr>
          <w:color w:val="auto"/>
        </w:rPr>
        <w:t xml:space="preserve">distributions and </w:t>
      </w:r>
      <w:r w:rsidR="0069045A" w:rsidRPr="00E05DC1">
        <w:rPr>
          <w:color w:val="auto"/>
        </w:rPr>
        <w:fldChar w:fldCharType="begin"/>
      </w:r>
      <w:r w:rsidR="0069045A" w:rsidRPr="00E05DC1">
        <w:rPr>
          <w:color w:val="auto"/>
        </w:rPr>
        <w:instrText xml:space="preserve"> REF _Ref433370658 \h  \* MERGEFORMAT </w:instrText>
      </w:r>
      <w:r w:rsidR="0069045A" w:rsidRPr="00E05DC1">
        <w:rPr>
          <w:color w:val="auto"/>
        </w:rPr>
      </w:r>
      <w:r w:rsidR="0069045A" w:rsidRPr="00E05DC1">
        <w:rPr>
          <w:color w:val="auto"/>
        </w:rPr>
        <w:fldChar w:fldCharType="separate"/>
      </w:r>
      <w:r w:rsidR="0069045A" w:rsidRPr="00E05DC1">
        <w:rPr>
          <w:color w:val="auto"/>
        </w:rPr>
        <w:t>Table 9</w:t>
      </w:r>
      <w:r w:rsidR="0069045A" w:rsidRPr="00E05DC1">
        <w:rPr>
          <w:color w:val="auto"/>
        </w:rPr>
        <w:fldChar w:fldCharType="end"/>
      </w:r>
      <w:r w:rsidRPr="00E05DC1">
        <w:rPr>
          <w:color w:val="auto"/>
        </w:rPr>
        <w:t xml:space="preserve"> </w:t>
      </w:r>
      <w:r w:rsidR="005A103C" w:rsidRPr="00E05DC1">
        <w:rPr>
          <w:color w:val="auto"/>
        </w:rPr>
        <w:t xml:space="preserve">for </w:t>
      </w:r>
      <w:r w:rsidRPr="00E05DC1">
        <w:t>life expectancies, for all</w:t>
      </w:r>
      <w:r w:rsidRPr="00F57920">
        <w:t xml:space="preserve"> stock types where data was available</w:t>
      </w:r>
      <w:r w:rsidR="00E16B5A" w:rsidRPr="00F57920">
        <w:t xml:space="preserve">. These were used to define the failure rate component of </w:t>
      </w:r>
      <w:r w:rsidRPr="00F57920">
        <w:t>the stock turnover model.</w:t>
      </w:r>
    </w:p>
    <w:p w14:paraId="732B037A" w14:textId="77777777" w:rsidR="0017018E" w:rsidRDefault="0017018E" w:rsidP="0017018E">
      <w:pPr>
        <w:pStyle w:val="Heading3"/>
      </w:pPr>
      <w:r>
        <w:t>Limitations of the model</w:t>
      </w:r>
    </w:p>
    <w:p w14:paraId="54315615" w14:textId="77777777" w:rsidR="0017018E" w:rsidRPr="00FF02DC" w:rsidRDefault="0017018E" w:rsidP="0017018E">
      <w:pPr>
        <w:rPr>
          <w:color w:val="auto"/>
        </w:rPr>
      </w:pPr>
      <w:r>
        <w:t xml:space="preserve">The model is partially empirical – starting from databases on stock characteristics of industry sectors – and partially statistical – relying on a failure rate assumed from a distribution function. A more precise, though possibly no more accurate, model could represent processes in the industry sectors to arrive at a more bottom-up calculation of changes to </w:t>
      </w:r>
      <w:r w:rsidRPr="00FF02DC">
        <w:rPr>
          <w:color w:val="auto"/>
        </w:rPr>
        <w:t>efficiency.</w:t>
      </w:r>
    </w:p>
    <w:p w14:paraId="03C039BA" w14:textId="1A14C5C8" w:rsidR="0017018E" w:rsidRDefault="0017018E" w:rsidP="0017018E">
      <w:r w:rsidRPr="00FF02DC">
        <w:rPr>
          <w:color w:val="auto"/>
        </w:rPr>
        <w:t>A third possible key input to the stock flow model is shown</w:t>
      </w:r>
      <w:r w:rsidR="009F5776" w:rsidRPr="00FF02DC">
        <w:rPr>
          <w:color w:val="auto"/>
        </w:rPr>
        <w:t xml:space="preserve"> </w:t>
      </w:r>
      <w:r w:rsidR="009F5776" w:rsidRPr="008575B5">
        <w:rPr>
          <w:color w:val="auto"/>
        </w:rPr>
        <w:t xml:space="preserve">in </w:t>
      </w:r>
      <w:r w:rsidR="00E6290E">
        <w:rPr>
          <w:color w:val="auto"/>
        </w:rPr>
        <w:t xml:space="preserve">Figure 1 </w:t>
      </w:r>
      <w:r w:rsidRPr="00FF02DC">
        <w:rPr>
          <w:color w:val="auto"/>
        </w:rPr>
        <w:t xml:space="preserve">the dotted </w:t>
      </w:r>
      <w:r>
        <w:t>flow variable “new demand for stock” flow and its connection to existing stock. This is not currently part of the industrial stock flow model though it does feature in the estimation of residential dwelling water and energy use. This does not alter the magnitude of potential industrial efficiency changes but its omission may underestimate the speed at which those changes occur.</w:t>
      </w:r>
    </w:p>
    <w:p w14:paraId="00733CBC" w14:textId="5C911453" w:rsidR="0017018E" w:rsidRDefault="0017018E" w:rsidP="0017018E">
      <w:r>
        <w:t xml:space="preserve">New demand for stock would ideally be driven by output from an economic model. Very likely there would be a circular relationship between improvements in efficiency, reduced costs of production, increased profitability and an increasing demand for new, more efficient, stock. This is a system feedback that would </w:t>
      </w:r>
      <w:r>
        <w:lastRenderedPageBreak/>
        <w:t xml:space="preserve">imply the link to an economic model would be an iterative one for each time step in simulation. This is an ambitious technical integration </w:t>
      </w:r>
      <w:r w:rsidR="009F5776">
        <w:t>that</w:t>
      </w:r>
      <w:r>
        <w:t xml:space="preserve"> is deferred to future work.</w:t>
      </w:r>
    </w:p>
    <w:p w14:paraId="5FEDB98F" w14:textId="77777777" w:rsidR="0017018E" w:rsidRPr="001B3113" w:rsidRDefault="0017018E" w:rsidP="008F696F">
      <w:pPr>
        <w:pStyle w:val="Heading2"/>
        <w:numPr>
          <w:ilvl w:val="1"/>
          <w:numId w:val="13"/>
        </w:numPr>
        <w:rPr>
          <w:color w:val="00A9CE" w:themeColor="accent1"/>
          <w:szCs w:val="32"/>
        </w:rPr>
      </w:pPr>
      <w:bookmarkStart w:id="24" w:name="_Ref359860330"/>
      <w:bookmarkStart w:id="25" w:name="_Ref359885256"/>
      <w:bookmarkStart w:id="26" w:name="_Toc359885766"/>
      <w:bookmarkStart w:id="27" w:name="_Toc433975077"/>
      <w:r w:rsidRPr="001B3113">
        <w:rPr>
          <w:color w:val="00A9CE" w:themeColor="accent1"/>
          <w:szCs w:val="32"/>
        </w:rPr>
        <w:t>Logistic approximation of efficiency uptake</w:t>
      </w:r>
      <w:bookmarkEnd w:id="24"/>
      <w:bookmarkEnd w:id="25"/>
      <w:bookmarkEnd w:id="26"/>
      <w:bookmarkEnd w:id="27"/>
    </w:p>
    <w:p w14:paraId="3DF484CF" w14:textId="3BC23DA2" w:rsidR="0017018E" w:rsidRDefault="0017018E" w:rsidP="0017018E">
      <w:r>
        <w:t xml:space="preserve">Where there were no stock data but there existed information on the future magnitude of change to sectoral energy or water efficiency, then a logistic curve was used to estimate the timing and form of the transition to the new efficiency. The logistic curve in has been commonly observed in diffusion of innovation and technology uptake </w:t>
      </w:r>
      <w:r>
        <w:fldChar w:fldCharType="begin"/>
      </w:r>
      <w:r w:rsidR="00D04510">
        <w:instrText xml:space="preserve"> ADDIN EN.CITE &lt;EndNote&gt;&lt;Cite&gt;&lt;Author&gt;Grübler&lt;/Author&gt;&lt;Year&gt;1990&lt;/Year&gt;&lt;RecNum&gt;489&lt;/RecNum&gt;&lt;DisplayText&gt;(Mansfield, 1961, Grübler, 1990)&lt;/DisplayText&gt;&lt;record&gt;&lt;rec-number&gt;489&lt;/rec-number&gt;&lt;foreign-keys&gt;&lt;key app="EN" db-id="t55vefr95ws0pgeffdlvtde0tdta909p2zv9"&gt;489&lt;/key&gt;&lt;/foreign-keys&gt;&lt;ref-type name="Book"&gt;6&lt;/ref-type&gt;&lt;contributors&gt;&lt;authors&gt;&lt;author&gt;Grübler, Arnulf&lt;/author&gt;&lt;/authors&gt;&lt;/contributors&gt;&lt;titles&gt;&lt;title&gt;The Rise and Fall of Infrastructures: Dynamics of Evolution and Technological Change in Transport.&lt;/title&gt;&lt;/titles&gt;&lt;dates&gt;&lt;year&gt;1990&lt;/year&gt;&lt;/dates&gt;&lt;pub-location&gt;Heidelberg and New York&lt;/pub-location&gt;&lt;publisher&gt;Physica-Verlag&lt;/publisher&gt;&lt;urls&gt;&lt;/urls&gt;&lt;/record&gt;&lt;/Cite&gt;&lt;Cite&gt;&lt;Author&gt;Mansfield&lt;/Author&gt;&lt;Year&gt;1961&lt;/Year&gt;&lt;RecNum&gt;671&lt;/RecNum&gt;&lt;record&gt;&lt;rec-number&gt;671&lt;/rec-number&gt;&lt;foreign-keys&gt;&lt;key app="EN" db-id="t55vefr95ws0pgeffdlvtde0tdta909p2zv9"&gt;671&lt;/key&gt;&lt;/foreign-keys&gt;&lt;ref-type name="Journal Article"&gt;17&lt;/ref-type&gt;&lt;contributors&gt;&lt;authors&gt;&lt;author&gt;Mansfield, Edwin&lt;/author&gt;&lt;/authors&gt;&lt;/contributors&gt;&lt;titles&gt;&lt;title&gt;Technical Change and the Rate of Imitation&lt;/title&gt;&lt;secondary-title&gt;Econometrica&lt;/secondary-title&gt;&lt;/titles&gt;&lt;periodical&gt;&lt;full-title&gt;Econometrica&lt;/full-title&gt;&lt;/periodical&gt;&lt;pages&gt;741-766&lt;/pages&gt;&lt;volume&gt;29&lt;/volume&gt;&lt;number&gt;4&lt;/number&gt;&lt;dates&gt;&lt;year&gt;1961&lt;/year&gt;&lt;/dates&gt;&lt;publisher&gt;The Econometric Society&lt;/publisher&gt;&lt;isbn&gt;00129682&lt;/isbn&gt;&lt;urls&gt;&lt;related-urls&gt;&lt;url&gt;http://www.jstor.org/stable/1911817&lt;/url&gt;&lt;/related-urls&gt;&lt;/urls&gt;&lt;electronic-resource-num&gt;10.2307/1911817&lt;/electronic-resource-num&gt;&lt;/record&gt;&lt;/Cite&gt;&lt;/EndNote&gt;</w:instrText>
      </w:r>
      <w:r>
        <w:fldChar w:fldCharType="separate"/>
      </w:r>
      <w:r w:rsidR="00D04510">
        <w:rPr>
          <w:noProof/>
        </w:rPr>
        <w:t>(</w:t>
      </w:r>
      <w:hyperlink w:anchor="_ENREF_19" w:tooltip="Mansfield, 1961 #671" w:history="1">
        <w:r w:rsidR="00D04510">
          <w:rPr>
            <w:noProof/>
          </w:rPr>
          <w:t>Mansfield, 1961</w:t>
        </w:r>
      </w:hyperlink>
      <w:r w:rsidR="00943AF1">
        <w:rPr>
          <w:noProof/>
        </w:rPr>
        <w:t>;</w:t>
      </w:r>
      <w:r w:rsidR="00D04510">
        <w:rPr>
          <w:noProof/>
        </w:rPr>
        <w:t xml:space="preserve"> </w:t>
      </w:r>
      <w:hyperlink w:anchor="_ENREF_13" w:tooltip="Grübler, 1990 #489" w:history="1">
        <w:r w:rsidR="00D04510">
          <w:rPr>
            <w:noProof/>
          </w:rPr>
          <w:t>Grübler, 1990</w:t>
        </w:r>
      </w:hyperlink>
      <w:r w:rsidR="00D04510">
        <w:rPr>
          <w:noProof/>
        </w:rPr>
        <w:t>)</w:t>
      </w:r>
      <w:r>
        <w:fldChar w:fldCharType="end"/>
      </w:r>
      <w:r>
        <w:t xml:space="preserve"> and has the mathematical form as below:</w:t>
      </w:r>
    </w:p>
    <w:bookmarkStart w:id="28" w:name="_Ref358402581"/>
    <w:p w14:paraId="6897C0AE" w14:textId="25C35229" w:rsidR="0017018E" w:rsidRDefault="001968B9" w:rsidP="007B0D5A">
      <w:pPr>
        <w:pStyle w:val="Caption"/>
        <w:spacing w:before="240" w:after="200" w:line="240" w:lineRule="auto"/>
        <w:contextualSpacing w:val="0"/>
        <w:rPr>
          <w:color w:val="00A9CE" w:themeColor="accent1"/>
        </w:rPr>
      </w:pPr>
      <w:r>
        <w:rPr>
          <w:noProof/>
        </w:rPr>
        <mc:AlternateContent>
          <mc:Choice Requires="wps">
            <w:drawing>
              <wp:anchor distT="0" distB="0" distL="114300" distR="114300" simplePos="0" relativeHeight="251740160" behindDoc="0" locked="0" layoutInCell="1" allowOverlap="1" wp14:anchorId="730EAB82" wp14:editId="7889A65F">
                <wp:simplePos x="0" y="0"/>
                <wp:positionH relativeFrom="column">
                  <wp:posOffset>2655570</wp:posOffset>
                </wp:positionH>
                <wp:positionV relativeFrom="paragraph">
                  <wp:posOffset>90805</wp:posOffset>
                </wp:positionV>
                <wp:extent cx="1318260" cy="510540"/>
                <wp:effectExtent l="0" t="0" r="0" b="3810"/>
                <wp:wrapNone/>
                <wp:docPr id="20" name="Text Box 20" descr="L open parentheses t close parentheses equals fraction numerator 1 over denominator open parentheses 1 plus e to the power of negative t divided by k end exponent close parentheses end fraction" title="Equation 2"/>
                <wp:cNvGraphicFramePr/>
                <a:graphic xmlns:a="http://schemas.openxmlformats.org/drawingml/2006/main">
                  <a:graphicData uri="http://schemas.microsoft.com/office/word/2010/wordprocessingShape">
                    <wps:wsp>
                      <wps:cNvSpPr txBox="1"/>
                      <wps:spPr>
                        <a:xfrm>
                          <a:off x="0" y="0"/>
                          <a:ext cx="1318260" cy="5105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EFBD831" w14:textId="66F2F670" w:rsidR="0073787E" w:rsidRDefault="0073787E">
                            <m:oMathPara>
                              <m:oMath>
                                <m:r>
                                  <w:rPr>
                                    <w:rFonts w:ascii="Cambria Math" w:hAnsi="Cambria Math" w:cs="Cambria Math"/>
                                  </w:rPr>
                                  <m:t>L(t)</m:t>
                                </m:r>
                                <m:r>
                                  <m:rPr>
                                    <m:sty m:val="p"/>
                                  </m:rPr>
                                  <w:rPr>
                                    <w:rFonts w:ascii="Cambria Math" w:hAnsi="Cambria Math" w:cs="Cambria Math"/>
                                  </w:rPr>
                                  <m:t>=</m:t>
                                </m:r>
                                <m:f>
                                  <m:fPr>
                                    <m:ctrlPr>
                                      <w:rPr>
                                        <w:rFonts w:ascii="Cambria Math" w:hAnsi="Cambria Math"/>
                                      </w:rPr>
                                    </m:ctrlPr>
                                  </m:fPr>
                                  <m:num>
                                    <m:r>
                                      <w:rPr>
                                        <w:rFonts w:ascii="Cambria Math" w:hAnsi="Cambria Math" w:cs="Cambria Math"/>
                                      </w:rPr>
                                      <m:t>1</m:t>
                                    </m:r>
                                  </m:num>
                                  <m:den>
                                    <m:r>
                                      <m:rPr>
                                        <m:sty m:val="p"/>
                                      </m:rPr>
                                      <w:rPr>
                                        <w:rFonts w:ascii="Cambria Math" w:hAnsi="Cambria Math" w:cs="Cambria Math"/>
                                      </w:rPr>
                                      <m:t>(1+</m:t>
                                    </m:r>
                                    <m:sSup>
                                      <m:sSupPr>
                                        <m:ctrlPr>
                                          <w:rPr>
                                            <w:rFonts w:ascii="Cambria Math" w:hAnsi="Cambria Math" w:cs="Cambria Math"/>
                                          </w:rPr>
                                        </m:ctrlPr>
                                      </m:sSupPr>
                                      <m:e>
                                        <m:r>
                                          <m:rPr>
                                            <m:sty m:val="p"/>
                                          </m:rPr>
                                          <w:rPr>
                                            <w:rFonts w:ascii="Cambria Math" w:hAnsi="Cambria Math" w:cs="Cambria Math"/>
                                          </w:rPr>
                                          <m:t>e</m:t>
                                        </m:r>
                                      </m:e>
                                      <m:sup>
                                        <m:r>
                                          <m:rPr>
                                            <m:sty m:val="p"/>
                                          </m:rPr>
                                          <w:rPr>
                                            <w:rFonts w:ascii="Cambria Math" w:hAnsi="Cambria Math" w:cs="Cambria Math"/>
                                          </w:rPr>
                                          <m:t>-t/k</m:t>
                                        </m:r>
                                      </m:sup>
                                    </m:sSup>
                                    <m:r>
                                      <m:rPr>
                                        <m:sty m:val="p"/>
                                      </m:rPr>
                                      <w:rPr>
                                        <w:rFonts w:ascii="Cambria Math" w:hAnsi="Cambria Math" w:cs="Cambria Math"/>
                                      </w:rPr>
                                      <m:t>)</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EAB82" id="Text Box 20" o:spid="_x0000_s1058" type="#_x0000_t202" alt="Title: Equation 2 - Description: L open parentheses t close parentheses equals fraction numerator 1 over denominator open parentheses 1 plus e to the power of negative t divided by k end exponent close parentheses end fraction" style="position:absolute;margin-left:209.1pt;margin-top:7.15pt;width:103.8pt;height:40.2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" fillcolor="white [3201]" stroked="f" strokeweight=".5pt">
                <v:textbox>
                  <w:txbxContent>
                    <w:p w14:paraId="5EFBD831" w14:textId="66F2F670" w:rsidR="0073787E" w:rsidRDefault="0073787E">
                      <m:oMathPara>
                        <m:oMath>
                          <m:r>
                            <w:rPr>
                              <w:rFonts w:ascii="Cambria Math" w:hAnsi="Cambria Math" w:cs="Cambria Math"/>
                            </w:rPr>
                            <m:t>L(t)</m:t>
                          </m:r>
                          <m:r>
                            <m:rPr>
                              <m:sty m:val="p"/>
                            </m:rPr>
                            <w:rPr>
                              <w:rFonts w:ascii="Cambria Math" w:hAnsi="Cambria Math" w:cs="Cambria Math"/>
                            </w:rPr>
                            <m:t>=</m:t>
                          </m:r>
                          <m:f>
                            <m:fPr>
                              <m:ctrlPr>
                                <w:rPr>
                                  <w:rFonts w:ascii="Cambria Math" w:hAnsi="Cambria Math"/>
                                </w:rPr>
                              </m:ctrlPr>
                            </m:fPr>
                            <m:num>
                              <m:r>
                                <w:rPr>
                                  <w:rFonts w:ascii="Cambria Math" w:hAnsi="Cambria Math" w:cs="Cambria Math"/>
                                </w:rPr>
                                <m:t>1</m:t>
                              </m:r>
                            </m:num>
                            <m:den>
                              <m:r>
                                <m:rPr>
                                  <m:sty m:val="p"/>
                                </m:rPr>
                                <w:rPr>
                                  <w:rFonts w:ascii="Cambria Math" w:hAnsi="Cambria Math" w:cs="Cambria Math"/>
                                </w:rPr>
                                <m:t>(1+</m:t>
                              </m:r>
                              <m:sSup>
                                <m:sSupPr>
                                  <m:ctrlPr>
                                    <w:rPr>
                                      <w:rFonts w:ascii="Cambria Math" w:hAnsi="Cambria Math" w:cs="Cambria Math"/>
                                    </w:rPr>
                                  </m:ctrlPr>
                                </m:sSupPr>
                                <m:e>
                                  <m:r>
                                    <m:rPr>
                                      <m:sty m:val="p"/>
                                    </m:rPr>
                                    <w:rPr>
                                      <w:rFonts w:ascii="Cambria Math" w:hAnsi="Cambria Math" w:cs="Cambria Math"/>
                                    </w:rPr>
                                    <m:t>e</m:t>
                                  </m:r>
                                </m:e>
                                <m:sup>
                                  <m:r>
                                    <m:rPr>
                                      <m:sty m:val="p"/>
                                    </m:rPr>
                                    <w:rPr>
                                      <w:rFonts w:ascii="Cambria Math" w:hAnsi="Cambria Math" w:cs="Cambria Math"/>
                                    </w:rPr>
                                    <m:t>-t/k</m:t>
                                  </m:r>
                                </m:sup>
                              </m:sSup>
                              <m:r>
                                <m:rPr>
                                  <m:sty m:val="p"/>
                                </m:rPr>
                                <w:rPr>
                                  <w:rFonts w:ascii="Cambria Math" w:hAnsi="Cambria Math" w:cs="Cambria Math"/>
                                </w:rPr>
                                <m:t>)</m:t>
                              </m:r>
                            </m:den>
                          </m:f>
                        </m:oMath>
                      </m:oMathPara>
                    </w:p>
                  </w:txbxContent>
                </v:textbox>
              </v:shape>
            </w:pict>
          </mc:Fallback>
        </mc:AlternateContent>
      </w:r>
      <w:r w:rsidR="0017018E" w:rsidRPr="007B0D5A">
        <w:rPr>
          <w:color w:val="00A9CE" w:themeColor="accent1"/>
        </w:rPr>
        <w:t xml:space="preserve">Equation </w:t>
      </w:r>
      <w:r w:rsidR="00447CD6" w:rsidRPr="007B0D5A">
        <w:rPr>
          <w:color w:val="00A9CE" w:themeColor="accent1"/>
        </w:rPr>
        <w:fldChar w:fldCharType="begin"/>
      </w:r>
      <w:r w:rsidR="00447CD6" w:rsidRPr="007B0D5A">
        <w:rPr>
          <w:color w:val="00A9CE" w:themeColor="accent1"/>
        </w:rPr>
        <w:instrText xml:space="preserve"> SEQ Equation \* ARABIC </w:instrText>
      </w:r>
      <w:r w:rsidR="00447CD6" w:rsidRPr="007B0D5A">
        <w:rPr>
          <w:color w:val="00A9CE" w:themeColor="accent1"/>
        </w:rPr>
        <w:fldChar w:fldCharType="separate"/>
      </w:r>
      <w:r w:rsidR="004A26FB">
        <w:rPr>
          <w:noProof/>
          <w:color w:val="00A9CE" w:themeColor="accent1"/>
        </w:rPr>
        <w:t>2</w:t>
      </w:r>
      <w:r w:rsidR="00447CD6" w:rsidRPr="007B0D5A">
        <w:rPr>
          <w:color w:val="00A9CE" w:themeColor="accent1"/>
        </w:rPr>
        <w:fldChar w:fldCharType="end"/>
      </w:r>
      <w:bookmarkEnd w:id="28"/>
    </w:p>
    <w:p w14:paraId="04B41A0F" w14:textId="77777777" w:rsidR="001968B9" w:rsidRPr="00DC7D54" w:rsidRDefault="001968B9" w:rsidP="00DC7D54"/>
    <w:p w14:paraId="7617A902" w14:textId="77777777" w:rsidR="00DC7D54" w:rsidRPr="00DC7D54" w:rsidRDefault="00DC7D54" w:rsidP="00DC7D54"/>
    <w:p w14:paraId="28EA4A84" w14:textId="63101FE9" w:rsidR="0017018E" w:rsidRPr="00DC7D54" w:rsidRDefault="00D96E9D" w:rsidP="00DC7D54">
      <w:r w:rsidRPr="00DC7D54">
        <w:t>…</w:t>
      </w:r>
      <w:r w:rsidR="0017018E" w:rsidRPr="00DC7D54">
        <w:t xml:space="preserve">where </w:t>
      </w:r>
      <w:r w:rsidR="0017018E" w:rsidRPr="00DC7D54">
        <w:rPr>
          <w:i/>
        </w:rPr>
        <w:t>k</w:t>
      </w:r>
      <w:r w:rsidR="0017018E" w:rsidRPr="00DC7D54">
        <w:t xml:space="preserve"> is a parameter that modifies the scale but not the general form of the logistic function. As shown in</w:t>
      </w:r>
      <w:r w:rsidR="00460688">
        <w:t xml:space="preserve"> Figure 2</w:t>
      </w:r>
      <w:r w:rsidR="0017018E" w:rsidRPr="00DC7D54">
        <w:t xml:space="preserve">, where the value of </w:t>
      </w:r>
      <w:r w:rsidR="0017018E" w:rsidRPr="00DC7D54">
        <w:rPr>
          <w:i/>
        </w:rPr>
        <w:t>k</w:t>
      </w:r>
      <w:r w:rsidR="0017018E" w:rsidRPr="00DC7D54">
        <w:t xml:space="preserve"> = 1, the logistic curve extends from 0 to 1 for practical purposes over an interval of 10 (from </w:t>
      </w:r>
      <w:r w:rsidR="0017018E" w:rsidRPr="00DC7D54">
        <w:rPr>
          <w:i/>
        </w:rPr>
        <w:t>t</w:t>
      </w:r>
      <w:r w:rsidR="0017018E" w:rsidRPr="00DC7D54">
        <w:t xml:space="preserve"> = -5 to 5). In our use of the logistic function we assumed a transition to take place over an interval of 30 years hence we used a value of </w:t>
      </w:r>
      <w:r w:rsidR="0017018E" w:rsidRPr="00DC7D54">
        <w:rPr>
          <w:i/>
        </w:rPr>
        <w:t>k</w:t>
      </w:r>
      <w:r w:rsidR="0017018E" w:rsidRPr="00DC7D54">
        <w:t xml:space="preserve"> = 1/3 with the variable time, </w:t>
      </w:r>
      <w:r w:rsidR="0017018E" w:rsidRPr="00DC7D54">
        <w:rPr>
          <w:i/>
        </w:rPr>
        <w:t>t</w:t>
      </w:r>
      <w:r w:rsidR="0017018E" w:rsidRPr="00DC7D54">
        <w:t xml:space="preserve"> in years.</w:t>
      </w:r>
    </w:p>
    <w:p w14:paraId="52F48E3D" w14:textId="58FEB9FF" w:rsidR="00B21534" w:rsidRDefault="00B21534" w:rsidP="0017018E">
      <w:r>
        <w:rPr>
          <w:noProof/>
        </w:rPr>
        <mc:AlternateContent>
          <mc:Choice Requires="wps">
            <w:drawing>
              <wp:anchor distT="0" distB="0" distL="114300" distR="114300" simplePos="0" relativeHeight="251745280" behindDoc="0" locked="0" layoutInCell="1" allowOverlap="1" wp14:anchorId="3F32457A" wp14:editId="42BE2178">
                <wp:simplePos x="0" y="0"/>
                <wp:positionH relativeFrom="column">
                  <wp:posOffset>1901190</wp:posOffset>
                </wp:positionH>
                <wp:positionV relativeFrom="paragraph">
                  <wp:posOffset>60960</wp:posOffset>
                </wp:positionV>
                <wp:extent cx="2865120" cy="1920240"/>
                <wp:effectExtent l="0" t="0" r="0" b="3810"/>
                <wp:wrapNone/>
                <wp:docPr id="25" name="Text Box 25" descr="Figure 2 is a line graph. The Y axis data points range from zero to 1 in point five increments. The X axis data points range from negative six to positive six in whole increments of two, crossing the Y axis at zero. The single line plotted forms a elongated S that begins flat at the point where the Y axis is zero and the X axis is negative six. The line curves imperceptively at first as it rises then gradually ascends crossing the Y axis at zero point five and the X axis at zero. The line continues to rise before beginning to curve to the right at the data point of two on the X axis and eventually flattens at the Y axis data point of one and the X axis data point of six. " title="Form of the logistic function where the parameter k = 1, in the model k = 10/width where “width” is an estimate of the time for the transition to take place equal to 30 years"/>
                <wp:cNvGraphicFramePr/>
                <a:graphic xmlns:a="http://schemas.openxmlformats.org/drawingml/2006/main">
                  <a:graphicData uri="http://schemas.microsoft.com/office/word/2010/wordprocessingShape">
                    <wps:wsp>
                      <wps:cNvSpPr txBox="1"/>
                      <wps:spPr>
                        <a:xfrm>
                          <a:off x="0" y="0"/>
                          <a:ext cx="2865120" cy="1920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FDE6FB" w14:textId="5F8FE65F" w:rsidR="0073787E" w:rsidRPr="002408F2" w:rsidRDefault="0073787E" w:rsidP="002408F2">
                            <w:pPr>
                              <w:rPr>
                                <w14:textOutline w14:w="9525" w14:cap="rnd" w14:cmpd="sng" w14:algn="ctr">
                                  <w14:noFill/>
                                  <w14:prstDash w14:val="solid"/>
                                  <w14:bevel/>
                                </w14:textOutline>
                              </w:rPr>
                            </w:pPr>
                            <w:r>
                              <w:rPr>
                                <w:noProof/>
                              </w:rPr>
                              <w:drawing>
                                <wp:inline distT="0" distB="0" distL="0" distR="0" wp14:anchorId="134BBCD9" wp14:editId="0A9220CD">
                                  <wp:extent cx="2682240" cy="1775460"/>
                                  <wp:effectExtent l="0" t="0" r="3810" b="0"/>
                                  <wp:docPr id="2" name="Picture 2" descr="Figure two is a line graph. Data is plotted along a Y axis ranging from zero to one in increments of zero point five, and an X axis from minus six to six in increments of one. Data is plotted from left to right in a s curve that commences at minus six and finishes as six crossing the Y axis at zero point five. " title="Form of the logistic fun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82240" cy="17754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32457A" id="Text Box 25" o:spid="_x0000_s1059" type="#_x0000_t202" alt="Title: Form of the logistic function where the parameter k = 1, in the model k = 10/width where “width” is an estimate of the time for the transition to take place equal to 30 years - Description: Figure 2 is a line graph. The Y axis data points range from zero to 1 in point five increments. The X axis data points range from negative six to positive six in whole increments of two, crossing the Y axis at zero. The single line plotted forms a elongated S that begins flat at the point where the Y axis is zero and the X axis is negative six. The line curves imperceptively at first as it rises then gradually ascends crossing the Y axis at zero point five and the X axis at zero. The line continues to rise before beginning to curve to the right at the data point of two on the X axis and eventually flattens at the Y axis data point of one and the X axis data point of six. " style="position:absolute;margin-left:149.7pt;margin-top:4.8pt;width:225.6pt;height:151.2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" fillcolor="white [3201]" stroked="f" strokeweight=".5pt">
                <v:textbox>
                  <w:txbxContent>
                    <w:p w14:paraId="53FDE6FB" w14:textId="5F8FE65F" w:rsidR="0073787E" w:rsidRPr="002408F2" w:rsidRDefault="0073787E" w:rsidP="002408F2">
                      <w:pPr>
                        <w:rPr>
                          <w14:textOutline w14:w="9525" w14:cap="rnd" w14:cmpd="sng" w14:algn="ctr">
                            <w14:noFill/>
                            <w14:prstDash w14:val="solid"/>
                            <w14:bevel/>
                          </w14:textOutline>
                        </w:rPr>
                      </w:pPr>
                      <w:r>
                        <w:rPr>
                          <w:noProof/>
                        </w:rPr>
                        <w:drawing>
                          <wp:inline distT="0" distB="0" distL="0" distR="0" wp14:anchorId="134BBCD9" wp14:editId="0A9220CD">
                            <wp:extent cx="2682240" cy="1775460"/>
                            <wp:effectExtent l="0" t="0" r="3810" b="0"/>
                            <wp:docPr id="2" name="Picture 2" descr="Figure two is a line graph. Data is plotted along a Y axis ranging from zero to one in increments of zero point five, and an X axis from minus six to six in increments of one. Data is plotted from left to right in a s curve that commences at minus six and finishes as six crossing the Y axis at zero point five. " title="Form of the logistic fun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82240" cy="1775460"/>
                                    </a:xfrm>
                                    <a:prstGeom prst="rect">
                                      <a:avLst/>
                                    </a:prstGeom>
                                    <a:noFill/>
                                    <a:ln>
                                      <a:noFill/>
                                    </a:ln>
                                  </pic:spPr>
                                </pic:pic>
                              </a:graphicData>
                            </a:graphic>
                          </wp:inline>
                        </w:drawing>
                      </w:r>
                    </w:p>
                  </w:txbxContent>
                </v:textbox>
              </v:shape>
            </w:pict>
          </mc:Fallback>
        </mc:AlternateContent>
      </w:r>
    </w:p>
    <w:p w14:paraId="3F39691E" w14:textId="17618583" w:rsidR="0017018E" w:rsidRDefault="0017018E" w:rsidP="0017018E">
      <w:pPr>
        <w:jc w:val="center"/>
      </w:pPr>
    </w:p>
    <w:p w14:paraId="128779C1" w14:textId="77777777" w:rsidR="00B21534" w:rsidRDefault="00B21534" w:rsidP="007B0D5A">
      <w:pPr>
        <w:pStyle w:val="Caption"/>
        <w:spacing w:before="240" w:after="200" w:line="240" w:lineRule="auto"/>
        <w:contextualSpacing w:val="0"/>
        <w:rPr>
          <w:color w:val="00A9CE" w:themeColor="accent1"/>
        </w:rPr>
      </w:pPr>
      <w:bookmarkStart w:id="29" w:name="_Ref358383355"/>
      <w:bookmarkStart w:id="30" w:name="_Toc359885780"/>
    </w:p>
    <w:p w14:paraId="7256A24C" w14:textId="77777777" w:rsidR="00B21534" w:rsidRDefault="00B21534" w:rsidP="007B0D5A">
      <w:pPr>
        <w:pStyle w:val="Caption"/>
        <w:spacing w:before="240" w:after="200" w:line="240" w:lineRule="auto"/>
        <w:contextualSpacing w:val="0"/>
        <w:rPr>
          <w:color w:val="00A9CE" w:themeColor="accent1"/>
        </w:rPr>
      </w:pPr>
    </w:p>
    <w:p w14:paraId="009D3EDD" w14:textId="77777777" w:rsidR="00B21534" w:rsidRDefault="00B21534" w:rsidP="007B0D5A">
      <w:pPr>
        <w:pStyle w:val="Caption"/>
        <w:spacing w:before="240" w:after="200" w:line="240" w:lineRule="auto"/>
        <w:contextualSpacing w:val="0"/>
        <w:rPr>
          <w:color w:val="00A9CE" w:themeColor="accent1"/>
        </w:rPr>
      </w:pPr>
    </w:p>
    <w:p w14:paraId="1558B9F0" w14:textId="77777777" w:rsidR="00DC7D54" w:rsidRPr="00DC7D54" w:rsidRDefault="00DC7D54" w:rsidP="00DC7D54">
      <w:pPr>
        <w:pStyle w:val="BodyText"/>
      </w:pPr>
    </w:p>
    <w:p w14:paraId="61D3A52F" w14:textId="07E1E403" w:rsidR="00DB6FDA" w:rsidRDefault="001968B9" w:rsidP="001E07D6">
      <w:pPr>
        <w:pStyle w:val="Caption"/>
        <w:spacing w:before="240" w:after="200" w:line="240" w:lineRule="auto"/>
        <w:contextualSpacing w:val="0"/>
      </w:pPr>
      <w:r>
        <w:rPr>
          <w:color w:val="00A9CE" w:themeColor="accent1"/>
        </w:rPr>
        <w:br/>
      </w:r>
      <w:bookmarkStart w:id="31" w:name="_Toc433972607"/>
      <w:r w:rsidR="00DB6FDA" w:rsidRPr="007B0D5A">
        <w:rPr>
          <w:color w:val="00A9CE" w:themeColor="accent1"/>
        </w:rPr>
        <w:t xml:space="preserve">Figure </w:t>
      </w:r>
      <w:r w:rsidR="00447CD6" w:rsidRPr="007B0D5A">
        <w:rPr>
          <w:color w:val="00A9CE" w:themeColor="accent1"/>
        </w:rPr>
        <w:fldChar w:fldCharType="begin"/>
      </w:r>
      <w:r w:rsidR="00447CD6" w:rsidRPr="007B0D5A">
        <w:rPr>
          <w:color w:val="00A9CE" w:themeColor="accent1"/>
        </w:rPr>
        <w:instrText xml:space="preserve"> SEQ Figure \* ARABIC </w:instrText>
      </w:r>
      <w:r w:rsidR="00447CD6" w:rsidRPr="007B0D5A">
        <w:rPr>
          <w:color w:val="00A9CE" w:themeColor="accent1"/>
        </w:rPr>
        <w:fldChar w:fldCharType="separate"/>
      </w:r>
      <w:r w:rsidR="00165FBD">
        <w:rPr>
          <w:noProof/>
          <w:color w:val="00A9CE" w:themeColor="accent1"/>
        </w:rPr>
        <w:t>2</w:t>
      </w:r>
      <w:r w:rsidR="00447CD6" w:rsidRPr="007B0D5A">
        <w:rPr>
          <w:color w:val="00A9CE" w:themeColor="accent1"/>
        </w:rPr>
        <w:fldChar w:fldCharType="end"/>
      </w:r>
      <w:bookmarkEnd w:id="29"/>
      <w:r w:rsidR="00DB6FDA" w:rsidRPr="007B0D5A">
        <w:rPr>
          <w:color w:val="00A9CE" w:themeColor="accent1"/>
        </w:rPr>
        <w:t>: Form of the logistic function where the parameter k = 1, in the model k = 10/width where “width” is an estimate of the time for the transition to take place equal to 30 years.</w:t>
      </w:r>
      <w:bookmarkEnd w:id="30"/>
      <w:bookmarkEnd w:id="31"/>
    </w:p>
    <w:p w14:paraId="0F74DE62" w14:textId="77777777" w:rsidR="0017018E" w:rsidRPr="001B3113" w:rsidRDefault="0017018E" w:rsidP="008F696F">
      <w:pPr>
        <w:pStyle w:val="Heading2"/>
        <w:numPr>
          <w:ilvl w:val="1"/>
          <w:numId w:val="13"/>
        </w:numPr>
        <w:rPr>
          <w:color w:val="00A9CE" w:themeColor="accent1"/>
          <w:szCs w:val="32"/>
        </w:rPr>
      </w:pPr>
      <w:bookmarkStart w:id="32" w:name="_Ref359842758"/>
      <w:bookmarkStart w:id="33" w:name="_Toc359885767"/>
      <w:bookmarkStart w:id="34" w:name="_Toc433975078"/>
      <w:r w:rsidRPr="001B3113">
        <w:rPr>
          <w:color w:val="00A9CE" w:themeColor="accent1"/>
          <w:szCs w:val="32"/>
        </w:rPr>
        <w:t>Statistical methods for estimating future trends</w:t>
      </w:r>
      <w:bookmarkEnd w:id="32"/>
      <w:bookmarkEnd w:id="33"/>
      <w:bookmarkEnd w:id="34"/>
    </w:p>
    <w:p w14:paraId="11841512" w14:textId="77777777" w:rsidR="0017018E" w:rsidRDefault="0017018E" w:rsidP="0017018E">
      <w:r>
        <w:t>Where there were no data on existing stock use in sectors and no data on the future energy or water efficiency, some estimate of future trends was developed from historical data. This approach used a statistical model based on trends in the data rather than a logistic curve or model based on the use and turnover of stock. As such, it was used exclusively for the calculations of the Current Trends scenario.</w:t>
      </w:r>
    </w:p>
    <w:p w14:paraId="13290140" w14:textId="63A2D37C" w:rsidR="0017018E" w:rsidRDefault="0017018E" w:rsidP="0017018E">
      <w:r>
        <w:t xml:space="preserve">Historical time-series data up to 2011 on energy use by economic sectors </w:t>
      </w:r>
      <w:r w:rsidRPr="00E05DC1">
        <w:fldChar w:fldCharType="begin"/>
      </w:r>
      <w:r w:rsidR="00D04510" w:rsidRPr="00E05DC1">
        <w:instrText xml:space="preserve"> ADDIN EN.CITE &lt;EndNote&gt;&lt;Cite&gt;&lt;Author&gt;Bureau of Resources and Energy Economics&lt;/Author&gt;&lt;Year&gt;2012&lt;/Year&gt;&lt;RecNum&gt;209&lt;/RecNum&gt;&lt;DisplayText&gt;(Bureau of Resources and Energy Economics, 2012)&lt;/DisplayText&gt;&lt;record&gt;&lt;rec-number&gt;209&lt;/rec-number&gt;&lt;foreign-keys&gt;&lt;key app="EN" db-id="t55vefr95ws0pgeffdlvtde0tdta909p2zv9"&gt;209&lt;/key&gt;&lt;/foreign-keys&gt;&lt;ref-type name="Electronic Article"&gt;43&lt;/ref-type&gt;&lt;contributors&gt;&lt;authors&gt;&lt;author&gt;Bureau of Resources and Energy Economics,&lt;/author&gt;&lt;/authors&gt;&lt;/contributors&gt;&lt;titles&gt;&lt;title&gt;Australian energy statistics data: Table F&lt;/title&gt;&lt;/titles&gt;&lt;dates&gt;&lt;year&gt;2012&lt;/year&gt;&lt;pub-dates&gt;&lt;date&gt;12th june 2013&lt;/date&gt;&lt;/pub-dates&gt;&lt;/dates&gt;&lt;pub-location&gt;Canberra&lt;/pub-location&gt;&lt;urls&gt;&lt;related-urls&gt;&lt;url&gt;http://www.bree.gov.au/publications/aes-2012.html&lt;/url&gt;&lt;/related-urls&gt;&lt;/urls&gt;&lt;/record&gt;&lt;/Cite&gt;&lt;/EndNote&gt;</w:instrText>
      </w:r>
      <w:r w:rsidRPr="00E05DC1">
        <w:fldChar w:fldCharType="separate"/>
      </w:r>
      <w:r w:rsidR="00D04510" w:rsidRPr="00E05DC1">
        <w:rPr>
          <w:noProof/>
        </w:rPr>
        <w:t>(</w:t>
      </w:r>
      <w:hyperlink w:anchor="_ENREF_9" w:tooltip="Bureau of Resources and Energy Economics, 2012 #209" w:history="1">
        <w:r w:rsidR="00DA28AF" w:rsidRPr="00E05DC1">
          <w:rPr>
            <w:noProof/>
          </w:rPr>
          <w:t>Stark et al.</w:t>
        </w:r>
        <w:r w:rsidR="00D04510" w:rsidRPr="00E05DC1">
          <w:rPr>
            <w:noProof/>
          </w:rPr>
          <w:t>, 2012</w:t>
        </w:r>
      </w:hyperlink>
      <w:r w:rsidR="00D04510" w:rsidRPr="00E05DC1">
        <w:rPr>
          <w:noProof/>
        </w:rPr>
        <w:t>)</w:t>
      </w:r>
      <w:r w:rsidRPr="00E05DC1">
        <w:fldChar w:fldCharType="end"/>
      </w:r>
      <w:r w:rsidRPr="00E05DC1">
        <w:t xml:space="preserve"> or</w:t>
      </w:r>
      <w:r>
        <w:t xml:space="preserve"> water use </w:t>
      </w:r>
      <w:r>
        <w:fldChar w:fldCharType="begin">
          <w:fldData xml:space="preserve">PEVuZE5vdGU+PENpdGU+PEF1dGhvcj5BQlM8L0F1dGhvcj48WWVhcj4yMDA0PC9ZZWFyPjxSZWNO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</w:fldData>
        </w:fldChar>
      </w:r>
      <w:r w:rsidR="00D04510">
        <w:instrText xml:space="preserve"> ADDIN EN.CITE </w:instrText>
      </w:r>
      <w:r w:rsidR="00D04510">
        <w:fldChar w:fldCharType="begin">
          <w:fldData xml:space="preserve">PEVuZE5vdGU+PENpdGU+PEF1dGhvcj5BQlM8L0F1dGhvcj48WWVhcj4yMDA0PC9ZZWFyPjxSZWNO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</w:fldData>
        </w:fldChar>
      </w:r>
      <w:r w:rsidR="00D04510">
        <w:instrText xml:space="preserve"> ADDIN EN.CITE.DATA </w:instrText>
      </w:r>
      <w:r w:rsidR="00D04510">
        <w:fldChar w:fldCharType="end"/>
      </w:r>
      <w:r>
        <w:fldChar w:fldCharType="separate"/>
      </w:r>
      <w:r w:rsidR="00D04510">
        <w:rPr>
          <w:noProof/>
        </w:rPr>
        <w:t>(</w:t>
      </w:r>
      <w:hyperlink w:anchor="_ENREF_7" w:tooltip="ABS, 2000 #21" w:history="1">
        <w:r w:rsidR="00D04510">
          <w:rPr>
            <w:noProof/>
          </w:rPr>
          <w:t>ABS, 2000</w:t>
        </w:r>
      </w:hyperlink>
      <w:r w:rsidR="00943AF1">
        <w:rPr>
          <w:noProof/>
        </w:rPr>
        <w:t>;</w:t>
      </w:r>
      <w:r w:rsidR="00D04510">
        <w:rPr>
          <w:noProof/>
        </w:rPr>
        <w:t xml:space="preserve"> </w:t>
      </w:r>
      <w:hyperlink w:anchor="_ENREF_3" w:tooltip="ABS, 2004 #29" w:history="1">
        <w:r w:rsidR="00D04510">
          <w:rPr>
            <w:noProof/>
          </w:rPr>
          <w:t>2004</w:t>
        </w:r>
      </w:hyperlink>
      <w:r w:rsidR="00943AF1">
        <w:rPr>
          <w:noProof/>
        </w:rPr>
        <w:t>;</w:t>
      </w:r>
      <w:r w:rsidR="00D04510">
        <w:rPr>
          <w:noProof/>
        </w:rPr>
        <w:t xml:space="preserve"> </w:t>
      </w:r>
      <w:hyperlink w:anchor="_ENREF_4" w:tooltip="ABS, 2006 #34" w:history="1">
        <w:r w:rsidR="00D04510">
          <w:rPr>
            <w:noProof/>
          </w:rPr>
          <w:t>2006</w:t>
        </w:r>
      </w:hyperlink>
      <w:r w:rsidR="00943AF1">
        <w:rPr>
          <w:noProof/>
        </w:rPr>
        <w:t>;</w:t>
      </w:r>
      <w:r w:rsidR="00D04510">
        <w:rPr>
          <w:noProof/>
        </w:rPr>
        <w:t xml:space="preserve"> </w:t>
      </w:r>
      <w:hyperlink w:anchor="_ENREF_5" w:tooltip="ABS, 2009 #44" w:history="1">
        <w:r w:rsidR="00D04510">
          <w:rPr>
            <w:noProof/>
          </w:rPr>
          <w:t>2009</w:t>
        </w:r>
      </w:hyperlink>
      <w:r w:rsidR="00943AF1">
        <w:rPr>
          <w:noProof/>
        </w:rPr>
        <w:t>;</w:t>
      </w:r>
      <w:r w:rsidR="00D04510">
        <w:rPr>
          <w:noProof/>
        </w:rPr>
        <w:t xml:space="preserve"> </w:t>
      </w:r>
      <w:hyperlink w:anchor="_ENREF_6" w:tooltip="ABS, 2011 #46" w:history="1">
        <w:r w:rsidR="00D04510">
          <w:rPr>
            <w:noProof/>
          </w:rPr>
          <w:t>2011</w:t>
        </w:r>
      </w:hyperlink>
      <w:r w:rsidR="00D04510">
        <w:rPr>
          <w:noProof/>
        </w:rPr>
        <w:t>)</w:t>
      </w:r>
      <w:r>
        <w:fldChar w:fldCharType="end"/>
      </w:r>
      <w:r>
        <w:t xml:space="preserve">, were divided by gross value add (GVA) time-series data from the Australian National Accounts </w:t>
      </w:r>
      <w:r>
        <w:fldChar w:fldCharType="begin"/>
      </w:r>
      <w:r w:rsidR="00D04510">
        <w:instrText xml:space="preserve"> ADDIN EN.CITE &lt;EndNote&gt;&lt;Cite&gt;&lt;Author&gt;Australian Bureau of Statistics&lt;/Author&gt;&lt;Year&gt;2012&lt;/Year&gt;&lt;RecNum&gt;1298&lt;/RecNum&gt;&lt;DisplayText&gt;(Australian Bureau of Statistics, 2012)&lt;/DisplayText&gt;&lt;record&gt;&lt;rec-number&gt;1298&lt;/rec-number&gt;&lt;foreign-keys&gt;&lt;key app="EN" db-id="2fve9zwtn9aw0wexz5q5f9afred05travrs5"&gt;1298&lt;/key&gt;&lt;/foreign-keys&gt;&lt;ref-type name="Electronic Article"&gt;43&lt;/ref-type&gt;&lt;contributors&gt;&lt;authors&gt;&lt;author&gt;Australian Bureau of Statistics,&lt;/author&gt;&lt;/authors&gt;&lt;/contributors&gt;&lt;titles&gt;&lt;title&gt;Australian National Accounts: National Income, Expenditure and Product, Cat. 5206.0&lt;/title&gt;&lt;/titles&gt;&lt;dates&gt;&lt;year&gt;2012&lt;/year&gt;&lt;pub-dates&gt;&lt;date&gt;6th june 2013&lt;/date&gt;&lt;/pub-dates&gt;&lt;/dates&gt;&lt;pub-location&gt;Canberra, Australia&lt;/pub-location&gt;&lt;publisher&gt;Australian Bureau of Statistics&lt;/publisher&gt;&lt;urls&gt;&lt;related-urls&gt;&lt;url&gt;http://www.abs.gov.au/ausstats/abs@.nsf/mf/5206.0/&lt;/url&gt;&lt;/related-urls&gt;&lt;/urls&gt;&lt;/record&gt;&lt;/Cite&gt;&lt;/EndNote&gt;</w:instrText>
      </w:r>
      <w:r>
        <w:fldChar w:fldCharType="separate"/>
      </w:r>
      <w:r w:rsidR="00D04510">
        <w:rPr>
          <w:noProof/>
        </w:rPr>
        <w:t>(</w:t>
      </w:r>
      <w:hyperlink w:anchor="_ENREF_8" w:tooltip="Australian Bureau of Statistics, 2012 #1298" w:history="1">
        <w:r w:rsidR="006D68BE">
          <w:rPr>
            <w:noProof/>
          </w:rPr>
          <w:t>ABS, 2012</w:t>
        </w:r>
      </w:hyperlink>
      <w:r w:rsidR="00D04510">
        <w:rPr>
          <w:noProof/>
        </w:rPr>
        <w:t>)</w:t>
      </w:r>
      <w:r>
        <w:fldChar w:fldCharType="end"/>
      </w:r>
      <w:r>
        <w:t>.  For the residential sector the value of home ownership was used instead of GVA.</w:t>
      </w:r>
    </w:p>
    <w:p w14:paraId="2721A016" w14:textId="77777777" w:rsidR="0017018E" w:rsidRDefault="0017018E" w:rsidP="0017018E">
      <w:r>
        <w:t>These historical intensity data were inspected for coarse level trends under three classifications of observed time series data: an increasing, decreasing or flat trend.</w:t>
      </w:r>
    </w:p>
    <w:p w14:paraId="5007296F" w14:textId="4992F0A2" w:rsidR="0017018E" w:rsidRDefault="0017018E" w:rsidP="0017018E">
      <w:r>
        <w:t xml:space="preserve">A ‘flat’ trend is observed when the average over all historical data is adequate approximation to all points in that time series. Increasing trends are fitted by a linear regression or power law whichever best describes the historical data. A decreasing trend may also be fitted with a regression unless this produces unrealistic (negative energy use) future results, in which case an exponential decrease is assumed to some saturating value which is </w:t>
      </w:r>
      <w:r w:rsidRPr="00F9227B">
        <w:rPr>
          <w:i/>
        </w:rPr>
        <w:t>c</w:t>
      </w:r>
      <w:r w:rsidR="00D96E9D">
        <w:rPr>
          <w:i/>
        </w:rPr>
        <w:t xml:space="preserve"> </w:t>
      </w:r>
      <w:r>
        <w:t>% less than the efficiency observed at the end of history (i.e. at 2011).</w:t>
      </w:r>
    </w:p>
    <w:bookmarkStart w:id="35" w:name="_Ref359766509"/>
    <w:p w14:paraId="3DCD5F11" w14:textId="371E7549" w:rsidR="0017018E" w:rsidRPr="00DB5EB8" w:rsidRDefault="008F4D85" w:rsidP="00DB5EB8">
      <w:pPr>
        <w:pStyle w:val="Caption"/>
        <w:spacing w:before="240" w:after="200" w:line="240" w:lineRule="auto"/>
        <w:contextualSpacing w:val="0"/>
        <w:rPr>
          <w:color w:val="00A9CE" w:themeColor="accent1"/>
        </w:rPr>
      </w:pPr>
      <w:r>
        <w:rPr>
          <w:noProof/>
          <w:color w:val="00A9CE" w:themeColor="accent1"/>
        </w:rPr>
        <w:lastRenderedPageBreak/>
        <mc:AlternateContent>
          <mc:Choice Requires="wps">
            <w:drawing>
              <wp:anchor distT="0" distB="0" distL="114300" distR="114300" simplePos="0" relativeHeight="251741184" behindDoc="1" locked="0" layoutInCell="1" allowOverlap="1" wp14:anchorId="268642F8" wp14:editId="16B03BF7">
                <wp:simplePos x="0" y="0"/>
                <wp:positionH relativeFrom="column">
                  <wp:posOffset>1527810</wp:posOffset>
                </wp:positionH>
                <wp:positionV relativeFrom="paragraph">
                  <wp:posOffset>333375</wp:posOffset>
                </wp:positionV>
                <wp:extent cx="3032760" cy="365760"/>
                <wp:effectExtent l="0" t="0" r="0" b="0"/>
                <wp:wrapTight wrapText="bothSides">
                  <wp:wrapPolygon edited="0">
                    <wp:start x="0" y="0"/>
                    <wp:lineTo x="0" y="20250"/>
                    <wp:lineTo x="21437" y="20250"/>
                    <wp:lineTo x="21437" y="0"/>
                    <wp:lineTo x="0" y="0"/>
                  </wp:wrapPolygon>
                </wp:wrapTight>
                <wp:docPr id="21" name="Text Box 21" descr="F open parentheses t close parentheses equals efficiency subscript t equals 2011 end subscript x open parentheses c e to the power of negative t divided by 5 end exponent plus open parentheses 1 minus c close parentheses close parentheses." title="Equation 3"/>
                <wp:cNvGraphicFramePr/>
                <a:graphic xmlns:a="http://schemas.openxmlformats.org/drawingml/2006/main">
                  <a:graphicData uri="http://schemas.microsoft.com/office/word/2010/wordprocessingShape">
                    <wps:wsp>
                      <wps:cNvSpPr txBox="1"/>
                      <wps:spPr>
                        <a:xfrm>
                          <a:off x="0" y="0"/>
                          <a:ext cx="3032760" cy="3657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D1D7DAF" w14:textId="37CA659E" w:rsidR="0073787E" w:rsidRPr="008F4D85" w:rsidRDefault="0073787E">
                            <w:pPr>
                              <w:rPr>
                                <w14:textOutline w14:w="9525" w14:cap="rnd" w14:cmpd="sng" w14:algn="ctr">
                                  <w14:noFill/>
                                  <w14:prstDash w14:val="solid"/>
                                  <w14:bevel/>
                                </w14:textOutline>
                              </w:rPr>
                            </w:pPr>
                            <m:oMathPara>
                              <m:oMath>
                                <m:r>
                                  <w:rPr>
                                    <w:rFonts w:ascii="Cambria Math" w:hAnsi="Cambria Math"/>
                                    <w14:textOutline w14:w="9525" w14:cap="rnd" w14:cmpd="sng" w14:algn="ctr">
                                      <w14:noFill/>
                                      <w14:prstDash w14:val="solid"/>
                                      <w14:bevel/>
                                    </w14:textOutline>
                                  </w:rPr>
                                  <m:t>F</m:t>
                                </m:r>
                                <m:d>
                                  <m:dPr>
                                    <m:ctrlPr>
                                      <w:rPr>
                                        <w:rFonts w:ascii="Cambria Math" w:hAnsi="Cambria Math"/>
                                        <w:i/>
                                        <w14:textOutline w14:w="9525" w14:cap="rnd" w14:cmpd="sng" w14:algn="ctr">
                                          <w14:noFill/>
                                          <w14:prstDash w14:val="solid"/>
                                          <w14:bevel/>
                                        </w14:textOutline>
                                      </w:rPr>
                                    </m:ctrlPr>
                                  </m:dPr>
                                  <m:e>
                                    <m:r>
                                      <w:rPr>
                                        <w:rFonts w:ascii="Cambria Math" w:hAnsi="Cambria Math"/>
                                        <w14:textOutline w14:w="9525" w14:cap="rnd" w14:cmpd="sng" w14:algn="ctr">
                                          <w14:noFill/>
                                          <w14:prstDash w14:val="solid"/>
                                          <w14:bevel/>
                                        </w14:textOutline>
                                      </w:rPr>
                                      <m:t>t</m:t>
                                    </m:r>
                                  </m:e>
                                </m:d>
                                <m:r>
                                  <w:rPr>
                                    <w:rFonts w:ascii="Cambria Math" w:hAnsi="Cambria Math"/>
                                    <w14:textOutline w14:w="9525" w14:cap="rnd" w14:cmpd="sng" w14:algn="ctr">
                                      <w14:noFill/>
                                      <w14:prstDash w14:val="solid"/>
                                      <w14:bevel/>
                                    </w14:textOutline>
                                  </w:rPr>
                                  <m:t>=</m:t>
                                </m:r>
                                <m:sSub>
                                  <m:sSubPr>
                                    <m:ctrlPr>
                                      <w:rPr>
                                        <w:rFonts w:ascii="Cambria Math" w:hAnsi="Cambria Math"/>
                                        <w:i/>
                                        <w14:textOutline w14:w="9525" w14:cap="rnd" w14:cmpd="sng" w14:algn="ctr">
                                          <w14:noFill/>
                                          <w14:prstDash w14:val="solid"/>
                                          <w14:bevel/>
                                        </w14:textOutline>
                                      </w:rPr>
                                    </m:ctrlPr>
                                  </m:sSubPr>
                                  <m:e>
                                    <m:r>
                                      <w:rPr>
                                        <w:rFonts w:ascii="Cambria Math" w:hAnsi="Cambria Math"/>
                                        <w14:textOutline w14:w="9525" w14:cap="rnd" w14:cmpd="sng" w14:algn="ctr">
                                          <w14:noFill/>
                                          <w14:prstDash w14:val="solid"/>
                                          <w14:bevel/>
                                        </w14:textOutline>
                                      </w:rPr>
                                      <m:t>efficiency</m:t>
                                    </m:r>
                                  </m:e>
                                  <m:sub>
                                    <m:r>
                                      <w:rPr>
                                        <w:rFonts w:ascii="Cambria Math" w:hAnsi="Cambria Math"/>
                                        <w14:textOutline w14:w="9525" w14:cap="rnd" w14:cmpd="sng" w14:algn="ctr">
                                          <w14:noFill/>
                                          <w14:prstDash w14:val="solid"/>
                                          <w14:bevel/>
                                        </w14:textOutline>
                                      </w:rPr>
                                      <m:t>t=2011</m:t>
                                    </m:r>
                                  </m:sub>
                                </m:sSub>
                                <m:r>
                                  <w:rPr>
                                    <w:rFonts w:ascii="Cambria Math" w:hAnsi="Cambria Math"/>
                                    <w14:textOutline w14:w="9525" w14:cap="rnd" w14:cmpd="sng" w14:algn="ctr">
                                      <w14:noFill/>
                                      <w14:prstDash w14:val="solid"/>
                                      <w14:bevel/>
                                    </w14:textOutline>
                                  </w:rPr>
                                  <m:t>×</m:t>
                                </m:r>
                                <m:d>
                                  <m:dPr>
                                    <m:ctrlPr>
                                      <w:rPr>
                                        <w:rFonts w:ascii="Cambria Math" w:hAnsi="Cambria Math"/>
                                        <w14:textOutline w14:w="9525" w14:cap="rnd" w14:cmpd="sng" w14:algn="ctr">
                                          <w14:noFill/>
                                          <w14:prstDash w14:val="solid"/>
                                          <w14:bevel/>
                                        </w14:textOutline>
                                      </w:rPr>
                                    </m:ctrlPr>
                                  </m:dPr>
                                  <m:e>
                                    <m:r>
                                      <w:rPr>
                                        <w:rFonts w:ascii="Cambria Math" w:hAnsi="Cambria Math"/>
                                        <w14:textOutline w14:w="9525" w14:cap="rnd" w14:cmpd="sng" w14:algn="ctr">
                                          <w14:noFill/>
                                          <w14:prstDash w14:val="solid"/>
                                          <w14:bevel/>
                                        </w14:textOutline>
                                      </w:rPr>
                                      <m:t>c</m:t>
                                    </m:r>
                                    <m:sSup>
                                      <m:sSupPr>
                                        <m:ctrlPr>
                                          <w:rPr>
                                            <w:rFonts w:ascii="Cambria Math" w:hAnsi="Cambria Math"/>
                                            <w14:textOutline w14:w="9525" w14:cap="rnd" w14:cmpd="sng" w14:algn="ctr">
                                              <w14:noFill/>
                                              <w14:prstDash w14:val="solid"/>
                                              <w14:bevel/>
                                            </w14:textOutline>
                                          </w:rPr>
                                        </m:ctrlPr>
                                      </m:sSupPr>
                                      <m:e>
                                        <m:r>
                                          <w:rPr>
                                            <w:rFonts w:ascii="Cambria Math" w:hAnsi="Cambria Math"/>
                                            <w14:textOutline w14:w="9525" w14:cap="rnd" w14:cmpd="sng" w14:algn="ctr">
                                              <w14:noFill/>
                                              <w14:prstDash w14:val="solid"/>
                                              <w14:bevel/>
                                            </w14:textOutline>
                                          </w:rPr>
                                          <m:t>e</m:t>
                                        </m:r>
                                      </m:e>
                                      <m:sup>
                                        <m:f>
                                          <m:fPr>
                                            <m:type m:val="lin"/>
                                            <m:ctrlPr>
                                              <w:rPr>
                                                <w:rFonts w:ascii="Cambria Math" w:hAnsi="Cambria Math"/>
                                                <w14:textOutline w14:w="9525" w14:cap="rnd" w14:cmpd="sng" w14:algn="ctr">
                                                  <w14:noFill/>
                                                  <w14:prstDash w14:val="solid"/>
                                                  <w14:bevel/>
                                                </w14:textOutline>
                                              </w:rPr>
                                            </m:ctrlPr>
                                          </m:fPr>
                                          <m:num>
                                            <m:r>
                                              <m:rPr>
                                                <m:sty m:val="p"/>
                                              </m:rPr>
                                              <w:rPr>
                                                <w:rFonts w:ascii="Cambria Math" w:hAnsi="Cambria Math"/>
                                                <w14:textOutline w14:w="9525" w14:cap="rnd" w14:cmpd="sng" w14:algn="ctr">
                                                  <w14:noFill/>
                                                  <w14:prstDash w14:val="solid"/>
                                                  <w14:bevel/>
                                                </w14:textOutline>
                                              </w:rPr>
                                              <m:t>-t</m:t>
                                            </m:r>
                                          </m:num>
                                          <m:den>
                                            <m:r>
                                              <m:rPr>
                                                <m:sty m:val="p"/>
                                              </m:rPr>
                                              <w:rPr>
                                                <w:rFonts w:ascii="Cambria Math" w:hAnsi="Cambria Math"/>
                                                <w14:textOutline w14:w="9525" w14:cap="rnd" w14:cmpd="sng" w14:algn="ctr">
                                                  <w14:noFill/>
                                                  <w14:prstDash w14:val="solid"/>
                                                  <w14:bevel/>
                                                </w14:textOutline>
                                              </w:rPr>
                                              <m:t>5</m:t>
                                            </m:r>
                                          </m:den>
                                        </m:f>
                                      </m:sup>
                                    </m:sSup>
                                    <m:r>
                                      <m:rPr>
                                        <m:sty m:val="p"/>
                                      </m:rPr>
                                      <w:rPr>
                                        <w:rFonts w:ascii="Cambria Math" w:hAnsi="Cambria Math"/>
                                        <w14:textOutline w14:w="9525" w14:cap="rnd" w14:cmpd="sng" w14:algn="ctr">
                                          <w14:noFill/>
                                          <w14:prstDash w14:val="solid"/>
                                          <w14:bevel/>
                                        </w14:textOutline>
                                      </w:rPr>
                                      <m:t>+(1-</m:t>
                                    </m:r>
                                    <m:r>
                                      <w:rPr>
                                        <w:rFonts w:ascii="Cambria Math" w:hAnsi="Cambria Math"/>
                                        <w14:textOutline w14:w="9525" w14:cap="rnd" w14:cmpd="sng" w14:algn="ctr">
                                          <w14:noFill/>
                                          <w14:prstDash w14:val="solid"/>
                                          <w14:bevel/>
                                        </w14:textOutline>
                                      </w:rPr>
                                      <m:t>c</m:t>
                                    </m:r>
                                    <m:r>
                                      <m:rPr>
                                        <m:sty m:val="p"/>
                                      </m:rPr>
                                      <w:rPr>
                                        <w:rFonts w:ascii="Cambria Math" w:hAnsi="Cambria Math"/>
                                        <w14:textOutline w14:w="9525" w14:cap="rnd" w14:cmpd="sng" w14:algn="ctr">
                                          <w14:noFill/>
                                          <w14:prstDash w14:val="solid"/>
                                          <w14:bevel/>
                                        </w14:textOutline>
                                      </w:rPr>
                                      <m:t>)</m:t>
                                    </m:r>
                                  </m:e>
                                </m:d>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8642F8" id="Text Box 21" o:spid="_x0000_s1060" type="#_x0000_t202" alt="Title: Equation 3 - Description: F open parentheses t close parentheses equals efficiency subscript t equals 2011 end subscript x open parentheses c e to the power of negative t divided by 5 end exponent plus open parentheses 1 minus c close parentheses close parentheses." style="position:absolute;margin-left:120.3pt;margin-top:26.25pt;width:238.8pt;height:28.8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" fillcolor="white [3201]" stroked="f" strokeweight=".5pt">
                <v:textbox>
                  <w:txbxContent>
                    <w:p w14:paraId="7D1D7DAF" w14:textId="37CA659E" w:rsidR="0073787E" w:rsidRPr="008F4D85" w:rsidRDefault="0073787E">
                      <w:pPr>
                        <w:rPr>
                          <w14:textOutline w14:w="9525" w14:cap="rnd" w14:cmpd="sng" w14:algn="ctr">
                            <w14:noFill/>
                            <w14:prstDash w14:val="solid"/>
                            <w14:bevel/>
                          </w14:textOutline>
                        </w:rPr>
                      </w:pPr>
                      <m:oMathPara>
                        <m:oMath>
                          <m:r>
                            <w:rPr>
                              <w:rFonts w:ascii="Cambria Math" w:hAnsi="Cambria Math"/>
                              <w14:textOutline w14:w="9525" w14:cap="rnd" w14:cmpd="sng" w14:algn="ctr">
                                <w14:noFill/>
                                <w14:prstDash w14:val="solid"/>
                                <w14:bevel/>
                              </w14:textOutline>
                            </w:rPr>
                            <m:t>F</m:t>
                          </m:r>
                          <m:d>
                            <m:dPr>
                              <m:ctrlPr>
                                <w:rPr>
                                  <w:rFonts w:ascii="Cambria Math" w:hAnsi="Cambria Math"/>
                                  <w:i/>
                                  <w14:textOutline w14:w="9525" w14:cap="rnd" w14:cmpd="sng" w14:algn="ctr">
                                    <w14:noFill/>
                                    <w14:prstDash w14:val="solid"/>
                                    <w14:bevel/>
                                  </w14:textOutline>
                                </w:rPr>
                              </m:ctrlPr>
                            </m:dPr>
                            <m:e>
                              <m:r>
                                <w:rPr>
                                  <w:rFonts w:ascii="Cambria Math" w:hAnsi="Cambria Math"/>
                                  <w14:textOutline w14:w="9525" w14:cap="rnd" w14:cmpd="sng" w14:algn="ctr">
                                    <w14:noFill/>
                                    <w14:prstDash w14:val="solid"/>
                                    <w14:bevel/>
                                  </w14:textOutline>
                                </w:rPr>
                                <m:t>t</m:t>
                              </m:r>
                            </m:e>
                          </m:d>
                          <m:r>
                            <w:rPr>
                              <w:rFonts w:ascii="Cambria Math" w:hAnsi="Cambria Math"/>
                              <w14:textOutline w14:w="9525" w14:cap="rnd" w14:cmpd="sng" w14:algn="ctr">
                                <w14:noFill/>
                                <w14:prstDash w14:val="solid"/>
                                <w14:bevel/>
                              </w14:textOutline>
                            </w:rPr>
                            <m:t>=</m:t>
                          </m:r>
                          <m:sSub>
                            <m:sSubPr>
                              <m:ctrlPr>
                                <w:rPr>
                                  <w:rFonts w:ascii="Cambria Math" w:hAnsi="Cambria Math"/>
                                  <w:i/>
                                  <w14:textOutline w14:w="9525" w14:cap="rnd" w14:cmpd="sng" w14:algn="ctr">
                                    <w14:noFill/>
                                    <w14:prstDash w14:val="solid"/>
                                    <w14:bevel/>
                                  </w14:textOutline>
                                </w:rPr>
                              </m:ctrlPr>
                            </m:sSubPr>
                            <m:e>
                              <m:r>
                                <w:rPr>
                                  <w:rFonts w:ascii="Cambria Math" w:hAnsi="Cambria Math"/>
                                  <w14:textOutline w14:w="9525" w14:cap="rnd" w14:cmpd="sng" w14:algn="ctr">
                                    <w14:noFill/>
                                    <w14:prstDash w14:val="solid"/>
                                    <w14:bevel/>
                                  </w14:textOutline>
                                </w:rPr>
                                <m:t>efficiency</m:t>
                              </m:r>
                            </m:e>
                            <m:sub>
                              <m:r>
                                <w:rPr>
                                  <w:rFonts w:ascii="Cambria Math" w:hAnsi="Cambria Math"/>
                                  <w14:textOutline w14:w="9525" w14:cap="rnd" w14:cmpd="sng" w14:algn="ctr">
                                    <w14:noFill/>
                                    <w14:prstDash w14:val="solid"/>
                                    <w14:bevel/>
                                  </w14:textOutline>
                                </w:rPr>
                                <m:t>t=2011</m:t>
                              </m:r>
                            </m:sub>
                          </m:sSub>
                          <m:r>
                            <w:rPr>
                              <w:rFonts w:ascii="Cambria Math" w:hAnsi="Cambria Math"/>
                              <w14:textOutline w14:w="9525" w14:cap="rnd" w14:cmpd="sng" w14:algn="ctr">
                                <w14:noFill/>
                                <w14:prstDash w14:val="solid"/>
                                <w14:bevel/>
                              </w14:textOutline>
                            </w:rPr>
                            <m:t>×</m:t>
                          </m:r>
                          <m:d>
                            <m:dPr>
                              <m:ctrlPr>
                                <w:rPr>
                                  <w:rFonts w:ascii="Cambria Math" w:hAnsi="Cambria Math"/>
                                  <w14:textOutline w14:w="9525" w14:cap="rnd" w14:cmpd="sng" w14:algn="ctr">
                                    <w14:noFill/>
                                    <w14:prstDash w14:val="solid"/>
                                    <w14:bevel/>
                                  </w14:textOutline>
                                </w:rPr>
                              </m:ctrlPr>
                            </m:dPr>
                            <m:e>
                              <m:r>
                                <w:rPr>
                                  <w:rFonts w:ascii="Cambria Math" w:hAnsi="Cambria Math"/>
                                  <w14:textOutline w14:w="9525" w14:cap="rnd" w14:cmpd="sng" w14:algn="ctr">
                                    <w14:noFill/>
                                    <w14:prstDash w14:val="solid"/>
                                    <w14:bevel/>
                                  </w14:textOutline>
                                </w:rPr>
                                <m:t>c</m:t>
                              </m:r>
                              <m:sSup>
                                <m:sSupPr>
                                  <m:ctrlPr>
                                    <w:rPr>
                                      <w:rFonts w:ascii="Cambria Math" w:hAnsi="Cambria Math"/>
                                      <w14:textOutline w14:w="9525" w14:cap="rnd" w14:cmpd="sng" w14:algn="ctr">
                                        <w14:noFill/>
                                        <w14:prstDash w14:val="solid"/>
                                        <w14:bevel/>
                                      </w14:textOutline>
                                    </w:rPr>
                                  </m:ctrlPr>
                                </m:sSupPr>
                                <m:e>
                                  <m:r>
                                    <w:rPr>
                                      <w:rFonts w:ascii="Cambria Math" w:hAnsi="Cambria Math"/>
                                      <w14:textOutline w14:w="9525" w14:cap="rnd" w14:cmpd="sng" w14:algn="ctr">
                                        <w14:noFill/>
                                        <w14:prstDash w14:val="solid"/>
                                        <w14:bevel/>
                                      </w14:textOutline>
                                    </w:rPr>
                                    <m:t>e</m:t>
                                  </m:r>
                                </m:e>
                                <m:sup>
                                  <m:f>
                                    <m:fPr>
                                      <m:type m:val="lin"/>
                                      <m:ctrlPr>
                                        <w:rPr>
                                          <w:rFonts w:ascii="Cambria Math" w:hAnsi="Cambria Math"/>
                                          <w14:textOutline w14:w="9525" w14:cap="rnd" w14:cmpd="sng" w14:algn="ctr">
                                            <w14:noFill/>
                                            <w14:prstDash w14:val="solid"/>
                                            <w14:bevel/>
                                          </w14:textOutline>
                                        </w:rPr>
                                      </m:ctrlPr>
                                    </m:fPr>
                                    <m:num>
                                      <m:r>
                                        <m:rPr>
                                          <m:sty m:val="p"/>
                                        </m:rPr>
                                        <w:rPr>
                                          <w:rFonts w:ascii="Cambria Math" w:hAnsi="Cambria Math"/>
                                          <w14:textOutline w14:w="9525" w14:cap="rnd" w14:cmpd="sng" w14:algn="ctr">
                                            <w14:noFill/>
                                            <w14:prstDash w14:val="solid"/>
                                            <w14:bevel/>
                                          </w14:textOutline>
                                        </w:rPr>
                                        <m:t>-t</m:t>
                                      </m:r>
                                    </m:num>
                                    <m:den>
                                      <m:r>
                                        <m:rPr>
                                          <m:sty m:val="p"/>
                                        </m:rPr>
                                        <w:rPr>
                                          <w:rFonts w:ascii="Cambria Math" w:hAnsi="Cambria Math"/>
                                          <w14:textOutline w14:w="9525" w14:cap="rnd" w14:cmpd="sng" w14:algn="ctr">
                                            <w14:noFill/>
                                            <w14:prstDash w14:val="solid"/>
                                            <w14:bevel/>
                                          </w14:textOutline>
                                        </w:rPr>
                                        <m:t>5</m:t>
                                      </m:r>
                                    </m:den>
                                  </m:f>
                                </m:sup>
                              </m:sSup>
                              <m:r>
                                <m:rPr>
                                  <m:sty m:val="p"/>
                                </m:rPr>
                                <w:rPr>
                                  <w:rFonts w:ascii="Cambria Math" w:hAnsi="Cambria Math"/>
                                  <w14:textOutline w14:w="9525" w14:cap="rnd" w14:cmpd="sng" w14:algn="ctr">
                                    <w14:noFill/>
                                    <w14:prstDash w14:val="solid"/>
                                    <w14:bevel/>
                                  </w14:textOutline>
                                </w:rPr>
                                <m:t>+(1-</m:t>
                              </m:r>
                              <m:r>
                                <w:rPr>
                                  <w:rFonts w:ascii="Cambria Math" w:hAnsi="Cambria Math"/>
                                  <w14:textOutline w14:w="9525" w14:cap="rnd" w14:cmpd="sng" w14:algn="ctr">
                                    <w14:noFill/>
                                    <w14:prstDash w14:val="solid"/>
                                    <w14:bevel/>
                                  </w14:textOutline>
                                </w:rPr>
                                <m:t>c</m:t>
                              </m:r>
                              <m:r>
                                <m:rPr>
                                  <m:sty m:val="p"/>
                                </m:rPr>
                                <w:rPr>
                                  <w:rFonts w:ascii="Cambria Math" w:hAnsi="Cambria Math"/>
                                  <w14:textOutline w14:w="9525" w14:cap="rnd" w14:cmpd="sng" w14:algn="ctr">
                                    <w14:noFill/>
                                    <w14:prstDash w14:val="solid"/>
                                    <w14:bevel/>
                                  </w14:textOutline>
                                </w:rPr>
                                <m:t>)</m:t>
                              </m:r>
                            </m:e>
                          </m:d>
                        </m:oMath>
                      </m:oMathPara>
                    </w:p>
                  </w:txbxContent>
                </v:textbox>
                <w10:wrap type="tight"/>
              </v:shape>
            </w:pict>
          </mc:Fallback>
        </mc:AlternateContent>
      </w:r>
      <w:r w:rsidR="0017018E" w:rsidRPr="00DB5EB8">
        <w:rPr>
          <w:color w:val="00A9CE" w:themeColor="accent1"/>
        </w:rPr>
        <w:t xml:space="preserve">Equation </w:t>
      </w:r>
      <w:r w:rsidR="00447CD6" w:rsidRPr="00DB5EB8">
        <w:rPr>
          <w:color w:val="00A9CE" w:themeColor="accent1"/>
        </w:rPr>
        <w:fldChar w:fldCharType="begin"/>
      </w:r>
      <w:r w:rsidR="00447CD6" w:rsidRPr="00DB5EB8">
        <w:rPr>
          <w:color w:val="00A9CE" w:themeColor="accent1"/>
        </w:rPr>
        <w:instrText xml:space="preserve"> SEQ Equation \* ARABIC </w:instrText>
      </w:r>
      <w:r w:rsidR="00447CD6" w:rsidRPr="00DB5EB8">
        <w:rPr>
          <w:color w:val="00A9CE" w:themeColor="accent1"/>
        </w:rPr>
        <w:fldChar w:fldCharType="separate"/>
      </w:r>
      <w:r w:rsidR="004A26FB">
        <w:rPr>
          <w:noProof/>
          <w:color w:val="00A9CE" w:themeColor="accent1"/>
        </w:rPr>
        <w:t>3</w:t>
      </w:r>
      <w:r w:rsidR="00447CD6" w:rsidRPr="00DB5EB8">
        <w:rPr>
          <w:color w:val="00A9CE" w:themeColor="accent1"/>
        </w:rPr>
        <w:fldChar w:fldCharType="end"/>
      </w:r>
      <w:bookmarkEnd w:id="35"/>
    </w:p>
    <w:p w14:paraId="0AC4DD8E" w14:textId="35DB43F2" w:rsidR="0017018E" w:rsidRDefault="0017018E" w:rsidP="0017018E"/>
    <w:p w14:paraId="01F93A37" w14:textId="77777777" w:rsidR="00433376" w:rsidRDefault="00433376" w:rsidP="0017018E"/>
    <w:p w14:paraId="3D7443EA" w14:textId="0604BE31" w:rsidR="0017018E" w:rsidRDefault="0017018E" w:rsidP="0017018E">
      <w:r>
        <w:t xml:space="preserve">By differentiating this function and evaluating at </w:t>
      </w:r>
      <w:r w:rsidRPr="009E02F2">
        <w:rPr>
          <w:i/>
        </w:rPr>
        <w:t>t</w:t>
      </w:r>
      <w:r>
        <w:t xml:space="preserve"> = 2012, we may solve for </w:t>
      </w:r>
      <w:r w:rsidRPr="009E02F2">
        <w:rPr>
          <w:i/>
        </w:rPr>
        <w:t>c</w:t>
      </w:r>
      <w:r>
        <w:t xml:space="preserve"> so that the gradient of </w:t>
      </w:r>
      <w:r w:rsidRPr="009E02F2">
        <w:rPr>
          <w:i/>
        </w:rPr>
        <w:t>F(t)</w:t>
      </w:r>
      <w:r>
        <w:t xml:space="preserve"> matches that of the gradient of the decreasing historical trend in the last 5 years of records, </w:t>
      </w:r>
      <w:r w:rsidRPr="009E02F2">
        <w:rPr>
          <w:i/>
        </w:rPr>
        <w:t>m</w:t>
      </w:r>
      <w:r>
        <w:t xml:space="preserve"> as in</w:t>
      </w:r>
      <w:r w:rsidR="00464964">
        <w:t xml:space="preserve"> Equation 4:</w:t>
      </w:r>
    </w:p>
    <w:p w14:paraId="305E2BBF" w14:textId="797B1609" w:rsidR="0017018E" w:rsidRPr="00DB5EB8" w:rsidRDefault="0017018E" w:rsidP="00DB5EB8">
      <w:pPr>
        <w:pStyle w:val="Caption"/>
        <w:spacing w:before="240" w:after="200" w:line="240" w:lineRule="auto"/>
        <w:contextualSpacing w:val="0"/>
        <w:rPr>
          <w:color w:val="00A9CE" w:themeColor="accent1"/>
        </w:rPr>
      </w:pPr>
      <w:bookmarkStart w:id="36" w:name="_Ref359792447"/>
      <w:r w:rsidRPr="00DB5EB8">
        <w:rPr>
          <w:color w:val="00A9CE" w:themeColor="accent1"/>
        </w:rPr>
        <w:t xml:space="preserve">Equation </w:t>
      </w:r>
      <w:r w:rsidR="00447CD6" w:rsidRPr="00DB5EB8">
        <w:rPr>
          <w:color w:val="00A9CE" w:themeColor="accent1"/>
        </w:rPr>
        <w:fldChar w:fldCharType="begin"/>
      </w:r>
      <w:r w:rsidR="00447CD6" w:rsidRPr="00DB5EB8">
        <w:rPr>
          <w:color w:val="00A9CE" w:themeColor="accent1"/>
        </w:rPr>
        <w:instrText xml:space="preserve"> SEQ Equation \* ARABIC </w:instrText>
      </w:r>
      <w:r w:rsidR="00447CD6" w:rsidRPr="00DB5EB8">
        <w:rPr>
          <w:color w:val="00A9CE" w:themeColor="accent1"/>
        </w:rPr>
        <w:fldChar w:fldCharType="separate"/>
      </w:r>
      <w:r w:rsidR="004A26FB">
        <w:rPr>
          <w:noProof/>
          <w:color w:val="00A9CE" w:themeColor="accent1"/>
        </w:rPr>
        <w:t>4</w:t>
      </w:r>
      <w:r w:rsidR="00447CD6" w:rsidRPr="00DB5EB8">
        <w:rPr>
          <w:color w:val="00A9CE" w:themeColor="accent1"/>
        </w:rPr>
        <w:fldChar w:fldCharType="end"/>
      </w:r>
      <w:bookmarkEnd w:id="36"/>
    </w:p>
    <w:p w14:paraId="27C0F9A8" w14:textId="020950CF" w:rsidR="0017018E" w:rsidRPr="00534520" w:rsidRDefault="00433376" w:rsidP="0017018E">
      <w:r>
        <w:rPr>
          <w:noProof/>
        </w:rPr>
        <mc:AlternateContent>
          <mc:Choice Requires="wps">
            <w:drawing>
              <wp:anchor distT="0" distB="0" distL="114300" distR="114300" simplePos="0" relativeHeight="251742208" behindDoc="1" locked="0" layoutInCell="1" allowOverlap="1" wp14:anchorId="364C4D09" wp14:editId="122DAE3F">
                <wp:simplePos x="0" y="0"/>
                <wp:positionH relativeFrom="column">
                  <wp:posOffset>1390650</wp:posOffset>
                </wp:positionH>
                <wp:positionV relativeFrom="paragraph">
                  <wp:posOffset>6350</wp:posOffset>
                </wp:positionV>
                <wp:extent cx="3436620" cy="579120"/>
                <wp:effectExtent l="0" t="0" r="0" b="0"/>
                <wp:wrapTight wrapText="bothSides">
                  <wp:wrapPolygon edited="0">
                    <wp:start x="0" y="0"/>
                    <wp:lineTo x="0" y="20605"/>
                    <wp:lineTo x="21432" y="20605"/>
                    <wp:lineTo x="21432" y="0"/>
                    <wp:lineTo x="0" y="0"/>
                  </wp:wrapPolygon>
                </wp:wrapTight>
                <wp:docPr id="22" name="Text Box 22" descr="fraction numerator d F open parentheses t close parentheses over denominator d t end fraction single vertical bar subscript 2012 equals efficiency subscript t equals 2011 end subscript x fraction numerator negative c over denominator 5 end fraction open parentheses e to the power of negative 20 divided by 5 end exponent close parentheses equals m." title="Equation 4"/>
                <wp:cNvGraphicFramePr/>
                <a:graphic xmlns:a="http://schemas.openxmlformats.org/drawingml/2006/main">
                  <a:graphicData uri="http://schemas.microsoft.com/office/word/2010/wordprocessingShape">
                    <wps:wsp>
                      <wps:cNvSpPr txBox="1"/>
                      <wps:spPr>
                        <a:xfrm>
                          <a:off x="0" y="0"/>
                          <a:ext cx="3436620" cy="5791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A4D63B" w14:textId="79FEA584" w:rsidR="0073787E" w:rsidRDefault="00CC2859">
                            <m:oMathPara>
                              <m:oMath>
                                <m:sSub>
                                  <m:sSubPr>
                                    <m:ctrlPr>
                                      <w:rPr>
                                        <w:rFonts w:ascii="Cambria Math" w:hAnsi="Cambria Math"/>
                                        <w:i/>
                                      </w:rPr>
                                    </m:ctrlPr>
                                  </m:sSubPr>
                                  <m:e>
                                    <m:d>
                                      <m:dPr>
                                        <m:begChr m:val=""/>
                                        <m:endChr m:val="|"/>
                                        <m:ctrlPr>
                                          <w:rPr>
                                            <w:rFonts w:ascii="Cambria Math" w:hAnsi="Cambria Math"/>
                                            <w:i/>
                                          </w:rPr>
                                        </m:ctrlPr>
                                      </m:dPr>
                                      <m:e>
                                        <m:f>
                                          <m:fPr>
                                            <m:ctrlPr>
                                              <w:rPr>
                                                <w:rFonts w:ascii="Cambria Math" w:hAnsi="Cambria Math"/>
                                                <w:i/>
                                              </w:rPr>
                                            </m:ctrlPr>
                                          </m:fPr>
                                          <m:num>
                                            <m:r>
                                              <w:rPr>
                                                <w:rFonts w:ascii="Cambria Math" w:hAnsi="Cambria Math"/>
                                              </w:rPr>
                                              <m:t>dF</m:t>
                                            </m:r>
                                            <m:d>
                                              <m:dPr>
                                                <m:ctrlPr>
                                                  <w:rPr>
                                                    <w:rFonts w:ascii="Cambria Math" w:hAnsi="Cambria Math"/>
                                                    <w:i/>
                                                  </w:rPr>
                                                </m:ctrlPr>
                                              </m:dPr>
                                              <m:e>
                                                <m:r>
                                                  <w:rPr>
                                                    <w:rFonts w:ascii="Cambria Math" w:hAnsi="Cambria Math"/>
                                                  </w:rPr>
                                                  <m:t>t</m:t>
                                                </m:r>
                                              </m:e>
                                            </m:d>
                                          </m:num>
                                          <m:den>
                                            <m:r>
                                              <w:rPr>
                                                <w:rFonts w:ascii="Cambria Math" w:hAnsi="Cambria Math"/>
                                              </w:rPr>
                                              <m:t>dt</m:t>
                                            </m:r>
                                          </m:den>
                                        </m:f>
                                      </m:e>
                                    </m:d>
                                  </m:e>
                                  <m:sub>
                                    <m:r>
                                      <w:rPr>
                                        <w:rFonts w:ascii="Cambria Math" w:hAnsi="Cambria Math"/>
                                      </w:rPr>
                                      <m:t>2012</m:t>
                                    </m:r>
                                  </m:sub>
                                </m:sSub>
                                <m:r>
                                  <w:rPr>
                                    <w:rFonts w:ascii="Cambria Math" w:hAnsi="Cambria Math"/>
                                  </w:rPr>
                                  <m:t>=</m:t>
                                </m:r>
                                <m:sSub>
                                  <m:sSubPr>
                                    <m:ctrlPr>
                                      <w:rPr>
                                        <w:rFonts w:ascii="Cambria Math" w:hAnsi="Cambria Math"/>
                                        <w:i/>
                                      </w:rPr>
                                    </m:ctrlPr>
                                  </m:sSubPr>
                                  <m:e>
                                    <m:r>
                                      <w:rPr>
                                        <w:rFonts w:ascii="Cambria Math" w:hAnsi="Cambria Math"/>
                                      </w:rPr>
                                      <m:t>efficiency</m:t>
                                    </m:r>
                                  </m:e>
                                  <m:sub>
                                    <m:r>
                                      <w:rPr>
                                        <w:rFonts w:ascii="Cambria Math" w:hAnsi="Cambria Math"/>
                                      </w:rPr>
                                      <m:t>t=2011</m:t>
                                    </m:r>
                                  </m:sub>
                                </m:sSub>
                                <m:r>
                                  <w:rPr>
                                    <w:rFonts w:ascii="Cambria Math" w:hAnsi="Cambria Math"/>
                                  </w:rPr>
                                  <m:t>×</m:t>
                                </m:r>
                                <m:f>
                                  <m:fPr>
                                    <m:ctrlPr>
                                      <w:rPr>
                                        <w:rFonts w:ascii="Cambria Math" w:hAnsi="Cambria Math"/>
                                        <w:i/>
                                      </w:rPr>
                                    </m:ctrlPr>
                                  </m:fPr>
                                  <m:num>
                                    <m:r>
                                      <w:rPr>
                                        <w:rFonts w:ascii="Cambria Math" w:hAnsi="Cambria Math"/>
                                      </w:rPr>
                                      <m:t>-c</m:t>
                                    </m:r>
                                  </m:num>
                                  <m:den>
                                    <m:r>
                                      <w:rPr>
                                        <w:rFonts w:ascii="Cambria Math" w:hAnsi="Cambria Math"/>
                                      </w:rPr>
                                      <m:t>5</m:t>
                                    </m:r>
                                  </m:den>
                                </m:f>
                                <m:d>
                                  <m:dPr>
                                    <m:ctrlPr>
                                      <w:rPr>
                                        <w:rFonts w:ascii="Cambria Math" w:hAnsi="Cambria Math"/>
                                      </w:rPr>
                                    </m:ctrlPr>
                                  </m:dPr>
                                  <m:e>
                                    <m:sSup>
                                      <m:sSupPr>
                                        <m:ctrlPr>
                                          <w:rPr>
                                            <w:rFonts w:ascii="Cambria Math" w:hAnsi="Cambria Math"/>
                                          </w:rPr>
                                        </m:ctrlPr>
                                      </m:sSupPr>
                                      <m:e>
                                        <m:r>
                                          <w:rPr>
                                            <w:rFonts w:ascii="Cambria Math" w:hAnsi="Cambria Math"/>
                                          </w:rPr>
                                          <m:t>e</m:t>
                                        </m:r>
                                      </m:e>
                                      <m:sup>
                                        <m:f>
                                          <m:fPr>
                                            <m:type m:val="lin"/>
                                            <m:ctrlPr>
                                              <w:rPr>
                                                <w:rFonts w:ascii="Cambria Math" w:hAnsi="Cambria Math"/>
                                              </w:rPr>
                                            </m:ctrlPr>
                                          </m:fPr>
                                          <m:num>
                                            <m:r>
                                              <m:rPr>
                                                <m:sty m:val="p"/>
                                              </m:rPr>
                                              <w:rPr>
                                                <w:rFonts w:ascii="Cambria Math" w:hAnsi="Cambria Math"/>
                                              </w:rPr>
                                              <m:t>-20</m:t>
                                            </m:r>
                                          </m:num>
                                          <m:den>
                                            <m:r>
                                              <m:rPr>
                                                <m:sty m:val="p"/>
                                              </m:rPr>
                                              <w:rPr>
                                                <w:rFonts w:ascii="Cambria Math" w:hAnsi="Cambria Math"/>
                                              </w:rPr>
                                              <m:t>5</m:t>
                                            </m:r>
                                          </m:den>
                                        </m:f>
                                      </m:sup>
                                    </m:sSup>
                                  </m:e>
                                </m:d>
                                <m:r>
                                  <m:rPr>
                                    <m:sty m:val="p"/>
                                  </m:rPr>
                                  <w:rPr>
                                    <w:rFonts w:ascii="Cambria Math" w:hAnsi="Cambria Math"/>
                                  </w:rPr>
                                  <m:t>=</m:t>
                                </m:r>
                                <m:r>
                                  <w:rPr>
                                    <w:rFonts w:ascii="Cambria Math" w:hAnsi="Cambria Math"/>
                                  </w:rPr>
                                  <m:t>m</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4C4D09" id="Text Box 22" o:spid="_x0000_s1061" type="#_x0000_t202" alt="Title: Equation 4 - Description: fraction numerator d F open parentheses t close parentheses over denominator d t end fraction single vertical bar subscript 2012 equals efficiency subscript t equals 2011 end subscript x fraction numerator negative c over denominator 5 end fraction open parentheses e to the power of negative 20 divided by 5 end exponent close parentheses equals m." style="position:absolute;margin-left:109.5pt;margin-top:.5pt;width:270.6pt;height:45.6pt;z-index:-251574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" fillcolor="white [3201]" stroked="f" strokeweight=".5pt">
                <v:textbox>
                  <w:txbxContent>
                    <w:p w14:paraId="13A4D63B" w14:textId="79FEA584" w:rsidR="0073787E" w:rsidRDefault="0073787E">
                      <m:oMathPara>
                        <m:oMath>
                          <m:sSub>
                            <m:sSubPr>
                              <m:ctrlPr>
                                <w:rPr>
                                  <w:rFonts w:ascii="Cambria Math" w:hAnsi="Cambria Math"/>
                                  <w:i/>
                                </w:rPr>
                              </m:ctrlPr>
                            </m:sSubPr>
                            <m:e>
                              <m:d>
                                <m:dPr>
                                  <m:begChr m:val=""/>
                                  <m:endChr m:val="|"/>
                                  <m:ctrlPr>
                                    <w:rPr>
                                      <w:rFonts w:ascii="Cambria Math" w:hAnsi="Cambria Math"/>
                                      <w:i/>
                                    </w:rPr>
                                  </m:ctrlPr>
                                </m:dPr>
                                <m:e>
                                  <m:f>
                                    <m:fPr>
                                      <m:ctrlPr>
                                        <w:rPr>
                                          <w:rFonts w:ascii="Cambria Math" w:hAnsi="Cambria Math"/>
                                          <w:i/>
                                        </w:rPr>
                                      </m:ctrlPr>
                                    </m:fPr>
                                    <m:num>
                                      <m:r>
                                        <w:rPr>
                                          <w:rFonts w:ascii="Cambria Math" w:hAnsi="Cambria Math"/>
                                        </w:rPr>
                                        <m:t>dF</m:t>
                                      </m:r>
                                      <m:d>
                                        <m:dPr>
                                          <m:ctrlPr>
                                            <w:rPr>
                                              <w:rFonts w:ascii="Cambria Math" w:hAnsi="Cambria Math"/>
                                              <w:i/>
                                            </w:rPr>
                                          </m:ctrlPr>
                                        </m:dPr>
                                        <m:e>
                                          <m:r>
                                            <w:rPr>
                                              <w:rFonts w:ascii="Cambria Math" w:hAnsi="Cambria Math"/>
                                            </w:rPr>
                                            <m:t>t</m:t>
                                          </m:r>
                                        </m:e>
                                      </m:d>
                                    </m:num>
                                    <m:den>
                                      <m:r>
                                        <w:rPr>
                                          <w:rFonts w:ascii="Cambria Math" w:hAnsi="Cambria Math"/>
                                        </w:rPr>
                                        <m:t>dt</m:t>
                                      </m:r>
                                    </m:den>
                                  </m:f>
                                </m:e>
                              </m:d>
                            </m:e>
                            <m:sub>
                              <m:r>
                                <w:rPr>
                                  <w:rFonts w:ascii="Cambria Math" w:hAnsi="Cambria Math"/>
                                </w:rPr>
                                <m:t>2012</m:t>
                              </m:r>
                            </m:sub>
                          </m:sSub>
                          <m:r>
                            <w:rPr>
                              <w:rFonts w:ascii="Cambria Math" w:hAnsi="Cambria Math"/>
                            </w:rPr>
                            <m:t>=</m:t>
                          </m:r>
                          <m:sSub>
                            <m:sSubPr>
                              <m:ctrlPr>
                                <w:rPr>
                                  <w:rFonts w:ascii="Cambria Math" w:hAnsi="Cambria Math"/>
                                  <w:i/>
                                </w:rPr>
                              </m:ctrlPr>
                            </m:sSubPr>
                            <m:e>
                              <m:r>
                                <w:rPr>
                                  <w:rFonts w:ascii="Cambria Math" w:hAnsi="Cambria Math"/>
                                </w:rPr>
                                <m:t>efficiency</m:t>
                              </m:r>
                            </m:e>
                            <m:sub>
                              <m:r>
                                <w:rPr>
                                  <w:rFonts w:ascii="Cambria Math" w:hAnsi="Cambria Math"/>
                                </w:rPr>
                                <m:t>t=2011</m:t>
                              </m:r>
                            </m:sub>
                          </m:sSub>
                          <m:r>
                            <w:rPr>
                              <w:rFonts w:ascii="Cambria Math" w:hAnsi="Cambria Math"/>
                            </w:rPr>
                            <m:t>×</m:t>
                          </m:r>
                          <m:f>
                            <m:fPr>
                              <m:ctrlPr>
                                <w:rPr>
                                  <w:rFonts w:ascii="Cambria Math" w:hAnsi="Cambria Math"/>
                                  <w:i/>
                                </w:rPr>
                              </m:ctrlPr>
                            </m:fPr>
                            <m:num>
                              <m:r>
                                <w:rPr>
                                  <w:rFonts w:ascii="Cambria Math" w:hAnsi="Cambria Math"/>
                                </w:rPr>
                                <m:t>-c</m:t>
                              </m:r>
                            </m:num>
                            <m:den>
                              <m:r>
                                <w:rPr>
                                  <w:rFonts w:ascii="Cambria Math" w:hAnsi="Cambria Math"/>
                                </w:rPr>
                                <m:t>5</m:t>
                              </m:r>
                            </m:den>
                          </m:f>
                          <m:d>
                            <m:dPr>
                              <m:ctrlPr>
                                <w:rPr>
                                  <w:rFonts w:ascii="Cambria Math" w:hAnsi="Cambria Math"/>
                                </w:rPr>
                              </m:ctrlPr>
                            </m:dPr>
                            <m:e>
                              <m:sSup>
                                <m:sSupPr>
                                  <m:ctrlPr>
                                    <w:rPr>
                                      <w:rFonts w:ascii="Cambria Math" w:hAnsi="Cambria Math"/>
                                    </w:rPr>
                                  </m:ctrlPr>
                                </m:sSupPr>
                                <m:e>
                                  <m:r>
                                    <w:rPr>
                                      <w:rFonts w:ascii="Cambria Math" w:hAnsi="Cambria Math"/>
                                    </w:rPr>
                                    <m:t>e</m:t>
                                  </m:r>
                                </m:e>
                                <m:sup>
                                  <m:f>
                                    <m:fPr>
                                      <m:type m:val="lin"/>
                                      <m:ctrlPr>
                                        <w:rPr>
                                          <w:rFonts w:ascii="Cambria Math" w:hAnsi="Cambria Math"/>
                                        </w:rPr>
                                      </m:ctrlPr>
                                    </m:fPr>
                                    <m:num>
                                      <m:r>
                                        <m:rPr>
                                          <m:sty m:val="p"/>
                                        </m:rPr>
                                        <w:rPr>
                                          <w:rFonts w:ascii="Cambria Math" w:hAnsi="Cambria Math"/>
                                        </w:rPr>
                                        <m:t>-20</m:t>
                                      </m:r>
                                    </m:num>
                                    <m:den>
                                      <m:r>
                                        <m:rPr>
                                          <m:sty m:val="p"/>
                                        </m:rPr>
                                        <w:rPr>
                                          <w:rFonts w:ascii="Cambria Math" w:hAnsi="Cambria Math"/>
                                        </w:rPr>
                                        <m:t>5</m:t>
                                      </m:r>
                                    </m:den>
                                  </m:f>
                                </m:sup>
                              </m:sSup>
                            </m:e>
                          </m:d>
                          <m:r>
                            <m:rPr>
                              <m:sty m:val="p"/>
                            </m:rPr>
                            <w:rPr>
                              <w:rFonts w:ascii="Cambria Math" w:hAnsi="Cambria Math"/>
                            </w:rPr>
                            <m:t>=</m:t>
                          </m:r>
                          <m:r>
                            <w:rPr>
                              <w:rFonts w:ascii="Cambria Math" w:hAnsi="Cambria Math"/>
                            </w:rPr>
                            <m:t>m</m:t>
                          </m:r>
                        </m:oMath>
                      </m:oMathPara>
                    </w:p>
                  </w:txbxContent>
                </v:textbox>
                <w10:wrap type="tight"/>
              </v:shape>
            </w:pict>
          </mc:Fallback>
        </mc:AlternateContent>
      </w:r>
    </w:p>
    <w:p w14:paraId="31366F82" w14:textId="77777777" w:rsidR="0017018E" w:rsidRDefault="0017018E" w:rsidP="008F696F">
      <w:pPr>
        <w:pStyle w:val="Heading2"/>
        <w:numPr>
          <w:ilvl w:val="1"/>
          <w:numId w:val="13"/>
        </w:numPr>
      </w:pPr>
      <w:bookmarkStart w:id="37" w:name="_Toc359885768"/>
      <w:bookmarkStart w:id="38" w:name="_Ref299102535"/>
      <w:bookmarkStart w:id="39" w:name="_Toc433975079"/>
      <w:r>
        <w:t xml:space="preserve">Expectation of </w:t>
      </w:r>
      <w:r w:rsidRPr="009E0BE0">
        <w:t>future</w:t>
      </w:r>
      <w:r>
        <w:t xml:space="preserve"> </w:t>
      </w:r>
      <w:r w:rsidRPr="009E0BE0">
        <w:t>efficiency</w:t>
      </w:r>
      <w:r>
        <w:t xml:space="preserve"> gains</w:t>
      </w:r>
      <w:bookmarkEnd w:id="37"/>
      <w:bookmarkEnd w:id="38"/>
      <w:bookmarkEnd w:id="39"/>
    </w:p>
    <w:p w14:paraId="1060A107" w14:textId="77777777" w:rsidR="0017018E" w:rsidRDefault="0017018E" w:rsidP="0017018E">
      <w:r>
        <w:t xml:space="preserve">The possible future energy efficiencies identified in the literature we surveyed are for 2020 but we wish to simulate to 2050. We assume that further efficiency gains are possible in decades beyond 2020 according to the following formula where </w:t>
      </w:r>
      <w:r w:rsidRPr="00AF06D9">
        <w:rPr>
          <w:i/>
        </w:rPr>
        <w:t>t</w:t>
      </w:r>
      <w:r>
        <w:t xml:space="preserve"> = a future year date:</w:t>
      </w:r>
    </w:p>
    <w:p w14:paraId="660E3201" w14:textId="2A8C63F2" w:rsidR="0017018E" w:rsidRPr="00DB5EB8" w:rsidRDefault="0017018E" w:rsidP="00DB5EB8">
      <w:pPr>
        <w:pStyle w:val="Caption"/>
        <w:spacing w:before="240" w:after="200" w:line="240" w:lineRule="auto"/>
        <w:contextualSpacing w:val="0"/>
        <w:rPr>
          <w:color w:val="00A9CE" w:themeColor="accent1"/>
        </w:rPr>
      </w:pPr>
      <w:bookmarkStart w:id="40" w:name="_Ref359819687"/>
      <w:r w:rsidRPr="00DB5EB8">
        <w:rPr>
          <w:color w:val="00A9CE" w:themeColor="accent1"/>
        </w:rPr>
        <w:t xml:space="preserve">Equation </w:t>
      </w:r>
      <w:r w:rsidR="00447CD6" w:rsidRPr="00DB5EB8">
        <w:rPr>
          <w:color w:val="00A9CE" w:themeColor="accent1"/>
        </w:rPr>
        <w:fldChar w:fldCharType="begin"/>
      </w:r>
      <w:r w:rsidR="00447CD6" w:rsidRPr="00DB5EB8">
        <w:rPr>
          <w:color w:val="00A9CE" w:themeColor="accent1"/>
        </w:rPr>
        <w:instrText xml:space="preserve"> SEQ Equation \* ARABIC </w:instrText>
      </w:r>
      <w:r w:rsidR="00447CD6" w:rsidRPr="00DB5EB8">
        <w:rPr>
          <w:color w:val="00A9CE" w:themeColor="accent1"/>
        </w:rPr>
        <w:fldChar w:fldCharType="separate"/>
      </w:r>
      <w:r w:rsidR="004A26FB">
        <w:rPr>
          <w:noProof/>
          <w:color w:val="00A9CE" w:themeColor="accent1"/>
        </w:rPr>
        <w:t>5</w:t>
      </w:r>
      <w:r w:rsidR="00447CD6" w:rsidRPr="00DB5EB8">
        <w:rPr>
          <w:color w:val="00A9CE" w:themeColor="accent1"/>
        </w:rPr>
        <w:fldChar w:fldCharType="end"/>
      </w:r>
      <w:bookmarkEnd w:id="40"/>
      <w:r w:rsidRPr="00DB5EB8">
        <w:rPr>
          <w:color w:val="00A9CE" w:themeColor="accent1"/>
        </w:rPr>
        <w:t>.</w:t>
      </w:r>
    </w:p>
    <w:p w14:paraId="49A12D80" w14:textId="66E2F342" w:rsidR="0017018E" w:rsidRDefault="00433376" w:rsidP="0017018E">
      <w:r>
        <w:rPr>
          <w:noProof/>
          <w:color w:val="00A9CE" w:themeColor="accent1"/>
        </w:rPr>
        <mc:AlternateContent>
          <mc:Choice Requires="wps">
            <w:drawing>
              <wp:anchor distT="0" distB="0" distL="114300" distR="114300" simplePos="0" relativeHeight="251743232" behindDoc="1" locked="0" layoutInCell="1" allowOverlap="1" wp14:anchorId="4376C4C0" wp14:editId="243D5495">
                <wp:simplePos x="0" y="0"/>
                <wp:positionH relativeFrom="column">
                  <wp:posOffset>1421130</wp:posOffset>
                </wp:positionH>
                <wp:positionV relativeFrom="paragraph">
                  <wp:posOffset>8890</wp:posOffset>
                </wp:positionV>
                <wp:extent cx="3985260" cy="396240"/>
                <wp:effectExtent l="0" t="0" r="0" b="3810"/>
                <wp:wrapTight wrapText="bothSides">
                  <wp:wrapPolygon edited="0">
                    <wp:start x="0" y="0"/>
                    <wp:lineTo x="0" y="20769"/>
                    <wp:lineTo x="21476" y="20769"/>
                    <wp:lineTo x="21476" y="0"/>
                    <wp:lineTo x="0" y="0"/>
                  </wp:wrapPolygon>
                </wp:wrapTight>
                <wp:docPr id="23" name="Text Box 23" descr="efficiency subscript t equals 2020 end subscript equals efficiency subscript t equals 2020 end subscript x open parentheses 2 minus open parentheses root index 10 of 0.5 end root close parentheses to the power of t minus 2020 end exponent close parentheses."/>
                <wp:cNvGraphicFramePr/>
                <a:graphic xmlns:a="http://schemas.openxmlformats.org/drawingml/2006/main">
                  <a:graphicData uri="http://schemas.microsoft.com/office/word/2010/wordprocessingShape">
                    <wps:wsp>
                      <wps:cNvSpPr txBox="1"/>
                      <wps:spPr>
                        <a:xfrm>
                          <a:off x="0" y="0"/>
                          <a:ext cx="3985260" cy="396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6B3D930" w14:textId="3DCB6B0B" w:rsidR="0073787E" w:rsidRDefault="00CC2859">
                            <m:oMathPara>
                              <m:oMath>
                                <m:sSub>
                                  <m:sSubPr>
                                    <m:ctrlPr>
                                      <w:rPr>
                                        <w:rFonts w:ascii="Cambria Math" w:hAnsi="Cambria Math"/>
                                        <w:i/>
                                      </w:rPr>
                                    </m:ctrlPr>
                                  </m:sSubPr>
                                  <m:e>
                                    <m:r>
                                      <w:rPr>
                                        <w:rFonts w:ascii="Cambria Math" w:hAnsi="Cambria Math"/>
                                      </w:rPr>
                                      <m:t>efficiency</m:t>
                                    </m:r>
                                  </m:e>
                                  <m:sub>
                                    <m:r>
                                      <w:rPr>
                                        <w:rFonts w:ascii="Cambria Math" w:hAnsi="Cambria Math"/>
                                      </w:rPr>
                                      <m:t>t&gt;2020</m:t>
                                    </m:r>
                                  </m:sub>
                                </m:sSub>
                                <m:r>
                                  <w:rPr>
                                    <w:rFonts w:ascii="Cambria Math" w:hAnsi="Cambria Math"/>
                                  </w:rPr>
                                  <m:t>=</m:t>
                                </m:r>
                                <m:sSub>
                                  <m:sSubPr>
                                    <m:ctrlPr>
                                      <w:rPr>
                                        <w:rFonts w:ascii="Cambria Math" w:hAnsi="Cambria Math"/>
                                        <w:i/>
                                      </w:rPr>
                                    </m:ctrlPr>
                                  </m:sSubPr>
                                  <m:e>
                                    <m:r>
                                      <w:rPr>
                                        <w:rFonts w:ascii="Cambria Math" w:hAnsi="Cambria Math"/>
                                      </w:rPr>
                                      <m:t>efficiency</m:t>
                                    </m:r>
                                  </m:e>
                                  <m:sub>
                                    <m:r>
                                      <w:rPr>
                                        <w:rFonts w:ascii="Cambria Math" w:hAnsi="Cambria Math"/>
                                      </w:rPr>
                                      <m:t>t=2020</m:t>
                                    </m:r>
                                  </m:sub>
                                </m:sSub>
                                <m:r>
                                  <w:rPr>
                                    <w:rFonts w:ascii="Cambria Math" w:hAnsi="Cambria Math"/>
                                  </w:rPr>
                                  <m:t>×</m:t>
                                </m:r>
                                <m:d>
                                  <m:dPr>
                                    <m:ctrlPr>
                                      <w:rPr>
                                        <w:rFonts w:ascii="Cambria Math" w:hAnsi="Cambria Math"/>
                                        <w:i/>
                                      </w:rPr>
                                    </m:ctrlPr>
                                  </m:dPr>
                                  <m:e>
                                    <m:sSup>
                                      <m:sSupPr>
                                        <m:ctrlPr>
                                          <w:rPr>
                                            <w:rFonts w:ascii="Cambria Math" w:hAnsi="Cambria Math"/>
                                            <w:i/>
                                          </w:rPr>
                                        </m:ctrlPr>
                                      </m:sSupPr>
                                      <m:e>
                                        <m:r>
                                          <w:rPr>
                                            <w:rFonts w:ascii="Cambria Math" w:hAnsi="Cambria Math"/>
                                          </w:rPr>
                                          <m:t>2-</m:t>
                                        </m:r>
                                        <m:d>
                                          <m:dPr>
                                            <m:ctrlPr>
                                              <w:rPr>
                                                <w:rFonts w:ascii="Cambria Math" w:hAnsi="Cambria Math"/>
                                                <w:i/>
                                              </w:rPr>
                                            </m:ctrlPr>
                                          </m:dPr>
                                          <m:e>
                                            <m:rad>
                                              <m:radPr>
                                                <m:ctrlPr>
                                                  <w:rPr>
                                                    <w:rFonts w:ascii="Cambria Math" w:hAnsi="Cambria Math"/>
                                                    <w:i/>
                                                  </w:rPr>
                                                </m:ctrlPr>
                                              </m:radPr>
                                              <m:deg>
                                                <m:r>
                                                  <w:rPr>
                                                    <w:rFonts w:ascii="Cambria Math" w:hAnsi="Cambria Math"/>
                                                  </w:rPr>
                                                  <m:t>10</m:t>
                                                </m:r>
                                              </m:deg>
                                              <m:e>
                                                <m:r>
                                                  <w:rPr>
                                                    <w:rFonts w:ascii="Cambria Math" w:hAnsi="Cambria Math"/>
                                                  </w:rPr>
                                                  <m:t>0.5</m:t>
                                                </m:r>
                                              </m:e>
                                            </m:rad>
                                          </m:e>
                                        </m:d>
                                      </m:e>
                                      <m:sup>
                                        <m:r>
                                          <w:rPr>
                                            <w:rFonts w:ascii="Cambria Math" w:hAnsi="Cambria Math"/>
                                          </w:rPr>
                                          <m:t>t-2020</m:t>
                                        </m:r>
                                      </m:sup>
                                    </m:sSup>
                                  </m:e>
                                </m:d>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76C4C0" id="Text Box 23" o:spid="_x0000_s1062" type="#_x0000_t202" alt="efficiency subscript t equals 2020 end subscript equals efficiency subscript t equals 2020 end subscript x open parentheses 2 minus open parentheses root index 10 of 0.5 end root close parentheses to the power of t minus 2020 end exponent close parentheses." style="position:absolute;margin-left:111.9pt;margin-top:.7pt;width:313.8pt;height:31.2pt;z-index:-251573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" fillcolor="white [3201]" stroked="f" strokeweight=".5pt">
                <v:textbox>
                  <w:txbxContent>
                    <w:p w14:paraId="56B3D930" w14:textId="3DCB6B0B" w:rsidR="0073787E" w:rsidRDefault="0073787E">
                      <m:oMathPara>
                        <m:oMath>
                          <m:sSub>
                            <m:sSubPr>
                              <m:ctrlPr>
                                <w:rPr>
                                  <w:rFonts w:ascii="Cambria Math" w:hAnsi="Cambria Math"/>
                                  <w:i/>
                                </w:rPr>
                              </m:ctrlPr>
                            </m:sSubPr>
                            <m:e>
                              <m:r>
                                <w:rPr>
                                  <w:rFonts w:ascii="Cambria Math" w:hAnsi="Cambria Math"/>
                                </w:rPr>
                                <m:t>efficiency</m:t>
                              </m:r>
                            </m:e>
                            <m:sub>
                              <m:r>
                                <w:rPr>
                                  <w:rFonts w:ascii="Cambria Math" w:hAnsi="Cambria Math"/>
                                </w:rPr>
                                <m:t>t&gt;2020</m:t>
                              </m:r>
                            </m:sub>
                          </m:sSub>
                          <m:r>
                            <w:rPr>
                              <w:rFonts w:ascii="Cambria Math" w:hAnsi="Cambria Math"/>
                            </w:rPr>
                            <m:t>=</m:t>
                          </m:r>
                          <m:sSub>
                            <m:sSubPr>
                              <m:ctrlPr>
                                <w:rPr>
                                  <w:rFonts w:ascii="Cambria Math" w:hAnsi="Cambria Math"/>
                                  <w:i/>
                                </w:rPr>
                              </m:ctrlPr>
                            </m:sSubPr>
                            <m:e>
                              <m:r>
                                <w:rPr>
                                  <w:rFonts w:ascii="Cambria Math" w:hAnsi="Cambria Math"/>
                                </w:rPr>
                                <m:t>efficiency</m:t>
                              </m:r>
                            </m:e>
                            <m:sub>
                              <m:r>
                                <w:rPr>
                                  <w:rFonts w:ascii="Cambria Math" w:hAnsi="Cambria Math"/>
                                </w:rPr>
                                <m:t>t=2020</m:t>
                              </m:r>
                            </m:sub>
                          </m:sSub>
                          <m:r>
                            <w:rPr>
                              <w:rFonts w:ascii="Cambria Math" w:hAnsi="Cambria Math"/>
                            </w:rPr>
                            <m:t>×</m:t>
                          </m:r>
                          <m:d>
                            <m:dPr>
                              <m:ctrlPr>
                                <w:rPr>
                                  <w:rFonts w:ascii="Cambria Math" w:hAnsi="Cambria Math"/>
                                  <w:i/>
                                </w:rPr>
                              </m:ctrlPr>
                            </m:dPr>
                            <m:e>
                              <m:sSup>
                                <m:sSupPr>
                                  <m:ctrlPr>
                                    <w:rPr>
                                      <w:rFonts w:ascii="Cambria Math" w:hAnsi="Cambria Math"/>
                                      <w:i/>
                                    </w:rPr>
                                  </m:ctrlPr>
                                </m:sSupPr>
                                <m:e>
                                  <m:r>
                                    <w:rPr>
                                      <w:rFonts w:ascii="Cambria Math" w:hAnsi="Cambria Math"/>
                                    </w:rPr>
                                    <m:t>2-</m:t>
                                  </m:r>
                                  <m:d>
                                    <m:dPr>
                                      <m:ctrlPr>
                                        <w:rPr>
                                          <w:rFonts w:ascii="Cambria Math" w:hAnsi="Cambria Math"/>
                                          <w:i/>
                                        </w:rPr>
                                      </m:ctrlPr>
                                    </m:dPr>
                                    <m:e>
                                      <m:rad>
                                        <m:radPr>
                                          <m:ctrlPr>
                                            <w:rPr>
                                              <w:rFonts w:ascii="Cambria Math" w:hAnsi="Cambria Math"/>
                                              <w:i/>
                                            </w:rPr>
                                          </m:ctrlPr>
                                        </m:radPr>
                                        <m:deg>
                                          <m:r>
                                            <w:rPr>
                                              <w:rFonts w:ascii="Cambria Math" w:hAnsi="Cambria Math"/>
                                            </w:rPr>
                                            <m:t>10</m:t>
                                          </m:r>
                                        </m:deg>
                                        <m:e>
                                          <m:r>
                                            <w:rPr>
                                              <w:rFonts w:ascii="Cambria Math" w:hAnsi="Cambria Math"/>
                                            </w:rPr>
                                            <m:t>0.5</m:t>
                                          </m:r>
                                        </m:e>
                                      </m:rad>
                                    </m:e>
                                  </m:d>
                                </m:e>
                                <m:sup>
                                  <m:r>
                                    <w:rPr>
                                      <w:rFonts w:ascii="Cambria Math" w:hAnsi="Cambria Math"/>
                                    </w:rPr>
                                    <m:t>t-2020</m:t>
                                  </m:r>
                                </m:sup>
                              </m:sSup>
                            </m:e>
                          </m:d>
                        </m:oMath>
                      </m:oMathPara>
                    </w:p>
                  </w:txbxContent>
                </v:textbox>
                <w10:wrap type="tight"/>
              </v:shape>
            </w:pict>
          </mc:Fallback>
        </mc:AlternateContent>
      </w:r>
    </w:p>
    <w:p w14:paraId="522CC3F1" w14:textId="77777777" w:rsidR="00433376" w:rsidRDefault="00433376" w:rsidP="0017018E"/>
    <w:p w14:paraId="475B58DF" w14:textId="67964120" w:rsidR="0017018E" w:rsidRDefault="0017018E" w:rsidP="0017018E">
      <w:pPr>
        <w:rPr>
          <w:color w:val="auto"/>
        </w:rPr>
      </w:pPr>
      <w:r>
        <w:t xml:space="preserve">The effect of this formula is to produce an efficiency gain of 50% for the decade 2020 to 2030 and subsequently a 25% improvement in efficiency for 2030 to 2040 and an additional 12.5% gain for 2040 to 2050. A graph of this multiplier for energy </w:t>
      </w:r>
      <w:r w:rsidRPr="00FF02DC">
        <w:rPr>
          <w:color w:val="auto"/>
        </w:rPr>
        <w:t>efficiencies at 2020 from</w:t>
      </w:r>
      <w:r w:rsidR="00E6290E">
        <w:rPr>
          <w:color w:val="auto"/>
        </w:rPr>
        <w:t xml:space="preserve"> Equation 5</w:t>
      </w:r>
      <w:r w:rsidRPr="00FF02DC">
        <w:rPr>
          <w:color w:val="auto"/>
        </w:rPr>
        <w:t xml:space="preserve"> is shown in</w:t>
      </w:r>
      <w:r w:rsidR="00E6290E">
        <w:rPr>
          <w:color w:val="auto"/>
        </w:rPr>
        <w:t xml:space="preserve"> Figure 3.</w:t>
      </w:r>
    </w:p>
    <w:p w14:paraId="44E8CD0D" w14:textId="77777777" w:rsidR="00906EB9" w:rsidRDefault="00906EB9" w:rsidP="0017018E">
      <w:pPr>
        <w:rPr>
          <w:color w:val="auto"/>
        </w:rPr>
      </w:pPr>
    </w:p>
    <w:p w14:paraId="0A4D62E9" w14:textId="6571B1F6" w:rsidR="00906EB9" w:rsidRDefault="00906EB9" w:rsidP="00906EB9">
      <w:pPr>
        <w:jc w:val="center"/>
      </w:pPr>
      <w:r>
        <w:rPr>
          <w:noProof/>
        </w:rPr>
        <w:drawing>
          <wp:inline distT="0" distB="0" distL="0" distR="0" wp14:anchorId="55C527B9" wp14:editId="170DF186">
            <wp:extent cx="3906904" cy="2958353"/>
            <wp:effectExtent l="0" t="0" r="0" b="0"/>
            <wp:docPr id="26" name="Picture 26" descr="Figure three is a line graph. The graph plots via a single line the multiplier of further efficiency improvement from equation five. The graph's Y and X axes cross at the data points of one on the Y axis and the year two thousand and ten on the X axis, the Y axis increases in increments of point five, the X axis at increments of ten years. Plotting points begin at around two thousand and twelve continuing flat along the X axis and the data point of one on the Y axis, before rising at two thousand and twenty on the X axis, the line crosses the Y axis at one point five at year two thousand and thirty on the X axis, then again at around one point eight on the Y axis and two thousand and forty on the X axis. The line cuts off at two thousand and fifty on the X axis and around one point nine on the Y axis. " title="Multiplier for expected future energy efficiency beyond that achieved at two thoousand and twen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ure 3 Multiplier for expected future energy efficiency.png"/>
                    <pic:cNvPicPr/>
                  </pic:nvPicPr>
                  <pic:blipFill>
                    <a:blip r:embed="rId13">
                      <a:extLst>
                        <a:ext uri="{28A0092B-C50C-407E-A947-70E740481C1C}">
                          <a14:useLocalDpi xmlns:a14="http://schemas.microsoft.com/office/drawing/2010/main" val="0"/>
                        </a:ext>
                      </a:extLst>
                    </a:blip>
                    <a:stretch>
                      <a:fillRect/>
                    </a:stretch>
                  </pic:blipFill>
                  <pic:spPr>
                    <a:xfrm>
                      <a:off x="0" y="0"/>
                      <a:ext cx="3915393" cy="2964781"/>
                    </a:xfrm>
                    <a:prstGeom prst="rect">
                      <a:avLst/>
                    </a:prstGeom>
                  </pic:spPr>
                </pic:pic>
              </a:graphicData>
            </a:graphic>
          </wp:inline>
        </w:drawing>
      </w:r>
      <w:bookmarkStart w:id="41" w:name="_GoBack"/>
      <w:bookmarkEnd w:id="41"/>
    </w:p>
    <w:p w14:paraId="7907B362" w14:textId="20112673" w:rsidR="00DB6FDA" w:rsidRPr="00DB5EB8" w:rsidRDefault="00DB6FDA" w:rsidP="00DB5EB8">
      <w:pPr>
        <w:pStyle w:val="Caption"/>
        <w:spacing w:before="240" w:after="200" w:line="240" w:lineRule="auto"/>
        <w:contextualSpacing w:val="0"/>
        <w:rPr>
          <w:color w:val="00A9CE" w:themeColor="accent1"/>
        </w:rPr>
      </w:pPr>
      <w:bookmarkStart w:id="42" w:name="_Ref359819704"/>
      <w:bookmarkStart w:id="43" w:name="_Toc359885781"/>
      <w:bookmarkStart w:id="44" w:name="_Toc433972608"/>
      <w:r w:rsidRPr="00DB5EB8">
        <w:rPr>
          <w:color w:val="00A9CE" w:themeColor="accent1"/>
        </w:rPr>
        <w:t xml:space="preserve">Figure </w:t>
      </w:r>
      <w:r w:rsidR="00447CD6" w:rsidRPr="00DB5EB8">
        <w:rPr>
          <w:color w:val="00A9CE" w:themeColor="accent1"/>
        </w:rPr>
        <w:fldChar w:fldCharType="begin"/>
      </w:r>
      <w:r w:rsidR="00447CD6" w:rsidRPr="00DB5EB8">
        <w:rPr>
          <w:color w:val="00A9CE" w:themeColor="accent1"/>
        </w:rPr>
        <w:instrText xml:space="preserve"> SEQ Figure \* ARABIC </w:instrText>
      </w:r>
      <w:r w:rsidR="00447CD6" w:rsidRPr="00DB5EB8">
        <w:rPr>
          <w:color w:val="00A9CE" w:themeColor="accent1"/>
        </w:rPr>
        <w:fldChar w:fldCharType="separate"/>
      </w:r>
      <w:r w:rsidR="00165FBD">
        <w:rPr>
          <w:noProof/>
          <w:color w:val="00A9CE" w:themeColor="accent1"/>
        </w:rPr>
        <w:t>3</w:t>
      </w:r>
      <w:r w:rsidR="00447CD6" w:rsidRPr="00DB5EB8">
        <w:rPr>
          <w:color w:val="00A9CE" w:themeColor="accent1"/>
        </w:rPr>
        <w:fldChar w:fldCharType="end"/>
      </w:r>
      <w:bookmarkEnd w:id="42"/>
      <w:r w:rsidRPr="00DB5EB8">
        <w:rPr>
          <w:color w:val="00A9CE" w:themeColor="accent1"/>
        </w:rPr>
        <w:t>: Multiplier for expected future energy efficiency beyond that achieved at 2020</w:t>
      </w:r>
      <w:bookmarkEnd w:id="43"/>
      <w:bookmarkEnd w:id="44"/>
    </w:p>
    <w:p w14:paraId="3586767E" w14:textId="4FE70687" w:rsidR="00D9266C" w:rsidRDefault="00D9266C" w:rsidP="005758A8">
      <w:pPr>
        <w:spacing w:after="0"/>
        <w:jc w:val="both"/>
      </w:pPr>
    </w:p>
    <w:p w14:paraId="6CF25816" w14:textId="77777777" w:rsidR="005758A8" w:rsidRDefault="005758A8" w:rsidP="005758A8">
      <w:pPr>
        <w:spacing w:after="0"/>
        <w:jc w:val="both"/>
      </w:pPr>
    </w:p>
    <w:p w14:paraId="282A252D" w14:textId="77777777" w:rsidR="005758A8" w:rsidRDefault="005758A8" w:rsidP="005758A8">
      <w:pPr>
        <w:spacing w:after="0"/>
        <w:jc w:val="both"/>
      </w:pPr>
    </w:p>
    <w:p w14:paraId="3779B71B" w14:textId="70E25291" w:rsidR="0017018E" w:rsidRDefault="0017018E" w:rsidP="0017018E">
      <w:r>
        <w:lastRenderedPageBreak/>
        <w:t>Generally, further changes to efficiency are assumed to become available after 2020 producing a compound effect but with subsequent decades only being able to achieve 50% of the relative efficiency gains of the preceding decade. The exception</w:t>
      </w:r>
      <w:r w:rsidR="00D96E9D">
        <w:t>s</w:t>
      </w:r>
      <w:r>
        <w:t xml:space="preserve"> to </w:t>
      </w:r>
      <w:r w:rsidR="00D96E9D">
        <w:t>the above, formalised expectations</w:t>
      </w:r>
      <w:r>
        <w:t xml:space="preserve"> </w:t>
      </w:r>
      <w:r w:rsidR="00D96E9D">
        <w:t>are</w:t>
      </w:r>
      <w:r>
        <w:t xml:space="preserve"> in the Mining secto</w:t>
      </w:r>
      <w:r w:rsidR="00D96E9D">
        <w:t>r and the Manufacturing sector.</w:t>
      </w:r>
    </w:p>
    <w:p w14:paraId="53724E11" w14:textId="77777777" w:rsidR="00411C37" w:rsidRDefault="0017018E" w:rsidP="00411C37">
      <w:pPr>
        <w:spacing w:after="0"/>
      </w:pPr>
      <w:r>
        <w:t xml:space="preserve">Processes that are heavily used in the Manufacturing sub sectors of ferrous and non-ferrous metals production and cement production are assumed to be already close to their thermodynamic limit and no further efficiency gains beyond those specified in </w:t>
      </w:r>
      <w:r w:rsidR="00411C37">
        <w:t xml:space="preserve">are possible. </w:t>
      </w:r>
    </w:p>
    <w:p w14:paraId="6329B20C" w14:textId="77777777" w:rsidR="00411C37" w:rsidRDefault="00411C37" w:rsidP="00411C37">
      <w:pPr>
        <w:spacing w:after="0"/>
      </w:pPr>
    </w:p>
    <w:p w14:paraId="51A06853" w14:textId="38E27996" w:rsidR="00DB6FDA" w:rsidRPr="005A7789" w:rsidRDefault="00411C37" w:rsidP="00DB6FDA">
      <w:r>
        <w:t>Three main processes involved</w:t>
      </w:r>
      <w:r w:rsidRPr="004275B7">
        <w:t xml:space="preserve"> </w:t>
      </w:r>
      <w:r>
        <w:t>are: blast furnaces, furnaces/ kilns and electrolytic processes. The end use of energy by the capital stock of these processes is dominated (&gt;95%) by ferrous and non-ferrous metals production and cement production and constitutes approximately 20% of energy use in the Manufacturing sector, nationally. It is assumed this part of the Manufacturing sector is not open to increasing efficiency gains beyo</w:t>
      </w:r>
      <w:r w:rsidR="000A79EF">
        <w:t xml:space="preserve">nd those identified for </w:t>
      </w:r>
      <w:r w:rsidR="000A79EF" w:rsidRPr="00FF02DC">
        <w:rPr>
          <w:color w:val="auto"/>
        </w:rPr>
        <w:t>2020 in</w:t>
      </w:r>
      <w:r w:rsidR="00761BE7">
        <w:rPr>
          <w:color w:val="auto"/>
        </w:rPr>
        <w:t xml:space="preserve"> Table 3 and Table 5.</w:t>
      </w:r>
      <w:r w:rsidR="00477283">
        <w:rPr>
          <w:color w:val="auto"/>
        </w:rPr>
        <w:t xml:space="preserve">           </w:t>
      </w:r>
    </w:p>
    <w:p w14:paraId="11CF1C8F" w14:textId="52A8B75E" w:rsidR="0017018E" w:rsidRPr="006D07FA" w:rsidRDefault="0017018E" w:rsidP="006D07FA">
      <w:pPr>
        <w:pStyle w:val="Heading1"/>
        <w:numPr>
          <w:ilvl w:val="0"/>
          <w:numId w:val="13"/>
        </w:numPr>
        <w:tabs>
          <w:tab w:val="clear" w:pos="1134"/>
          <w:tab w:val="left" w:pos="851"/>
        </w:tabs>
        <w:spacing w:after="1080"/>
        <w:rPr>
          <w:color w:val="00A9CE" w:themeColor="accent1"/>
        </w:rPr>
      </w:pPr>
      <w:bookmarkStart w:id="45" w:name="_Toc359885769"/>
      <w:bookmarkStart w:id="46" w:name="_Toc433975080"/>
      <w:r w:rsidRPr="006D07FA">
        <w:rPr>
          <w:color w:val="00A9CE" w:themeColor="accent1"/>
        </w:rPr>
        <w:lastRenderedPageBreak/>
        <w:t>Energy</w:t>
      </w:r>
      <w:bookmarkEnd w:id="45"/>
      <w:bookmarkEnd w:id="46"/>
    </w:p>
    <w:p w14:paraId="51875CB6" w14:textId="44AB02DD" w:rsidR="0017018E" w:rsidRDefault="0017018E" w:rsidP="0017018E">
      <w:r>
        <w:t xml:space="preserve">All sectors except Electricity Generation are </w:t>
      </w:r>
      <w:r w:rsidR="00D96E9D">
        <w:t>considered</w:t>
      </w:r>
      <w:r>
        <w:t xml:space="preserve"> here. The future efficiency of the Electricity Generation sector is the topic of the Energy Sector Model (ESM) </w:t>
      </w:r>
      <w:r w:rsidR="00D96E9D">
        <w:t>that</w:t>
      </w:r>
      <w:r>
        <w:t xml:space="preserve"> operates independently of MEFISTO elsewhere in the </w:t>
      </w:r>
      <w:r w:rsidR="00943AF1" w:rsidRPr="00FF02DC">
        <w:rPr>
          <w:i/>
        </w:rPr>
        <w:t>Australian National Outlook</w:t>
      </w:r>
      <w:r w:rsidR="00943AF1">
        <w:t xml:space="preserve"> (</w:t>
      </w:r>
      <w:r>
        <w:t>ANO</w:t>
      </w:r>
      <w:r w:rsidR="00943AF1">
        <w:t>)</w:t>
      </w:r>
      <w:r>
        <w:t xml:space="preserve"> project. Unless elsewhere defined, ‘energy use’ is synonymous with ‘energy consumption’ and is defined as in the Energy Statistics Tables from </w:t>
      </w:r>
      <w:r w:rsidRPr="00E05DC1">
        <w:t>BREE</w:t>
      </w:r>
      <w:r w:rsidRPr="00E05DC1">
        <w:rPr>
          <w:rStyle w:val="FootnoteReference"/>
        </w:rPr>
        <w:footnoteReference w:id="3"/>
      </w:r>
      <w:r w:rsidRPr="00E05DC1">
        <w:t xml:space="preserve"> as</w:t>
      </w:r>
      <w:r>
        <w:t>: “</w:t>
      </w:r>
      <w:r w:rsidRPr="00D0010D">
        <w:t>Total net energy consumption is equal to the consumption of all fuels minus the production of derived fuels.</w:t>
      </w:r>
      <w:r>
        <w:t xml:space="preserve">” Residential energy intensity is treated differently to other sectors being measured initially in Gigajoules per dwelling (GJ/dwelling) then that is multiplied by a projected national total need for dwellings according to population forecast developed specifically for this project </w:t>
      </w:r>
      <w:r>
        <w:fldChar w:fldCharType="begin"/>
      </w:r>
      <w:r w:rsidR="00D04510">
        <w:instrText xml:space="preserve"> ADDIN EN.CITE &lt;EndNote&gt;&lt;Cite&gt;&lt;Author&gt;ABS&lt;/Author&gt;&lt;Year&gt;2013&lt;/Year&gt;&lt;RecNum&gt;1315&lt;/RecNum&gt;&lt;DisplayText&gt;(ABS, 2013a)&lt;/DisplayText&gt;&lt;record&gt;&lt;rec-number&gt;1315&lt;/rec-number&gt;&lt;foreign-keys&gt;&lt;key app="EN" db-id="2fve9zwtn9aw0wexz5q5f9afred05travrs5"&gt;1315&lt;/key&gt;&lt;/foreign-keys&gt;&lt;ref-type name="Report"&gt;27&lt;/ref-type&gt;&lt;contributors&gt;&lt;authors&gt;&lt;author&gt;ABS,&lt;/author&gt;&lt;/authors&gt;&lt;/contributors&gt;&lt;titles&gt;&lt;title&gt;Customised Report&lt;/title&gt;&lt;/titles&gt;&lt;dates&gt;&lt;year&gt;2013&lt;/year&gt;&lt;/dates&gt;&lt;pub-location&gt;Canberra&lt;/pub-location&gt;&lt;publisher&gt;Australian Bureau of Statistics for CSIRO&lt;/publisher&gt;&lt;urls&gt;&lt;/urls&gt;&lt;/record&gt;&lt;/Cite&gt;&lt;/EndNote&gt;</w:instrText>
      </w:r>
      <w:r>
        <w:fldChar w:fldCharType="separate"/>
      </w:r>
      <w:r w:rsidR="00D04510">
        <w:rPr>
          <w:noProof/>
        </w:rPr>
        <w:t>(</w:t>
      </w:r>
      <w:hyperlink w:anchor="_ENREF_1" w:tooltip="ABS, 2013 #1315" w:history="1">
        <w:r w:rsidR="00D04510">
          <w:rPr>
            <w:noProof/>
          </w:rPr>
          <w:t>ABS, 2013a</w:t>
        </w:r>
      </w:hyperlink>
      <w:r w:rsidR="00D04510">
        <w:rPr>
          <w:noProof/>
        </w:rPr>
        <w:t>)</w:t>
      </w:r>
      <w:r>
        <w:fldChar w:fldCharType="end"/>
      </w:r>
      <w:r>
        <w:t>.</w:t>
      </w:r>
    </w:p>
    <w:p w14:paraId="50FC85E3" w14:textId="77777777" w:rsidR="0017018E" w:rsidRPr="001B3113" w:rsidRDefault="0017018E" w:rsidP="008F696F">
      <w:pPr>
        <w:pStyle w:val="Heading2"/>
        <w:numPr>
          <w:ilvl w:val="1"/>
          <w:numId w:val="13"/>
        </w:numPr>
        <w:rPr>
          <w:color w:val="00A9CE" w:themeColor="accent1"/>
          <w:szCs w:val="32"/>
        </w:rPr>
      </w:pPr>
      <w:bookmarkStart w:id="47" w:name="_Toc359885770"/>
      <w:bookmarkStart w:id="48" w:name="_Toc433975081"/>
      <w:r w:rsidRPr="001B3113">
        <w:rPr>
          <w:color w:val="00A9CE" w:themeColor="accent1"/>
          <w:szCs w:val="32"/>
        </w:rPr>
        <w:t>Historical data</w:t>
      </w:r>
      <w:bookmarkEnd w:id="47"/>
      <w:bookmarkEnd w:id="48"/>
    </w:p>
    <w:p w14:paraId="02A93228" w14:textId="6BDE5D94" w:rsidR="0017018E" w:rsidRDefault="0017018E" w:rsidP="0017018E">
      <w:r>
        <w:t>Detailed data from is available from BREE as the Australian Energy Statistics Tables and was aggregated to the sectors represented in MEFISTO. Detail on energy end</w:t>
      </w:r>
      <w:r w:rsidR="00462708">
        <w:t>-</w:t>
      </w:r>
      <w:r>
        <w:t>use in the Residential sector was sourced from Appendix G of the report</w:t>
      </w:r>
      <w:r w:rsidRPr="00A326F1">
        <w:t xml:space="preserve"> </w:t>
      </w:r>
      <w:r w:rsidRPr="00A326F1">
        <w:rPr>
          <w:i/>
        </w:rPr>
        <w:t>Energy use in the Australian residential sector 1986</w:t>
      </w:r>
      <w:r w:rsidR="00943AF1">
        <w:rPr>
          <w:i/>
        </w:rPr>
        <w:t>–</w:t>
      </w:r>
      <w:r w:rsidRPr="00A326F1">
        <w:rPr>
          <w:i/>
        </w:rPr>
        <w:t>2020</w:t>
      </w:r>
      <w:r>
        <w:t xml:space="preserve"> </w:t>
      </w:r>
      <w:r>
        <w:fldChar w:fldCharType="begin"/>
      </w:r>
      <w:r w:rsidR="00D04510">
        <w:instrText xml:space="preserve"> ADDIN EN.CITE &lt;EndNote&gt;&lt;Cite&gt;&lt;Author&gt;Department of the Environment Water Heritage and the Arts&lt;/Author&gt;&lt;Year&gt;2008&lt;/Year&gt;&lt;RecNum&gt;321&lt;/RecNum&gt;&lt;DisplayText&gt;(Department of the Environment Water Heritage and the Arts, 2008)&lt;/DisplayText&gt;&lt;record&gt;&lt;rec-number&gt;321&lt;/rec-number&gt;&lt;foreign-keys&gt;&lt;key app="EN" db-id="t55vefr95ws0pgeffdlvtde0tdta909p2zv9"&gt;321&lt;/key&gt;&lt;/foreign-keys&gt;&lt;ref-type name="Book"&gt;6&lt;/ref-type&gt;&lt;contributors&gt;&lt;authors&gt;&lt;author&gt;Department of the Environment Water Heritage and the Arts,&lt;/author&gt;&lt;/authors&gt;&lt;/contributors&gt;&lt;titles&gt;&lt;title&gt;Energy use in the Australian residential sector 1986-2020&lt;/title&gt;&lt;/titles&gt;&lt;dates&gt;&lt;year&gt;2008&lt;/year&gt;&lt;/dates&gt;&lt;pub-location&gt;Canberra&lt;/pub-location&gt;&lt;publisher&gt;Commonwealth of Australia&lt;/publisher&gt;&lt;isbn&gt;978-1-921298-14-1&lt;/isbn&gt;&lt;urls&gt;&lt;related-urls&gt;&lt;url&gt;http://www.climatechange.gov.au/what-you-need-to-know/buildings/publications/energy-use.aspx&lt;/url&gt;&lt;/related-urls&gt;&lt;/urls&gt;&lt;/record&gt;&lt;/Cite&gt;&lt;/EndNote&gt;</w:instrText>
      </w:r>
      <w:r>
        <w:fldChar w:fldCharType="separate"/>
      </w:r>
      <w:r w:rsidR="00D04510">
        <w:rPr>
          <w:noProof/>
        </w:rPr>
        <w:t>(</w:t>
      </w:r>
      <w:hyperlink w:anchor="_ENREF_11" w:tooltip="Department of the Environment Water Heritage and the Arts, 2008 #321" w:history="1">
        <w:r w:rsidR="006D68BE">
          <w:rPr>
            <w:noProof/>
          </w:rPr>
          <w:t>DEWHA, 2008</w:t>
        </w:r>
      </w:hyperlink>
      <w:r w:rsidR="00D04510">
        <w:rPr>
          <w:noProof/>
        </w:rPr>
        <w:t>)</w:t>
      </w:r>
      <w:r>
        <w:fldChar w:fldCharType="end"/>
      </w:r>
      <w:r>
        <w:t xml:space="preserve"> and totals cross checked with the data from </w:t>
      </w:r>
      <w:r w:rsidR="00DA28AF" w:rsidRPr="00E05DC1">
        <w:t xml:space="preserve">the </w:t>
      </w:r>
      <w:r w:rsidRPr="00E05DC1">
        <w:t>Australian Energy Statistics</w:t>
      </w:r>
      <w:r w:rsidR="00E8285B" w:rsidRPr="00E05DC1">
        <w:t>’</w:t>
      </w:r>
      <w:r w:rsidRPr="00E05DC1">
        <w:t xml:space="preserve"> Table F </w:t>
      </w:r>
      <w:r w:rsidRPr="00E05DC1">
        <w:fldChar w:fldCharType="begin"/>
      </w:r>
      <w:r w:rsidR="00D04510" w:rsidRPr="00E05DC1">
        <w:instrText xml:space="preserve"> ADDIN EN.CITE &lt;EndNote&gt;&lt;Cite&gt;&lt;Author&gt;Bureau of Resources and Energy Economics&lt;/Author&gt;&lt;Year&gt;2012&lt;/Year&gt;&lt;RecNum&gt;209&lt;/RecNum&gt;&lt;DisplayText&gt;(Bureau of Resources and Energy Economics, 2012)&lt;/DisplayText&gt;&lt;record&gt;&lt;rec-number&gt;209&lt;/rec-number&gt;&lt;foreign-keys&gt;&lt;key app="EN" db-id="t55vefr95ws0pgeffdlvtde0tdta909p2zv9"&gt;209&lt;/key&gt;&lt;/foreign-keys&gt;&lt;ref-type name="Electronic Article"&gt;43&lt;/ref-type&gt;&lt;contributors&gt;&lt;authors&gt;&lt;author&gt;Bureau of Resources and Energy Economics,&lt;/author&gt;&lt;/authors&gt;&lt;/contributors&gt;&lt;titles&gt;&lt;title&gt;Australian energy statistics data: Table F&lt;/title&gt;&lt;/titles&gt;&lt;dates&gt;&lt;year&gt;2012&lt;/year&gt;&lt;pub-dates&gt;&lt;date&gt;12th june 2013&lt;/date&gt;&lt;/pub-dates&gt;&lt;/dates&gt;&lt;pub-location&gt;Canberra&lt;/pub-location&gt;&lt;urls&gt;&lt;related-urls&gt;&lt;url&gt;http://www.bree.gov.au/publications/aes-2012.html&lt;/url&gt;&lt;/related-urls&gt;&lt;/urls&gt;&lt;/record&gt;&lt;/Cite&gt;&lt;/EndNote&gt;</w:instrText>
      </w:r>
      <w:r w:rsidRPr="00E05DC1">
        <w:fldChar w:fldCharType="separate"/>
      </w:r>
      <w:r w:rsidR="00D04510" w:rsidRPr="00E05DC1">
        <w:rPr>
          <w:noProof/>
        </w:rPr>
        <w:t>(</w:t>
      </w:r>
      <w:hyperlink w:anchor="_ENREF_9" w:tooltip="Bureau of Resources and Energy Economics, 2012 #209" w:history="1">
        <w:r w:rsidR="00DA28AF" w:rsidRPr="00E05DC1">
          <w:rPr>
            <w:noProof/>
          </w:rPr>
          <w:t>Stark et al., 2012</w:t>
        </w:r>
      </w:hyperlink>
      <w:r w:rsidR="00D04510" w:rsidRPr="00E05DC1">
        <w:rPr>
          <w:noProof/>
        </w:rPr>
        <w:t>)</w:t>
      </w:r>
      <w:r w:rsidRPr="00E05DC1">
        <w:fldChar w:fldCharType="end"/>
      </w:r>
      <w:r w:rsidRPr="00E05DC1">
        <w:t>.</w:t>
      </w:r>
    </w:p>
    <w:p w14:paraId="2FF5D018" w14:textId="77777777" w:rsidR="0017018E" w:rsidRPr="001B3113" w:rsidRDefault="0017018E" w:rsidP="008F696F">
      <w:pPr>
        <w:pStyle w:val="Heading2"/>
        <w:numPr>
          <w:ilvl w:val="1"/>
          <w:numId w:val="13"/>
        </w:numPr>
        <w:rPr>
          <w:color w:val="00A9CE" w:themeColor="accent1"/>
          <w:szCs w:val="32"/>
        </w:rPr>
      </w:pPr>
      <w:bookmarkStart w:id="49" w:name="_Toc359885771"/>
      <w:bookmarkStart w:id="50" w:name="_Toc433975082"/>
      <w:r w:rsidRPr="001B3113">
        <w:rPr>
          <w:color w:val="00A9CE" w:themeColor="accent1"/>
          <w:szCs w:val="32"/>
        </w:rPr>
        <w:t>Current Trends</w:t>
      </w:r>
      <w:bookmarkEnd w:id="49"/>
      <w:bookmarkEnd w:id="50"/>
    </w:p>
    <w:p w14:paraId="5C3A67FE" w14:textId="771FC558" w:rsidR="00177E20" w:rsidRDefault="0017018E" w:rsidP="00177E20">
      <w:pPr>
        <w:spacing w:after="0"/>
      </w:pPr>
      <w:r>
        <w:t xml:space="preserve">We have had privileged access to the </w:t>
      </w:r>
      <w:r w:rsidRPr="009A3301">
        <w:t xml:space="preserve">Industrial Energy Efficiency Analysis Tool </w:t>
      </w:r>
      <w:r>
        <w:fldChar w:fldCharType="begin"/>
      </w:r>
      <w:r w:rsidR="00D04510">
        <w:instrText xml:space="preserve"> ADDIN EN.CITE &lt;EndNote&gt;&lt;Cite&gt;&lt;Author&gt;ClimateWorks Australia&lt;/Author&gt;&lt;Year&gt;2013&lt;/Year&gt;&lt;RecNum&gt;263&lt;/RecNum&gt;&lt;DisplayText&gt;(ClimateWorks Australia, 2013)&lt;/DisplayText&gt;&lt;record&gt;&lt;rec-number&gt;263&lt;/rec-number&gt;&lt;foreign-keys&gt;&lt;key app="EN" db-id="t55vefr95ws0pgeffdlvtde0tdta909p2zv9"&gt;263&lt;/key&gt;&lt;/foreign-keys&gt;&lt;ref-type name="Report"&gt;27&lt;/ref-type&gt;&lt;contributors&gt;&lt;authors&gt;&lt;author&gt;ClimateWorks Australia,&lt;/author&gt;&lt;/authors&gt;&lt;/contributors&gt;&lt;titles&gt;&lt;title&gt;Industrial Energy Efficiency Data Analysis &lt;/title&gt;&lt;/titles&gt;&lt;dates&gt;&lt;year&gt;2013&lt;/year&gt;&lt;pub-dates&gt;&lt;date&gt;May&lt;/date&gt;&lt;/pub-dates&gt;&lt;/dates&gt;&lt;urls&gt;&lt;related-urls&gt;&lt;url&gt;http://climateworksaustralia.org/project/current/industrial-energy-efficiency-data-analysis&lt;/url&gt;&lt;url&gt;http://www.climateworksaustralia.org/sites/default/files/documents/publications/climateworks_esi_ieedap_report_jul2012.pdf&lt;/url&gt;&lt;/related-urls&gt;&lt;/urls&gt;&lt;/record&gt;&lt;/Cite&gt;&lt;/EndNote&gt;</w:instrText>
      </w:r>
      <w:r>
        <w:fldChar w:fldCharType="separate"/>
      </w:r>
      <w:r w:rsidR="00D04510">
        <w:rPr>
          <w:noProof/>
        </w:rPr>
        <w:t>(</w:t>
      </w:r>
      <w:hyperlink w:anchor="_ENREF_10" w:tooltip="ClimateWorks Australia, 2013 #263" w:history="1">
        <w:r w:rsidR="00D04510">
          <w:rPr>
            <w:noProof/>
          </w:rPr>
          <w:t>ClimateWorks Australia, 2013</w:t>
        </w:r>
      </w:hyperlink>
      <w:r w:rsidR="00D04510">
        <w:rPr>
          <w:noProof/>
        </w:rPr>
        <w:t>)</w:t>
      </w:r>
      <w:r>
        <w:fldChar w:fldCharType="end"/>
      </w:r>
      <w:r>
        <w:t xml:space="preserve"> originally </w:t>
      </w:r>
      <w:r w:rsidRPr="009A3301">
        <w:t>developed</w:t>
      </w:r>
      <w:r>
        <w:t xml:space="preserve"> by ClimateWorks</w:t>
      </w:r>
      <w:r>
        <w:rPr>
          <w:rStyle w:val="FootnoteReference"/>
        </w:rPr>
        <w:footnoteReference w:id="4"/>
      </w:r>
      <w:r>
        <w:t xml:space="preserve"> </w:t>
      </w:r>
      <w:r w:rsidRPr="009A3301">
        <w:t xml:space="preserve">in the context of the Industrial Energy Efficiency Data Analysis Project (IEEDAP). </w:t>
      </w:r>
      <w:r>
        <w:t xml:space="preserve">From </w:t>
      </w:r>
      <w:r w:rsidR="00B32910">
        <w:t>this tool we have acquired the base</w:t>
      </w:r>
      <w:r>
        <w:t xml:space="preserve"> assumptions about Current Trend energy efficiency improvements self-identified by industry – see</w:t>
      </w:r>
      <w:r w:rsidRPr="004A26FB">
        <w:rPr>
          <w:color w:val="auto"/>
        </w:rPr>
        <w:t xml:space="preserve"> </w:t>
      </w:r>
      <w:r w:rsidR="00E6290E">
        <w:rPr>
          <w:color w:val="auto"/>
        </w:rPr>
        <w:t>Table 3</w:t>
      </w:r>
      <w:r>
        <w:t>.</w:t>
      </w:r>
    </w:p>
    <w:p w14:paraId="330E16D5" w14:textId="47B46BD1" w:rsidR="0017018E" w:rsidRDefault="0017018E" w:rsidP="00177E20">
      <w:pPr>
        <w:spacing w:after="0"/>
      </w:pPr>
      <w:r>
        <w:t xml:space="preserve"> </w:t>
      </w:r>
    </w:p>
    <w:p w14:paraId="3E8EBFB2" w14:textId="77777777" w:rsidR="0017018E" w:rsidRDefault="0017018E" w:rsidP="004711E8">
      <w:pPr>
        <w:spacing w:after="0"/>
      </w:pPr>
      <w:r>
        <w:t>The absolute numbers of energy use in Terajoules (TJ) in</w:t>
      </w:r>
      <w:r w:rsidR="004711E8">
        <w:t xml:space="preserve"> </w:t>
      </w:r>
      <w:r>
        <w:t>are not equivalent to the total energy use in those sectors as the data in IEEDAP is a sample. However relative measures of efficiency improvement were assumed to apply across the whole of the respective sector.</w:t>
      </w:r>
    </w:p>
    <w:p w14:paraId="3A174ACA" w14:textId="77777777" w:rsidR="00D96E9D" w:rsidRDefault="00D96E9D" w:rsidP="004711E8">
      <w:pPr>
        <w:spacing w:after="0"/>
      </w:pPr>
    </w:p>
    <w:p w14:paraId="055CF319" w14:textId="54760084" w:rsidR="007254E6" w:rsidRDefault="00D96E9D" w:rsidP="00D96E9D">
      <w:r>
        <w:t>Several ANZSIC sectors are missing from the IEEDAP analysis,</w:t>
      </w:r>
      <w:r w:rsidR="00B32910">
        <w:t xml:space="preserve"> specifically those that</w:t>
      </w:r>
      <w:r>
        <w:t xml:space="preserve"> we have represented in our Commercial and Services sector. Potential energy efficiency improvements in that sector were estimated from the data available on star rated commercial buildings from the </w:t>
      </w:r>
      <w:r w:rsidRPr="007A1ED4">
        <w:t>National Australian Built Environment Rating System</w:t>
      </w:r>
      <w:r>
        <w:t xml:space="preserve"> (NABERS</w:t>
      </w:r>
      <w:r>
        <w:rPr>
          <w:rStyle w:val="FootnoteReference"/>
        </w:rPr>
        <w:footnoteReference w:id="5"/>
      </w:r>
      <w:r>
        <w:t>). Based on NABERS’ records the average commercial building would rate around 3.5 stars or an average energy intensity of 550 MJ/m². The Current Trend for the Commercial and Services sector is flat and so this spatial efficiency would remain until 2050.</w:t>
      </w:r>
      <w:bookmarkStart w:id="51" w:name="_Ref352248542"/>
      <w:bookmarkStart w:id="52" w:name="_Toc359911307"/>
    </w:p>
    <w:p w14:paraId="4DFEAB62" w14:textId="77777777" w:rsidR="009F5AE5" w:rsidRDefault="009F5AE5" w:rsidP="00D96E9D"/>
    <w:p w14:paraId="62EE2AF6" w14:textId="77777777" w:rsidR="009F5AE5" w:rsidRDefault="009F5AE5" w:rsidP="00D96E9D"/>
    <w:p w14:paraId="65F31BD2" w14:textId="77777777" w:rsidR="009F5AE5" w:rsidRDefault="009F5AE5" w:rsidP="00D96E9D"/>
    <w:p w14:paraId="3A7F3C2E" w14:textId="77777777" w:rsidR="009F5AE5" w:rsidRPr="00D96E9D" w:rsidRDefault="009F5AE5" w:rsidP="00D96E9D"/>
    <w:p w14:paraId="378B37EA" w14:textId="77777777" w:rsidR="004519DA" w:rsidRDefault="004519DA" w:rsidP="004519DA">
      <w:bookmarkStart w:id="53" w:name="_Ref299020242"/>
      <w:bookmarkStart w:id="54" w:name="_Toc433977520"/>
    </w:p>
    <w:p w14:paraId="32355D96" w14:textId="77777777" w:rsidR="004519DA" w:rsidRPr="004519DA" w:rsidRDefault="004519DA" w:rsidP="004519DA"/>
    <w:p w14:paraId="59E6BAFB" w14:textId="758D0DBD" w:rsidR="0017018E" w:rsidRPr="00DB5EB8" w:rsidRDefault="004A26FB" w:rsidP="0017018E">
      <w:pPr>
        <w:pStyle w:val="Title"/>
        <w:rPr>
          <w:rFonts w:eastAsia="Calibri"/>
          <w:color w:val="00A9CE" w:themeColor="accent1"/>
          <w:kern w:val="0"/>
          <w:sz w:val="20"/>
          <w:szCs w:val="18"/>
          <w:lang w:eastAsia="en-AU"/>
        </w:rPr>
      </w:pPr>
      <w:r w:rsidRPr="004519DA">
        <w:rPr>
          <w:rFonts w:eastAsia="Calibri"/>
          <w:color w:val="00A9CE" w:themeColor="accent1"/>
          <w:kern w:val="0"/>
          <w:sz w:val="20"/>
          <w:szCs w:val="18"/>
          <w:lang w:eastAsia="en-AU"/>
        </w:rPr>
        <w:t>T</w:t>
      </w:r>
      <w:r w:rsidR="0017018E" w:rsidRPr="00DB5EB8">
        <w:rPr>
          <w:rFonts w:eastAsia="Calibri"/>
          <w:color w:val="00A9CE" w:themeColor="accent1"/>
          <w:kern w:val="0"/>
          <w:sz w:val="20"/>
          <w:szCs w:val="18"/>
          <w:lang w:eastAsia="en-AU"/>
        </w:rPr>
        <w:t xml:space="preserve">able </w:t>
      </w:r>
      <w:r w:rsidR="00447CD6" w:rsidRPr="00DB5EB8">
        <w:rPr>
          <w:rFonts w:eastAsia="Calibri"/>
          <w:color w:val="00A9CE" w:themeColor="accent1"/>
          <w:kern w:val="0"/>
          <w:sz w:val="20"/>
          <w:szCs w:val="18"/>
          <w:lang w:eastAsia="en-AU"/>
        </w:rPr>
        <w:fldChar w:fldCharType="begin"/>
      </w:r>
      <w:r w:rsidR="00447CD6" w:rsidRPr="00DB5EB8">
        <w:rPr>
          <w:rFonts w:eastAsia="Calibri"/>
          <w:color w:val="00A9CE" w:themeColor="accent1"/>
          <w:kern w:val="0"/>
          <w:sz w:val="20"/>
          <w:szCs w:val="18"/>
          <w:lang w:eastAsia="en-AU"/>
        </w:rPr>
        <w:instrText xml:space="preserve"> SEQ Table \* ARABIC </w:instrText>
      </w:r>
      <w:r w:rsidR="00447CD6" w:rsidRPr="00DB5EB8">
        <w:rPr>
          <w:rFonts w:eastAsia="Calibri"/>
          <w:color w:val="00A9CE" w:themeColor="accent1"/>
          <w:kern w:val="0"/>
          <w:sz w:val="20"/>
          <w:szCs w:val="18"/>
          <w:lang w:eastAsia="en-AU"/>
        </w:rPr>
        <w:fldChar w:fldCharType="separate"/>
      </w:r>
      <w:r w:rsidR="0048332C">
        <w:rPr>
          <w:rFonts w:eastAsia="Calibri"/>
          <w:color w:val="00A9CE" w:themeColor="accent1"/>
          <w:kern w:val="0"/>
          <w:sz w:val="20"/>
          <w:szCs w:val="18"/>
          <w:lang w:eastAsia="en-AU"/>
        </w:rPr>
        <w:t>3</w:t>
      </w:r>
      <w:r w:rsidR="00447CD6" w:rsidRPr="00DB5EB8">
        <w:rPr>
          <w:rFonts w:eastAsia="Calibri"/>
          <w:color w:val="00A9CE" w:themeColor="accent1"/>
          <w:kern w:val="0"/>
          <w:sz w:val="20"/>
          <w:szCs w:val="18"/>
          <w:lang w:eastAsia="en-AU"/>
        </w:rPr>
        <w:fldChar w:fldCharType="end"/>
      </w:r>
      <w:bookmarkEnd w:id="51"/>
      <w:bookmarkEnd w:id="53"/>
      <w:r w:rsidR="0017018E" w:rsidRPr="00DB5EB8">
        <w:rPr>
          <w:rFonts w:eastAsia="Calibri"/>
          <w:color w:val="00A9CE" w:themeColor="accent1"/>
          <w:kern w:val="0"/>
          <w:sz w:val="20"/>
          <w:szCs w:val="18"/>
          <w:lang w:eastAsia="en-AU"/>
        </w:rPr>
        <w:t>: Data derived (for a sample of all businesses) from IEEDAP used to define the “Base” or Current Trend efficiency changes in selected non-agricultural industries.</w:t>
      </w:r>
      <w:bookmarkEnd w:id="52"/>
      <w:bookmarkEnd w:id="54"/>
    </w:p>
    <w:tbl>
      <w:tblPr>
        <w:tblW w:w="5000" w:type="pct"/>
        <w:tblLook w:val="04A0" w:firstRow="1" w:lastRow="0" w:firstColumn="1" w:lastColumn="0" w:noHBand="0" w:noVBand="1"/>
        <w:tblCaption w:val="Data derived from IEEDAP used to define the base or current trend efficiency changes in selected non-agricultural industries"/>
        <w:tblDescription w:val="Table three has three columns: two thousand and twenty Projected Energy Saving heads a list of business sectors; Current Energy Use, provides energy use per sector in terrajoules; Base percent change in use, notes base change in enegy use as percentages. Where multiple sectors cluster into an industry, subtotals are provided under current energy use and base percent change in use. An overall total is provided as the last entry in the table. The data represents a sample of all business."/>
      </w:tblPr>
      <w:tblGrid>
        <w:gridCol w:w="5482"/>
        <w:gridCol w:w="2332"/>
        <w:gridCol w:w="1824"/>
      </w:tblGrid>
      <w:tr w:rsidR="0017018E" w:rsidRPr="00D0010D" w14:paraId="5603B99D" w14:textId="77777777" w:rsidTr="00FF02DC">
        <w:trPr>
          <w:trHeight w:val="300"/>
        </w:trPr>
        <w:tc>
          <w:tcPr>
            <w:tcW w:w="2844" w:type="pct"/>
            <w:shd w:val="clear" w:color="auto" w:fill="000000" w:themeFill="text1"/>
            <w:noWrap/>
            <w:vAlign w:val="center"/>
            <w:hideMark/>
          </w:tcPr>
          <w:p w14:paraId="2EE5AD13" w14:textId="77777777" w:rsidR="0017018E" w:rsidRPr="007254E6" w:rsidRDefault="0017018E" w:rsidP="00FF02DC">
            <w:pPr>
              <w:pStyle w:val="ColumnHeading"/>
              <w:spacing w:before="120" w:after="60"/>
            </w:pPr>
            <w:r w:rsidRPr="007254E6">
              <w:t>2020 Projected Energy Savings</w:t>
            </w:r>
          </w:p>
        </w:tc>
        <w:tc>
          <w:tcPr>
            <w:tcW w:w="1210" w:type="pct"/>
            <w:shd w:val="clear" w:color="auto" w:fill="000000" w:themeFill="text1"/>
            <w:noWrap/>
            <w:vAlign w:val="center"/>
            <w:hideMark/>
          </w:tcPr>
          <w:p w14:paraId="3C2D873F" w14:textId="56998E6D" w:rsidR="0017018E" w:rsidRPr="007254E6" w:rsidRDefault="0017018E" w:rsidP="00FF02DC">
            <w:pPr>
              <w:pStyle w:val="ColumnHeading"/>
              <w:spacing w:before="120" w:after="60"/>
              <w:jc w:val="center"/>
            </w:pPr>
            <w:r w:rsidRPr="007254E6">
              <w:t>Current Energy Use</w:t>
            </w:r>
            <w:r w:rsidR="00C10B42">
              <w:t xml:space="preserve"> </w:t>
            </w:r>
            <w:r w:rsidR="00C10B42">
              <w:br/>
            </w:r>
            <w:r w:rsidRPr="007254E6">
              <w:t>(TJ)</w:t>
            </w:r>
          </w:p>
        </w:tc>
        <w:tc>
          <w:tcPr>
            <w:tcW w:w="946" w:type="pct"/>
            <w:shd w:val="clear" w:color="auto" w:fill="000000" w:themeFill="text1"/>
            <w:vAlign w:val="center"/>
          </w:tcPr>
          <w:p w14:paraId="39AA5175" w14:textId="4FD032D0" w:rsidR="00C10B42" w:rsidRPr="007254E6" w:rsidRDefault="0017018E" w:rsidP="00FF02DC">
            <w:pPr>
              <w:pStyle w:val="ColumnHeading"/>
              <w:spacing w:before="120" w:after="60"/>
              <w:jc w:val="center"/>
            </w:pPr>
            <w:r w:rsidRPr="007254E6">
              <w:t xml:space="preserve">Base % </w:t>
            </w:r>
            <w:r w:rsidR="00C10B42">
              <w:br/>
            </w:r>
            <w:r w:rsidRPr="007254E6">
              <w:t>changein use</w:t>
            </w:r>
          </w:p>
        </w:tc>
      </w:tr>
      <w:tr w:rsidR="0017018E" w:rsidRPr="00D0010D" w14:paraId="36A90489" w14:textId="77777777" w:rsidTr="00FF02DC">
        <w:trPr>
          <w:trHeight w:val="300"/>
        </w:trPr>
        <w:tc>
          <w:tcPr>
            <w:tcW w:w="2844" w:type="pct"/>
            <w:shd w:val="clear" w:color="auto" w:fill="EDEDED"/>
            <w:noWrap/>
            <w:vAlign w:val="bottom"/>
            <w:hideMark/>
          </w:tcPr>
          <w:p w14:paraId="67F49A25" w14:textId="1E3D42BA" w:rsidR="0017018E" w:rsidRPr="00D0010D" w:rsidRDefault="006C6FFD" w:rsidP="00FF02DC">
            <w:pPr>
              <w:pStyle w:val="TableText"/>
            </w:pPr>
            <w:r>
              <w:t xml:space="preserve">Coal </w:t>
            </w:r>
            <w:r w:rsidR="00605F66">
              <w:t>m</w:t>
            </w:r>
            <w:r>
              <w:t>ining</w:t>
            </w:r>
          </w:p>
        </w:tc>
        <w:tc>
          <w:tcPr>
            <w:tcW w:w="1210" w:type="pct"/>
            <w:shd w:val="clear" w:color="auto" w:fill="EDEDED"/>
            <w:noWrap/>
            <w:vAlign w:val="bottom"/>
            <w:hideMark/>
          </w:tcPr>
          <w:p w14:paraId="2DCA5CAD" w14:textId="77777777" w:rsidR="0017018E" w:rsidRPr="00D0010D" w:rsidRDefault="0017018E" w:rsidP="00FF02DC">
            <w:pPr>
              <w:pStyle w:val="TableText"/>
              <w:jc w:val="center"/>
            </w:pPr>
            <w:r w:rsidRPr="00D0010D">
              <w:t>13,962</w:t>
            </w:r>
          </w:p>
        </w:tc>
        <w:tc>
          <w:tcPr>
            <w:tcW w:w="946" w:type="pct"/>
            <w:shd w:val="clear" w:color="auto" w:fill="EDEDED"/>
            <w:vAlign w:val="bottom"/>
          </w:tcPr>
          <w:p w14:paraId="47522D84" w14:textId="77777777" w:rsidR="0017018E" w:rsidRPr="00D0010D" w:rsidRDefault="0017018E" w:rsidP="00FF02DC">
            <w:pPr>
              <w:pStyle w:val="TableText"/>
              <w:jc w:val="center"/>
            </w:pPr>
            <w:r w:rsidRPr="00D0010D">
              <w:t>2.90%</w:t>
            </w:r>
          </w:p>
        </w:tc>
      </w:tr>
      <w:tr w:rsidR="0017018E" w:rsidRPr="00D0010D" w14:paraId="61BE1965" w14:textId="77777777" w:rsidTr="00FF02DC">
        <w:trPr>
          <w:trHeight w:val="300"/>
        </w:trPr>
        <w:tc>
          <w:tcPr>
            <w:tcW w:w="2844" w:type="pct"/>
            <w:shd w:val="clear" w:color="auto" w:fill="auto"/>
            <w:noWrap/>
            <w:vAlign w:val="bottom"/>
            <w:hideMark/>
          </w:tcPr>
          <w:p w14:paraId="0D1FBE9C" w14:textId="726B5037" w:rsidR="0017018E" w:rsidRPr="00D0010D" w:rsidRDefault="006C6FFD" w:rsidP="00FF02DC">
            <w:pPr>
              <w:pStyle w:val="TableText"/>
            </w:pPr>
            <w:r>
              <w:t xml:space="preserve">Oil and </w:t>
            </w:r>
            <w:r w:rsidR="00605F66">
              <w:t>g</w:t>
            </w:r>
            <w:r>
              <w:t xml:space="preserve">as </w:t>
            </w:r>
            <w:r w:rsidR="00605F66">
              <w:t>e</w:t>
            </w:r>
            <w:r>
              <w:t>xtraction</w:t>
            </w:r>
          </w:p>
        </w:tc>
        <w:tc>
          <w:tcPr>
            <w:tcW w:w="1210" w:type="pct"/>
            <w:shd w:val="clear" w:color="auto" w:fill="auto"/>
            <w:noWrap/>
            <w:vAlign w:val="bottom"/>
            <w:hideMark/>
          </w:tcPr>
          <w:p w14:paraId="15E01B0D" w14:textId="77777777" w:rsidR="0017018E" w:rsidRPr="00D0010D" w:rsidRDefault="0017018E" w:rsidP="00FF02DC">
            <w:pPr>
              <w:pStyle w:val="TableText"/>
              <w:jc w:val="center"/>
            </w:pPr>
            <w:r w:rsidRPr="00D0010D">
              <w:t>22,301</w:t>
            </w:r>
          </w:p>
        </w:tc>
        <w:tc>
          <w:tcPr>
            <w:tcW w:w="946" w:type="pct"/>
            <w:vAlign w:val="bottom"/>
          </w:tcPr>
          <w:p w14:paraId="517A73ED" w14:textId="77777777" w:rsidR="0017018E" w:rsidRPr="00D0010D" w:rsidRDefault="0017018E" w:rsidP="00FF02DC">
            <w:pPr>
              <w:pStyle w:val="TableText"/>
              <w:jc w:val="center"/>
            </w:pPr>
            <w:r w:rsidRPr="00D0010D">
              <w:t>2.00%</w:t>
            </w:r>
          </w:p>
        </w:tc>
      </w:tr>
      <w:tr w:rsidR="0017018E" w:rsidRPr="00D0010D" w14:paraId="06AB77D0" w14:textId="77777777" w:rsidTr="00FF02DC">
        <w:trPr>
          <w:trHeight w:val="300"/>
        </w:trPr>
        <w:tc>
          <w:tcPr>
            <w:tcW w:w="2844" w:type="pct"/>
            <w:shd w:val="clear" w:color="auto" w:fill="EDEDED"/>
            <w:noWrap/>
            <w:vAlign w:val="bottom"/>
            <w:hideMark/>
          </w:tcPr>
          <w:p w14:paraId="54E130C6" w14:textId="557CFEFF" w:rsidR="0017018E" w:rsidRPr="00D0010D" w:rsidRDefault="006C6FFD" w:rsidP="00FF02DC">
            <w:pPr>
              <w:pStyle w:val="TableText"/>
            </w:pPr>
            <w:r>
              <w:t xml:space="preserve">Metal </w:t>
            </w:r>
            <w:r w:rsidR="00605F66">
              <w:t>o</w:t>
            </w:r>
            <w:r>
              <w:t xml:space="preserve">re </w:t>
            </w:r>
            <w:r w:rsidR="00605F66">
              <w:t>m</w:t>
            </w:r>
            <w:r>
              <w:t>ining</w:t>
            </w:r>
          </w:p>
        </w:tc>
        <w:tc>
          <w:tcPr>
            <w:tcW w:w="1210" w:type="pct"/>
            <w:shd w:val="clear" w:color="auto" w:fill="EDEDED"/>
            <w:noWrap/>
            <w:vAlign w:val="bottom"/>
            <w:hideMark/>
          </w:tcPr>
          <w:p w14:paraId="5E190A26" w14:textId="77777777" w:rsidR="0017018E" w:rsidRPr="00D0010D" w:rsidRDefault="0017018E" w:rsidP="00FF02DC">
            <w:pPr>
              <w:pStyle w:val="TableText"/>
              <w:jc w:val="center"/>
            </w:pPr>
            <w:r w:rsidRPr="00D0010D">
              <w:t>34,023</w:t>
            </w:r>
          </w:p>
        </w:tc>
        <w:tc>
          <w:tcPr>
            <w:tcW w:w="946" w:type="pct"/>
            <w:shd w:val="clear" w:color="auto" w:fill="EDEDED"/>
            <w:vAlign w:val="bottom"/>
          </w:tcPr>
          <w:p w14:paraId="01A73511" w14:textId="77777777" w:rsidR="0017018E" w:rsidRPr="00D0010D" w:rsidRDefault="0017018E" w:rsidP="00FF02DC">
            <w:pPr>
              <w:pStyle w:val="TableText"/>
              <w:jc w:val="center"/>
            </w:pPr>
            <w:r w:rsidRPr="00D0010D">
              <w:t>3.90%</w:t>
            </w:r>
          </w:p>
        </w:tc>
      </w:tr>
      <w:tr w:rsidR="0017018E" w:rsidRPr="00D0010D" w14:paraId="2DB01FED" w14:textId="77777777" w:rsidTr="00FF02DC">
        <w:trPr>
          <w:trHeight w:val="300"/>
        </w:trPr>
        <w:tc>
          <w:tcPr>
            <w:tcW w:w="2844" w:type="pct"/>
            <w:shd w:val="clear" w:color="auto" w:fill="auto"/>
            <w:noWrap/>
            <w:vAlign w:val="bottom"/>
            <w:hideMark/>
          </w:tcPr>
          <w:p w14:paraId="7B202799" w14:textId="4911E9E4" w:rsidR="0017018E" w:rsidRPr="00D0010D" w:rsidRDefault="0017018E" w:rsidP="00FF02DC">
            <w:pPr>
              <w:pStyle w:val="TableText"/>
            </w:pPr>
            <w:r w:rsidRPr="00D0010D">
              <w:t>Non-</w:t>
            </w:r>
            <w:r w:rsidR="00605F66">
              <w:t>m</w:t>
            </w:r>
            <w:r w:rsidRPr="00D0010D">
              <w:t>etallic</w:t>
            </w:r>
            <w:r w:rsidR="00605F66">
              <w:t xml:space="preserve"> m</w:t>
            </w:r>
            <w:r w:rsidRPr="00D0010D">
              <w:t xml:space="preserve">ineral </w:t>
            </w:r>
            <w:r w:rsidR="00605F66">
              <w:t>m</w:t>
            </w:r>
            <w:r w:rsidRPr="00D0010D">
              <w:t xml:space="preserve">ining and </w:t>
            </w:r>
            <w:r w:rsidR="00605F66">
              <w:t>q</w:t>
            </w:r>
            <w:r w:rsidRPr="00D0010D">
              <w:t>uarrying</w:t>
            </w:r>
          </w:p>
        </w:tc>
        <w:tc>
          <w:tcPr>
            <w:tcW w:w="1210" w:type="pct"/>
            <w:shd w:val="clear" w:color="auto" w:fill="auto"/>
            <w:noWrap/>
            <w:vAlign w:val="bottom"/>
            <w:hideMark/>
          </w:tcPr>
          <w:p w14:paraId="1B9C1765" w14:textId="77777777" w:rsidR="0017018E" w:rsidRPr="00D0010D" w:rsidRDefault="0017018E" w:rsidP="00FF02DC">
            <w:pPr>
              <w:pStyle w:val="TableText"/>
              <w:jc w:val="center"/>
            </w:pPr>
            <w:r w:rsidRPr="00D0010D">
              <w:t>1,697</w:t>
            </w:r>
          </w:p>
        </w:tc>
        <w:tc>
          <w:tcPr>
            <w:tcW w:w="946" w:type="pct"/>
            <w:vAlign w:val="bottom"/>
          </w:tcPr>
          <w:p w14:paraId="4E3A4D31" w14:textId="77777777" w:rsidR="0017018E" w:rsidRPr="00D0010D" w:rsidRDefault="0017018E" w:rsidP="00FF02DC">
            <w:pPr>
              <w:pStyle w:val="TableText"/>
              <w:jc w:val="center"/>
            </w:pPr>
            <w:r w:rsidRPr="00D0010D">
              <w:t>1.90%</w:t>
            </w:r>
          </w:p>
        </w:tc>
      </w:tr>
      <w:tr w:rsidR="0017018E" w:rsidRPr="00D0010D" w14:paraId="20F6CCD3" w14:textId="77777777" w:rsidTr="00FF02DC">
        <w:trPr>
          <w:trHeight w:val="300"/>
        </w:trPr>
        <w:tc>
          <w:tcPr>
            <w:tcW w:w="2844" w:type="pct"/>
            <w:shd w:val="clear" w:color="auto" w:fill="EDEDED"/>
            <w:noWrap/>
            <w:vAlign w:val="bottom"/>
            <w:hideMark/>
          </w:tcPr>
          <w:p w14:paraId="58C599BE" w14:textId="11536CDD" w:rsidR="0017018E" w:rsidRPr="00D0010D" w:rsidRDefault="0017018E" w:rsidP="00FF02DC">
            <w:pPr>
              <w:pStyle w:val="TableText"/>
            </w:pPr>
            <w:r w:rsidRPr="00D0010D">
              <w:t xml:space="preserve">Exploration and </w:t>
            </w:r>
            <w:r w:rsidR="00605F66">
              <w:t>o</w:t>
            </w:r>
            <w:r w:rsidRPr="00D0010D">
              <w:t xml:space="preserve">ther </w:t>
            </w:r>
            <w:r w:rsidR="00605F66">
              <w:t>m</w:t>
            </w:r>
            <w:r w:rsidRPr="00D0010D">
              <w:t xml:space="preserve">ining </w:t>
            </w:r>
            <w:r w:rsidR="00605F66">
              <w:t>s</w:t>
            </w:r>
            <w:r w:rsidRPr="00D0010D">
              <w:t xml:space="preserve">upport </w:t>
            </w:r>
            <w:r w:rsidR="00605F66">
              <w:t>s</w:t>
            </w:r>
            <w:r w:rsidRPr="00D0010D">
              <w:t xml:space="preserve">ervices </w:t>
            </w:r>
          </w:p>
        </w:tc>
        <w:tc>
          <w:tcPr>
            <w:tcW w:w="1210" w:type="pct"/>
            <w:shd w:val="clear" w:color="auto" w:fill="EDEDED"/>
            <w:noWrap/>
            <w:vAlign w:val="bottom"/>
            <w:hideMark/>
          </w:tcPr>
          <w:p w14:paraId="2FA7F547" w14:textId="77777777" w:rsidR="0017018E" w:rsidRPr="00D0010D" w:rsidRDefault="0017018E" w:rsidP="00FF02DC">
            <w:pPr>
              <w:pStyle w:val="TableText"/>
              <w:jc w:val="center"/>
            </w:pPr>
            <w:r w:rsidRPr="00D0010D">
              <w:t>878</w:t>
            </w:r>
          </w:p>
        </w:tc>
        <w:tc>
          <w:tcPr>
            <w:tcW w:w="946" w:type="pct"/>
            <w:shd w:val="clear" w:color="auto" w:fill="EDEDED"/>
            <w:vAlign w:val="bottom"/>
          </w:tcPr>
          <w:p w14:paraId="597963CE" w14:textId="77777777" w:rsidR="0017018E" w:rsidRPr="00D0010D" w:rsidRDefault="0017018E" w:rsidP="00FF02DC">
            <w:pPr>
              <w:pStyle w:val="TableText"/>
              <w:jc w:val="center"/>
            </w:pPr>
            <w:r w:rsidRPr="00D0010D">
              <w:t>5.10%</w:t>
            </w:r>
          </w:p>
        </w:tc>
      </w:tr>
      <w:tr w:rsidR="0017018E" w:rsidRPr="008575B5" w14:paraId="60EF9879" w14:textId="77777777" w:rsidTr="00FF02DC">
        <w:trPr>
          <w:trHeight w:val="300"/>
        </w:trPr>
        <w:tc>
          <w:tcPr>
            <w:tcW w:w="2844" w:type="pct"/>
            <w:tcBorders>
              <w:bottom w:val="single" w:sz="4" w:space="0" w:color="auto"/>
            </w:tcBorders>
            <w:shd w:val="clear" w:color="auto" w:fill="auto"/>
            <w:noWrap/>
            <w:vAlign w:val="bottom"/>
            <w:hideMark/>
          </w:tcPr>
          <w:p w14:paraId="371C7F36" w14:textId="34B0C1C4" w:rsidR="0017018E" w:rsidRPr="00FF02DC" w:rsidRDefault="006C6FFD" w:rsidP="00FF02DC">
            <w:pPr>
              <w:pStyle w:val="TableText"/>
              <w:rPr>
                <w:b/>
              </w:rPr>
            </w:pPr>
            <w:r w:rsidRPr="00FF02DC">
              <w:rPr>
                <w:b/>
              </w:rPr>
              <w:t xml:space="preserve">Mining subtotal </w:t>
            </w:r>
          </w:p>
        </w:tc>
        <w:tc>
          <w:tcPr>
            <w:tcW w:w="1210" w:type="pct"/>
            <w:tcBorders>
              <w:bottom w:val="single" w:sz="4" w:space="0" w:color="auto"/>
            </w:tcBorders>
            <w:shd w:val="clear" w:color="auto" w:fill="auto"/>
            <w:noWrap/>
            <w:vAlign w:val="bottom"/>
            <w:hideMark/>
          </w:tcPr>
          <w:p w14:paraId="5B491C2C" w14:textId="77777777" w:rsidR="0017018E" w:rsidRPr="00FF02DC" w:rsidRDefault="0017018E" w:rsidP="00FF02DC">
            <w:pPr>
              <w:pStyle w:val="TableText"/>
              <w:jc w:val="center"/>
              <w:rPr>
                <w:b/>
              </w:rPr>
            </w:pPr>
            <w:r w:rsidRPr="00FF02DC">
              <w:rPr>
                <w:b/>
              </w:rPr>
              <w:t>72,862</w:t>
            </w:r>
          </w:p>
        </w:tc>
        <w:tc>
          <w:tcPr>
            <w:tcW w:w="946" w:type="pct"/>
            <w:tcBorders>
              <w:bottom w:val="single" w:sz="4" w:space="0" w:color="auto"/>
            </w:tcBorders>
            <w:vAlign w:val="bottom"/>
          </w:tcPr>
          <w:p w14:paraId="1ECAB0DC" w14:textId="77777777" w:rsidR="0017018E" w:rsidRPr="00FF02DC" w:rsidRDefault="0017018E" w:rsidP="00FF02DC">
            <w:pPr>
              <w:pStyle w:val="TableText"/>
              <w:jc w:val="center"/>
              <w:rPr>
                <w:b/>
              </w:rPr>
            </w:pPr>
            <w:r w:rsidRPr="00FF02DC">
              <w:rPr>
                <w:b/>
              </w:rPr>
              <w:t>3.10%</w:t>
            </w:r>
          </w:p>
        </w:tc>
      </w:tr>
      <w:tr w:rsidR="0017018E" w:rsidRPr="00D0010D" w14:paraId="58B767A7" w14:textId="77777777" w:rsidTr="00FF02DC">
        <w:trPr>
          <w:trHeight w:val="300"/>
        </w:trPr>
        <w:tc>
          <w:tcPr>
            <w:tcW w:w="2844" w:type="pct"/>
            <w:tcBorders>
              <w:top w:val="single" w:sz="4" w:space="0" w:color="auto"/>
            </w:tcBorders>
            <w:shd w:val="clear" w:color="auto" w:fill="EDEDED"/>
            <w:noWrap/>
            <w:vAlign w:val="bottom"/>
            <w:hideMark/>
          </w:tcPr>
          <w:p w14:paraId="62B94EC5" w14:textId="50E6D2E5" w:rsidR="0017018E" w:rsidRPr="00D0010D" w:rsidRDefault="006C6FFD" w:rsidP="00605F66">
            <w:pPr>
              <w:pStyle w:val="TableText"/>
            </w:pPr>
            <w:r>
              <w:t xml:space="preserve">Food </w:t>
            </w:r>
            <w:r w:rsidR="00605F66">
              <w:t>p</w:t>
            </w:r>
            <w:r>
              <w:t xml:space="preserve">roduct </w:t>
            </w:r>
            <w:r w:rsidR="00605F66">
              <w:t>m</w:t>
            </w:r>
            <w:r>
              <w:t>anufacturing</w:t>
            </w:r>
          </w:p>
        </w:tc>
        <w:tc>
          <w:tcPr>
            <w:tcW w:w="1210" w:type="pct"/>
            <w:tcBorders>
              <w:top w:val="single" w:sz="4" w:space="0" w:color="auto"/>
            </w:tcBorders>
            <w:shd w:val="clear" w:color="auto" w:fill="EDEDED"/>
            <w:noWrap/>
            <w:vAlign w:val="bottom"/>
            <w:hideMark/>
          </w:tcPr>
          <w:p w14:paraId="7A0FBC38" w14:textId="77777777" w:rsidR="0017018E" w:rsidRPr="00D0010D" w:rsidRDefault="0017018E" w:rsidP="00FF02DC">
            <w:pPr>
              <w:pStyle w:val="TableText"/>
              <w:jc w:val="center"/>
            </w:pPr>
            <w:r w:rsidRPr="00D0010D">
              <w:t>15,391</w:t>
            </w:r>
          </w:p>
        </w:tc>
        <w:tc>
          <w:tcPr>
            <w:tcW w:w="946" w:type="pct"/>
            <w:tcBorders>
              <w:top w:val="single" w:sz="4" w:space="0" w:color="auto"/>
            </w:tcBorders>
            <w:shd w:val="clear" w:color="auto" w:fill="EDEDED"/>
            <w:vAlign w:val="bottom"/>
          </w:tcPr>
          <w:p w14:paraId="48B4BCAF" w14:textId="77777777" w:rsidR="0017018E" w:rsidRPr="00D0010D" w:rsidRDefault="0017018E" w:rsidP="00FF02DC">
            <w:pPr>
              <w:pStyle w:val="TableText"/>
              <w:jc w:val="center"/>
            </w:pPr>
            <w:r w:rsidRPr="00D0010D">
              <w:t>2.40%</w:t>
            </w:r>
          </w:p>
        </w:tc>
      </w:tr>
      <w:tr w:rsidR="0017018E" w:rsidRPr="00D0010D" w14:paraId="40C964D4" w14:textId="77777777" w:rsidTr="00FF02DC">
        <w:trPr>
          <w:trHeight w:val="300"/>
        </w:trPr>
        <w:tc>
          <w:tcPr>
            <w:tcW w:w="2844" w:type="pct"/>
            <w:shd w:val="clear" w:color="auto" w:fill="auto"/>
            <w:noWrap/>
            <w:vAlign w:val="bottom"/>
            <w:hideMark/>
          </w:tcPr>
          <w:p w14:paraId="0F1068F5" w14:textId="176A4A7F" w:rsidR="0017018E" w:rsidRPr="00D0010D" w:rsidRDefault="0017018E" w:rsidP="00605F66">
            <w:pPr>
              <w:pStyle w:val="TableText"/>
            </w:pPr>
            <w:r w:rsidRPr="00D0010D">
              <w:t xml:space="preserve">Beverage, </w:t>
            </w:r>
            <w:r w:rsidR="00605F66">
              <w:t>t</w:t>
            </w:r>
            <w:r w:rsidRPr="00D0010D">
              <w:t xml:space="preserve">obacco and </w:t>
            </w:r>
            <w:r w:rsidR="00605F66">
              <w:t>t</w:t>
            </w:r>
            <w:r w:rsidRPr="00D0010D">
              <w:t>extile</w:t>
            </w:r>
          </w:p>
        </w:tc>
        <w:tc>
          <w:tcPr>
            <w:tcW w:w="1210" w:type="pct"/>
            <w:shd w:val="clear" w:color="auto" w:fill="auto"/>
            <w:noWrap/>
            <w:vAlign w:val="bottom"/>
            <w:hideMark/>
          </w:tcPr>
          <w:p w14:paraId="03973914" w14:textId="77777777" w:rsidR="0017018E" w:rsidRPr="00D0010D" w:rsidRDefault="0017018E" w:rsidP="00FF02DC">
            <w:pPr>
              <w:pStyle w:val="TableText"/>
              <w:jc w:val="center"/>
            </w:pPr>
            <w:r w:rsidRPr="00D0010D">
              <w:t>2,167</w:t>
            </w:r>
          </w:p>
        </w:tc>
        <w:tc>
          <w:tcPr>
            <w:tcW w:w="946" w:type="pct"/>
            <w:vAlign w:val="bottom"/>
          </w:tcPr>
          <w:p w14:paraId="5B755EF9" w14:textId="77777777" w:rsidR="0017018E" w:rsidRPr="00D0010D" w:rsidRDefault="0017018E" w:rsidP="00FF02DC">
            <w:pPr>
              <w:pStyle w:val="TableText"/>
              <w:jc w:val="center"/>
            </w:pPr>
            <w:r w:rsidRPr="00D0010D">
              <w:t>3.10%</w:t>
            </w:r>
          </w:p>
        </w:tc>
      </w:tr>
      <w:tr w:rsidR="0017018E" w:rsidRPr="00D0010D" w14:paraId="6BA3F3D9" w14:textId="77777777" w:rsidTr="00FF02DC">
        <w:trPr>
          <w:trHeight w:val="300"/>
        </w:trPr>
        <w:tc>
          <w:tcPr>
            <w:tcW w:w="2844" w:type="pct"/>
            <w:shd w:val="clear" w:color="auto" w:fill="EDEDED"/>
            <w:noWrap/>
            <w:vAlign w:val="bottom"/>
            <w:hideMark/>
          </w:tcPr>
          <w:p w14:paraId="092DE1D9" w14:textId="1403C0DA" w:rsidR="0017018E" w:rsidRPr="00D0010D" w:rsidRDefault="0017018E" w:rsidP="00FF02DC">
            <w:pPr>
              <w:pStyle w:val="TableText"/>
            </w:pPr>
            <w:r w:rsidRPr="00D0010D">
              <w:t>Wood, pulp, paper and printing</w:t>
            </w:r>
          </w:p>
        </w:tc>
        <w:tc>
          <w:tcPr>
            <w:tcW w:w="1210" w:type="pct"/>
            <w:shd w:val="clear" w:color="auto" w:fill="EDEDED"/>
            <w:noWrap/>
            <w:vAlign w:val="bottom"/>
            <w:hideMark/>
          </w:tcPr>
          <w:p w14:paraId="403E0A96" w14:textId="77777777" w:rsidR="0017018E" w:rsidRPr="00D0010D" w:rsidRDefault="0017018E" w:rsidP="00FF02DC">
            <w:pPr>
              <w:pStyle w:val="TableText"/>
              <w:jc w:val="center"/>
            </w:pPr>
            <w:r w:rsidRPr="00D0010D">
              <w:t>9,564</w:t>
            </w:r>
          </w:p>
        </w:tc>
        <w:tc>
          <w:tcPr>
            <w:tcW w:w="946" w:type="pct"/>
            <w:shd w:val="clear" w:color="auto" w:fill="EDEDED"/>
            <w:vAlign w:val="bottom"/>
          </w:tcPr>
          <w:p w14:paraId="272904A5" w14:textId="77777777" w:rsidR="0017018E" w:rsidRPr="00D0010D" w:rsidRDefault="0017018E" w:rsidP="00FF02DC">
            <w:pPr>
              <w:pStyle w:val="TableText"/>
              <w:jc w:val="center"/>
            </w:pPr>
            <w:r w:rsidRPr="00D0010D">
              <w:t>2.80%</w:t>
            </w:r>
          </w:p>
        </w:tc>
      </w:tr>
      <w:tr w:rsidR="0017018E" w:rsidRPr="00D0010D" w14:paraId="3A4058D4" w14:textId="77777777" w:rsidTr="00FF02DC">
        <w:trPr>
          <w:trHeight w:val="300"/>
        </w:trPr>
        <w:tc>
          <w:tcPr>
            <w:tcW w:w="2844" w:type="pct"/>
            <w:shd w:val="clear" w:color="auto" w:fill="auto"/>
            <w:noWrap/>
            <w:vAlign w:val="bottom"/>
            <w:hideMark/>
          </w:tcPr>
          <w:p w14:paraId="0BCEB7BB" w14:textId="71532925" w:rsidR="0017018E" w:rsidRPr="00D0010D" w:rsidRDefault="0017018E" w:rsidP="00FF02DC">
            <w:pPr>
              <w:pStyle w:val="TableText"/>
            </w:pPr>
            <w:r w:rsidRPr="00D0010D">
              <w:t>Petroleum and coal product manufacturing</w:t>
            </w:r>
          </w:p>
        </w:tc>
        <w:tc>
          <w:tcPr>
            <w:tcW w:w="1210" w:type="pct"/>
            <w:shd w:val="clear" w:color="auto" w:fill="auto"/>
            <w:noWrap/>
            <w:vAlign w:val="bottom"/>
            <w:hideMark/>
          </w:tcPr>
          <w:p w14:paraId="146B49FE" w14:textId="77777777" w:rsidR="0017018E" w:rsidRPr="00D0010D" w:rsidRDefault="0017018E" w:rsidP="00FF02DC">
            <w:pPr>
              <w:pStyle w:val="TableText"/>
              <w:jc w:val="center"/>
            </w:pPr>
            <w:r w:rsidRPr="00D0010D">
              <w:t>27,331</w:t>
            </w:r>
          </w:p>
        </w:tc>
        <w:tc>
          <w:tcPr>
            <w:tcW w:w="946" w:type="pct"/>
            <w:vAlign w:val="bottom"/>
          </w:tcPr>
          <w:p w14:paraId="73024C91" w14:textId="77777777" w:rsidR="0017018E" w:rsidRPr="00D0010D" w:rsidRDefault="0017018E" w:rsidP="00FF02DC">
            <w:pPr>
              <w:pStyle w:val="TableText"/>
              <w:jc w:val="center"/>
            </w:pPr>
            <w:r w:rsidRPr="00D0010D">
              <w:t>10.00%</w:t>
            </w:r>
          </w:p>
        </w:tc>
      </w:tr>
      <w:tr w:rsidR="0017018E" w:rsidRPr="00D0010D" w14:paraId="2611F343" w14:textId="77777777" w:rsidTr="00FF02DC">
        <w:trPr>
          <w:trHeight w:val="300"/>
        </w:trPr>
        <w:tc>
          <w:tcPr>
            <w:tcW w:w="2844" w:type="pct"/>
            <w:shd w:val="clear" w:color="auto" w:fill="EDEDED"/>
            <w:noWrap/>
            <w:vAlign w:val="bottom"/>
            <w:hideMark/>
          </w:tcPr>
          <w:p w14:paraId="519C841F" w14:textId="77777777" w:rsidR="0017018E" w:rsidRPr="00D0010D" w:rsidRDefault="0017018E" w:rsidP="00FF02DC">
            <w:pPr>
              <w:pStyle w:val="TableText"/>
            </w:pPr>
            <w:r w:rsidRPr="00D0010D">
              <w:t xml:space="preserve">Basic chemical and chemical product manufacturing </w:t>
            </w:r>
          </w:p>
        </w:tc>
        <w:tc>
          <w:tcPr>
            <w:tcW w:w="1210" w:type="pct"/>
            <w:shd w:val="clear" w:color="auto" w:fill="EDEDED"/>
            <w:noWrap/>
            <w:vAlign w:val="bottom"/>
            <w:hideMark/>
          </w:tcPr>
          <w:p w14:paraId="7C85818F" w14:textId="77777777" w:rsidR="0017018E" w:rsidRPr="00D0010D" w:rsidRDefault="0017018E" w:rsidP="00FF02DC">
            <w:pPr>
              <w:pStyle w:val="TableText"/>
              <w:jc w:val="center"/>
            </w:pPr>
            <w:r w:rsidRPr="00D0010D">
              <w:t>66,070</w:t>
            </w:r>
          </w:p>
        </w:tc>
        <w:tc>
          <w:tcPr>
            <w:tcW w:w="946" w:type="pct"/>
            <w:shd w:val="clear" w:color="auto" w:fill="EDEDED"/>
            <w:vAlign w:val="bottom"/>
          </w:tcPr>
          <w:p w14:paraId="28C84529" w14:textId="77777777" w:rsidR="0017018E" w:rsidRPr="00D0010D" w:rsidRDefault="0017018E" w:rsidP="00FF02DC">
            <w:pPr>
              <w:pStyle w:val="TableText"/>
              <w:jc w:val="center"/>
            </w:pPr>
            <w:r w:rsidRPr="00D0010D">
              <w:t>6.80%</w:t>
            </w:r>
          </w:p>
        </w:tc>
      </w:tr>
      <w:tr w:rsidR="0017018E" w:rsidRPr="00D0010D" w14:paraId="18281AF7" w14:textId="77777777" w:rsidTr="00FF02DC">
        <w:trPr>
          <w:trHeight w:val="300"/>
        </w:trPr>
        <w:tc>
          <w:tcPr>
            <w:tcW w:w="2844" w:type="pct"/>
            <w:shd w:val="clear" w:color="auto" w:fill="auto"/>
            <w:noWrap/>
            <w:vAlign w:val="bottom"/>
            <w:hideMark/>
          </w:tcPr>
          <w:p w14:paraId="19AE221D" w14:textId="77777777" w:rsidR="0017018E" w:rsidRPr="00D0010D" w:rsidRDefault="0017018E" w:rsidP="00FF02DC">
            <w:pPr>
              <w:pStyle w:val="TableText"/>
            </w:pPr>
            <w:r w:rsidRPr="00D0010D">
              <w:t xml:space="preserve">Polymer product and rubber product manufacturing </w:t>
            </w:r>
          </w:p>
        </w:tc>
        <w:tc>
          <w:tcPr>
            <w:tcW w:w="1210" w:type="pct"/>
            <w:shd w:val="clear" w:color="auto" w:fill="auto"/>
            <w:noWrap/>
            <w:vAlign w:val="bottom"/>
            <w:hideMark/>
          </w:tcPr>
          <w:p w14:paraId="485F8508" w14:textId="77777777" w:rsidR="0017018E" w:rsidRPr="00D0010D" w:rsidRDefault="0017018E" w:rsidP="00FF02DC">
            <w:pPr>
              <w:pStyle w:val="TableText"/>
              <w:jc w:val="center"/>
            </w:pPr>
            <w:r w:rsidRPr="00D0010D">
              <w:t>233</w:t>
            </w:r>
          </w:p>
        </w:tc>
        <w:tc>
          <w:tcPr>
            <w:tcW w:w="946" w:type="pct"/>
            <w:vAlign w:val="bottom"/>
          </w:tcPr>
          <w:p w14:paraId="137F5D39" w14:textId="77777777" w:rsidR="0017018E" w:rsidRPr="00D0010D" w:rsidRDefault="0017018E" w:rsidP="00FF02DC">
            <w:pPr>
              <w:pStyle w:val="TableText"/>
              <w:jc w:val="center"/>
            </w:pPr>
            <w:r w:rsidRPr="00D0010D">
              <w:t>2.10%</w:t>
            </w:r>
          </w:p>
        </w:tc>
      </w:tr>
      <w:tr w:rsidR="0017018E" w:rsidRPr="00D0010D" w14:paraId="2F242E7C" w14:textId="77777777" w:rsidTr="00FF02DC">
        <w:trPr>
          <w:trHeight w:val="300"/>
        </w:trPr>
        <w:tc>
          <w:tcPr>
            <w:tcW w:w="2844" w:type="pct"/>
            <w:shd w:val="clear" w:color="auto" w:fill="EDEDED"/>
            <w:noWrap/>
            <w:vAlign w:val="bottom"/>
            <w:hideMark/>
          </w:tcPr>
          <w:p w14:paraId="559F459A" w14:textId="7A357027" w:rsidR="0017018E" w:rsidRPr="00D0010D" w:rsidRDefault="0017018E" w:rsidP="00605F66">
            <w:pPr>
              <w:pStyle w:val="TableText"/>
            </w:pPr>
            <w:r w:rsidRPr="00D0010D">
              <w:t xml:space="preserve">Mineral </w:t>
            </w:r>
            <w:r w:rsidR="00605F66">
              <w:t>p</w:t>
            </w:r>
            <w:r w:rsidRPr="00D0010D">
              <w:t xml:space="preserve">roduct, </w:t>
            </w:r>
            <w:r w:rsidR="00605F66">
              <w:t>p</w:t>
            </w:r>
            <w:r w:rsidRPr="00D0010D">
              <w:t xml:space="preserve">rimary </w:t>
            </w:r>
            <w:r w:rsidR="00605F66">
              <w:t>m</w:t>
            </w:r>
            <w:r w:rsidRPr="00D0010D">
              <w:t xml:space="preserve">etal and </w:t>
            </w:r>
            <w:r w:rsidR="00605F66">
              <w:t>m</w:t>
            </w:r>
            <w:r w:rsidRPr="00D0010D">
              <w:t xml:space="preserve">etal </w:t>
            </w:r>
            <w:r w:rsidR="00605F66">
              <w:t>p</w:t>
            </w:r>
            <w:r w:rsidRPr="00D0010D">
              <w:t>roduct</w:t>
            </w:r>
          </w:p>
        </w:tc>
        <w:tc>
          <w:tcPr>
            <w:tcW w:w="1210" w:type="pct"/>
            <w:shd w:val="clear" w:color="auto" w:fill="EDEDED"/>
            <w:noWrap/>
            <w:vAlign w:val="bottom"/>
            <w:hideMark/>
          </w:tcPr>
          <w:p w14:paraId="5A3E16E9" w14:textId="77777777" w:rsidR="0017018E" w:rsidRPr="00D0010D" w:rsidRDefault="0017018E" w:rsidP="00FF02DC">
            <w:pPr>
              <w:pStyle w:val="TableText"/>
              <w:jc w:val="center"/>
            </w:pPr>
            <w:r w:rsidRPr="00D0010D">
              <w:t>72,178</w:t>
            </w:r>
          </w:p>
        </w:tc>
        <w:tc>
          <w:tcPr>
            <w:tcW w:w="946" w:type="pct"/>
            <w:shd w:val="clear" w:color="auto" w:fill="EDEDED"/>
            <w:vAlign w:val="bottom"/>
          </w:tcPr>
          <w:p w14:paraId="1B01CD0D" w14:textId="77777777" w:rsidR="0017018E" w:rsidRPr="00D0010D" w:rsidRDefault="0017018E" w:rsidP="00FF02DC">
            <w:pPr>
              <w:pStyle w:val="TableText"/>
              <w:jc w:val="center"/>
            </w:pPr>
            <w:r w:rsidRPr="00D0010D">
              <w:t>4.20%</w:t>
            </w:r>
          </w:p>
        </w:tc>
      </w:tr>
      <w:tr w:rsidR="0017018E" w:rsidRPr="00D0010D" w14:paraId="356AEB9C" w14:textId="77777777" w:rsidTr="00FF02DC">
        <w:trPr>
          <w:trHeight w:val="300"/>
        </w:trPr>
        <w:tc>
          <w:tcPr>
            <w:tcW w:w="2844" w:type="pct"/>
            <w:shd w:val="clear" w:color="auto" w:fill="auto"/>
            <w:noWrap/>
            <w:vAlign w:val="bottom"/>
            <w:hideMark/>
          </w:tcPr>
          <w:p w14:paraId="1A181ED2" w14:textId="02729F56" w:rsidR="0017018E" w:rsidRPr="00D0010D" w:rsidRDefault="0017018E" w:rsidP="00FF02DC">
            <w:pPr>
              <w:pStyle w:val="TableText"/>
            </w:pPr>
            <w:r w:rsidRPr="00D0010D">
              <w:t>Fabrica</w:t>
            </w:r>
            <w:r w:rsidR="006C6FFD">
              <w:t xml:space="preserve">ted </w:t>
            </w:r>
            <w:r w:rsidR="00605F66">
              <w:t>m</w:t>
            </w:r>
            <w:r w:rsidR="006C6FFD">
              <w:t xml:space="preserve">etal </w:t>
            </w:r>
            <w:r w:rsidR="00605F66">
              <w:t>p</w:t>
            </w:r>
            <w:r w:rsidR="006C6FFD">
              <w:t xml:space="preserve">roduct </w:t>
            </w:r>
            <w:r w:rsidR="00605F66">
              <w:t>m</w:t>
            </w:r>
            <w:r w:rsidR="006C6FFD">
              <w:t>anufacturing</w:t>
            </w:r>
          </w:p>
        </w:tc>
        <w:tc>
          <w:tcPr>
            <w:tcW w:w="1210" w:type="pct"/>
            <w:shd w:val="clear" w:color="auto" w:fill="auto"/>
            <w:noWrap/>
            <w:vAlign w:val="bottom"/>
            <w:hideMark/>
          </w:tcPr>
          <w:p w14:paraId="2A63149D" w14:textId="77777777" w:rsidR="0017018E" w:rsidRPr="00D0010D" w:rsidRDefault="0017018E" w:rsidP="00FF02DC">
            <w:pPr>
              <w:pStyle w:val="TableText"/>
              <w:jc w:val="center"/>
            </w:pPr>
            <w:r w:rsidRPr="00D0010D">
              <w:t>226</w:t>
            </w:r>
          </w:p>
        </w:tc>
        <w:tc>
          <w:tcPr>
            <w:tcW w:w="946" w:type="pct"/>
            <w:vAlign w:val="bottom"/>
          </w:tcPr>
          <w:p w14:paraId="361A98F6" w14:textId="77777777" w:rsidR="0017018E" w:rsidRPr="00D0010D" w:rsidRDefault="0017018E" w:rsidP="00FF02DC">
            <w:pPr>
              <w:pStyle w:val="TableText"/>
              <w:jc w:val="center"/>
            </w:pPr>
            <w:r w:rsidRPr="00D0010D">
              <w:t>1.80%</w:t>
            </w:r>
          </w:p>
        </w:tc>
      </w:tr>
      <w:tr w:rsidR="0017018E" w:rsidRPr="00D0010D" w14:paraId="7DD78A41" w14:textId="77777777" w:rsidTr="00FF02DC">
        <w:trPr>
          <w:trHeight w:val="300"/>
        </w:trPr>
        <w:tc>
          <w:tcPr>
            <w:tcW w:w="2844" w:type="pct"/>
            <w:shd w:val="clear" w:color="auto" w:fill="EDEDED"/>
            <w:noWrap/>
            <w:vAlign w:val="bottom"/>
            <w:hideMark/>
          </w:tcPr>
          <w:p w14:paraId="61DD9C22" w14:textId="0257608A" w:rsidR="0017018E" w:rsidRPr="00D0010D" w:rsidRDefault="006C6FFD" w:rsidP="00FF02DC">
            <w:pPr>
              <w:pStyle w:val="TableText"/>
            </w:pPr>
            <w:r>
              <w:t xml:space="preserve">Other </w:t>
            </w:r>
            <w:r w:rsidR="00605F66">
              <w:t>m</w:t>
            </w:r>
            <w:r>
              <w:t>anufacturing</w:t>
            </w:r>
          </w:p>
        </w:tc>
        <w:tc>
          <w:tcPr>
            <w:tcW w:w="1210" w:type="pct"/>
            <w:shd w:val="clear" w:color="auto" w:fill="EDEDED"/>
            <w:noWrap/>
            <w:vAlign w:val="bottom"/>
            <w:hideMark/>
          </w:tcPr>
          <w:p w14:paraId="0DBBA3BD" w14:textId="77777777" w:rsidR="0017018E" w:rsidRPr="00D0010D" w:rsidRDefault="0017018E" w:rsidP="00FF02DC">
            <w:pPr>
              <w:pStyle w:val="TableText"/>
              <w:jc w:val="center"/>
            </w:pPr>
            <w:r w:rsidRPr="00D0010D">
              <w:t>665</w:t>
            </w:r>
          </w:p>
        </w:tc>
        <w:tc>
          <w:tcPr>
            <w:tcW w:w="946" w:type="pct"/>
            <w:shd w:val="clear" w:color="auto" w:fill="EDEDED"/>
            <w:vAlign w:val="bottom"/>
          </w:tcPr>
          <w:p w14:paraId="728545E6" w14:textId="77777777" w:rsidR="0017018E" w:rsidRPr="00D0010D" w:rsidRDefault="0017018E" w:rsidP="00FF02DC">
            <w:pPr>
              <w:pStyle w:val="TableText"/>
              <w:jc w:val="center"/>
            </w:pPr>
            <w:r w:rsidRPr="00D0010D">
              <w:t>1.70%</w:t>
            </w:r>
          </w:p>
        </w:tc>
      </w:tr>
      <w:tr w:rsidR="0017018E" w:rsidRPr="008575B5" w14:paraId="34B4908E" w14:textId="77777777" w:rsidTr="00FF02DC">
        <w:trPr>
          <w:trHeight w:val="300"/>
        </w:trPr>
        <w:tc>
          <w:tcPr>
            <w:tcW w:w="2844" w:type="pct"/>
            <w:tcBorders>
              <w:bottom w:val="single" w:sz="4" w:space="0" w:color="auto"/>
            </w:tcBorders>
            <w:shd w:val="clear" w:color="auto" w:fill="auto"/>
            <w:noWrap/>
            <w:vAlign w:val="bottom"/>
            <w:hideMark/>
          </w:tcPr>
          <w:p w14:paraId="50DFC9A3" w14:textId="6F74ED82" w:rsidR="0017018E" w:rsidRPr="00FF02DC" w:rsidRDefault="006C6FFD" w:rsidP="00FF02DC">
            <w:pPr>
              <w:pStyle w:val="TableText"/>
              <w:rPr>
                <w:b/>
              </w:rPr>
            </w:pPr>
            <w:r w:rsidRPr="00FF02DC">
              <w:rPr>
                <w:b/>
              </w:rPr>
              <w:t>Manufacturing subtotal</w:t>
            </w:r>
          </w:p>
        </w:tc>
        <w:tc>
          <w:tcPr>
            <w:tcW w:w="1210" w:type="pct"/>
            <w:tcBorders>
              <w:bottom w:val="single" w:sz="4" w:space="0" w:color="auto"/>
            </w:tcBorders>
            <w:shd w:val="clear" w:color="auto" w:fill="auto"/>
            <w:noWrap/>
            <w:vAlign w:val="bottom"/>
            <w:hideMark/>
          </w:tcPr>
          <w:p w14:paraId="34474CF4" w14:textId="77777777" w:rsidR="0017018E" w:rsidRPr="00FF02DC" w:rsidRDefault="0017018E" w:rsidP="00FF02DC">
            <w:pPr>
              <w:pStyle w:val="TableText"/>
              <w:jc w:val="center"/>
              <w:rPr>
                <w:b/>
              </w:rPr>
            </w:pPr>
            <w:r w:rsidRPr="00FF02DC">
              <w:rPr>
                <w:b/>
              </w:rPr>
              <w:t>193,824</w:t>
            </w:r>
          </w:p>
        </w:tc>
        <w:tc>
          <w:tcPr>
            <w:tcW w:w="946" w:type="pct"/>
            <w:tcBorders>
              <w:bottom w:val="single" w:sz="4" w:space="0" w:color="auto"/>
            </w:tcBorders>
            <w:vAlign w:val="bottom"/>
          </w:tcPr>
          <w:p w14:paraId="2E600535" w14:textId="77777777" w:rsidR="0017018E" w:rsidRPr="00FF02DC" w:rsidRDefault="0017018E" w:rsidP="00FF02DC">
            <w:pPr>
              <w:pStyle w:val="TableText"/>
              <w:jc w:val="center"/>
              <w:rPr>
                <w:b/>
              </w:rPr>
            </w:pPr>
            <w:r w:rsidRPr="00FF02DC">
              <w:rPr>
                <w:b/>
              </w:rPr>
              <w:t>5.10%</w:t>
            </w:r>
          </w:p>
        </w:tc>
      </w:tr>
      <w:tr w:rsidR="0017018E" w:rsidRPr="008575B5" w14:paraId="24D3D778" w14:textId="77777777" w:rsidTr="00FF02DC">
        <w:trPr>
          <w:trHeight w:val="300"/>
        </w:trPr>
        <w:tc>
          <w:tcPr>
            <w:tcW w:w="2844" w:type="pct"/>
            <w:tcBorders>
              <w:top w:val="single" w:sz="4" w:space="0" w:color="auto"/>
            </w:tcBorders>
            <w:shd w:val="clear" w:color="auto" w:fill="EDEDED"/>
            <w:noWrap/>
            <w:vAlign w:val="bottom"/>
            <w:hideMark/>
          </w:tcPr>
          <w:p w14:paraId="0E1A6A4F" w14:textId="64F69164" w:rsidR="0017018E" w:rsidRPr="00FF02DC" w:rsidRDefault="006C6FFD" w:rsidP="00FF02DC">
            <w:pPr>
              <w:pStyle w:val="TableText"/>
              <w:rPr>
                <w:b/>
              </w:rPr>
            </w:pPr>
            <w:r w:rsidRPr="00FF02DC">
              <w:rPr>
                <w:b/>
              </w:rPr>
              <w:t xml:space="preserve">Water and </w:t>
            </w:r>
            <w:r w:rsidR="00605F66">
              <w:rPr>
                <w:b/>
              </w:rPr>
              <w:t>w</w:t>
            </w:r>
            <w:r w:rsidRPr="00FF02DC">
              <w:rPr>
                <w:b/>
              </w:rPr>
              <w:t xml:space="preserve">aste </w:t>
            </w:r>
            <w:r w:rsidR="00605F66">
              <w:rPr>
                <w:b/>
              </w:rPr>
              <w:t>s</w:t>
            </w:r>
            <w:r w:rsidRPr="00FF02DC">
              <w:rPr>
                <w:b/>
              </w:rPr>
              <w:t>ervices</w:t>
            </w:r>
          </w:p>
        </w:tc>
        <w:tc>
          <w:tcPr>
            <w:tcW w:w="1210" w:type="pct"/>
            <w:tcBorders>
              <w:top w:val="single" w:sz="4" w:space="0" w:color="auto"/>
            </w:tcBorders>
            <w:shd w:val="clear" w:color="auto" w:fill="EDEDED"/>
            <w:noWrap/>
            <w:vAlign w:val="bottom"/>
            <w:hideMark/>
          </w:tcPr>
          <w:p w14:paraId="266D208F" w14:textId="77777777" w:rsidR="0017018E" w:rsidRPr="00FF02DC" w:rsidRDefault="0017018E" w:rsidP="00FF02DC">
            <w:pPr>
              <w:pStyle w:val="TableText"/>
              <w:jc w:val="center"/>
              <w:rPr>
                <w:b/>
              </w:rPr>
            </w:pPr>
            <w:r w:rsidRPr="00FF02DC">
              <w:rPr>
                <w:b/>
              </w:rPr>
              <w:t>1,017</w:t>
            </w:r>
          </w:p>
        </w:tc>
        <w:tc>
          <w:tcPr>
            <w:tcW w:w="946" w:type="pct"/>
            <w:tcBorders>
              <w:top w:val="single" w:sz="4" w:space="0" w:color="auto"/>
            </w:tcBorders>
            <w:shd w:val="clear" w:color="auto" w:fill="EDEDED"/>
            <w:vAlign w:val="bottom"/>
          </w:tcPr>
          <w:p w14:paraId="4386C8D8" w14:textId="77777777" w:rsidR="0017018E" w:rsidRPr="00FF02DC" w:rsidRDefault="0017018E" w:rsidP="00FF02DC">
            <w:pPr>
              <w:pStyle w:val="TableText"/>
              <w:jc w:val="center"/>
              <w:rPr>
                <w:b/>
              </w:rPr>
            </w:pPr>
            <w:r w:rsidRPr="00FF02DC">
              <w:rPr>
                <w:b/>
              </w:rPr>
              <w:t>2.10%</w:t>
            </w:r>
          </w:p>
        </w:tc>
      </w:tr>
      <w:tr w:rsidR="0017018E" w:rsidRPr="008575B5" w14:paraId="7BCDD285" w14:textId="77777777" w:rsidTr="00FF02DC">
        <w:trPr>
          <w:trHeight w:val="300"/>
        </w:trPr>
        <w:tc>
          <w:tcPr>
            <w:tcW w:w="2844" w:type="pct"/>
            <w:shd w:val="clear" w:color="auto" w:fill="auto"/>
            <w:noWrap/>
            <w:vAlign w:val="bottom"/>
            <w:hideMark/>
          </w:tcPr>
          <w:p w14:paraId="6DFDD7A1" w14:textId="77777777" w:rsidR="0017018E" w:rsidRPr="00FF02DC" w:rsidRDefault="0017018E" w:rsidP="00FF02DC">
            <w:pPr>
              <w:pStyle w:val="TableText"/>
              <w:rPr>
                <w:b/>
              </w:rPr>
            </w:pPr>
            <w:r w:rsidRPr="00FF02DC">
              <w:rPr>
                <w:b/>
              </w:rPr>
              <w:t xml:space="preserve">Construction      </w:t>
            </w:r>
          </w:p>
        </w:tc>
        <w:tc>
          <w:tcPr>
            <w:tcW w:w="1210" w:type="pct"/>
            <w:shd w:val="clear" w:color="auto" w:fill="auto"/>
            <w:noWrap/>
            <w:vAlign w:val="bottom"/>
            <w:hideMark/>
          </w:tcPr>
          <w:p w14:paraId="3E462ECE" w14:textId="77777777" w:rsidR="0017018E" w:rsidRPr="00FF02DC" w:rsidRDefault="0017018E" w:rsidP="00FF02DC">
            <w:pPr>
              <w:pStyle w:val="TableText"/>
              <w:jc w:val="center"/>
              <w:rPr>
                <w:b/>
              </w:rPr>
            </w:pPr>
            <w:r w:rsidRPr="00FF02DC">
              <w:rPr>
                <w:b/>
              </w:rPr>
              <w:t>1,080</w:t>
            </w:r>
          </w:p>
        </w:tc>
        <w:tc>
          <w:tcPr>
            <w:tcW w:w="946" w:type="pct"/>
            <w:vAlign w:val="bottom"/>
          </w:tcPr>
          <w:p w14:paraId="257E5D4B" w14:textId="77777777" w:rsidR="0017018E" w:rsidRPr="00FF02DC" w:rsidRDefault="0017018E" w:rsidP="00FF02DC">
            <w:pPr>
              <w:pStyle w:val="TableText"/>
              <w:jc w:val="center"/>
              <w:rPr>
                <w:b/>
              </w:rPr>
            </w:pPr>
            <w:r w:rsidRPr="00FF02DC">
              <w:rPr>
                <w:b/>
              </w:rPr>
              <w:t>1.60%</w:t>
            </w:r>
          </w:p>
        </w:tc>
      </w:tr>
      <w:tr w:rsidR="0017018E" w:rsidRPr="008575B5" w14:paraId="64DF3EC2" w14:textId="77777777" w:rsidTr="00FF02DC">
        <w:trPr>
          <w:trHeight w:val="300"/>
        </w:trPr>
        <w:tc>
          <w:tcPr>
            <w:tcW w:w="2844" w:type="pct"/>
            <w:tcBorders>
              <w:bottom w:val="single" w:sz="4" w:space="0" w:color="auto"/>
            </w:tcBorders>
            <w:shd w:val="clear" w:color="auto" w:fill="EDEDED"/>
            <w:noWrap/>
            <w:vAlign w:val="bottom"/>
            <w:hideMark/>
          </w:tcPr>
          <w:p w14:paraId="22123513" w14:textId="77777777" w:rsidR="0017018E" w:rsidRPr="00FF02DC" w:rsidRDefault="0017018E" w:rsidP="00FF02DC">
            <w:pPr>
              <w:pStyle w:val="TableText"/>
              <w:rPr>
                <w:b/>
              </w:rPr>
            </w:pPr>
            <w:r w:rsidRPr="00FF02DC">
              <w:rPr>
                <w:b/>
              </w:rPr>
              <w:t xml:space="preserve">Transport      </w:t>
            </w:r>
          </w:p>
        </w:tc>
        <w:tc>
          <w:tcPr>
            <w:tcW w:w="1210" w:type="pct"/>
            <w:tcBorders>
              <w:bottom w:val="single" w:sz="4" w:space="0" w:color="auto"/>
            </w:tcBorders>
            <w:shd w:val="clear" w:color="auto" w:fill="EDEDED"/>
            <w:noWrap/>
            <w:vAlign w:val="bottom"/>
            <w:hideMark/>
          </w:tcPr>
          <w:p w14:paraId="2F8ADE03" w14:textId="77777777" w:rsidR="0017018E" w:rsidRPr="00FF02DC" w:rsidRDefault="0017018E" w:rsidP="00FF02DC">
            <w:pPr>
              <w:pStyle w:val="TableText"/>
              <w:jc w:val="center"/>
              <w:rPr>
                <w:b/>
              </w:rPr>
            </w:pPr>
            <w:r w:rsidRPr="00FF02DC">
              <w:rPr>
                <w:b/>
              </w:rPr>
              <w:t>27,842</w:t>
            </w:r>
          </w:p>
        </w:tc>
        <w:tc>
          <w:tcPr>
            <w:tcW w:w="946" w:type="pct"/>
            <w:tcBorders>
              <w:bottom w:val="single" w:sz="4" w:space="0" w:color="auto"/>
            </w:tcBorders>
            <w:shd w:val="clear" w:color="auto" w:fill="EDEDED"/>
            <w:vAlign w:val="bottom"/>
          </w:tcPr>
          <w:p w14:paraId="7D73F732" w14:textId="77777777" w:rsidR="0017018E" w:rsidRPr="00FF02DC" w:rsidRDefault="0017018E" w:rsidP="00FF02DC">
            <w:pPr>
              <w:pStyle w:val="TableText"/>
              <w:jc w:val="center"/>
              <w:rPr>
                <w:b/>
              </w:rPr>
            </w:pPr>
            <w:r w:rsidRPr="00FF02DC">
              <w:rPr>
                <w:b/>
              </w:rPr>
              <w:t>2.80%</w:t>
            </w:r>
          </w:p>
        </w:tc>
      </w:tr>
      <w:tr w:rsidR="0017018E" w:rsidRPr="008575B5" w14:paraId="55EFD949" w14:textId="77777777" w:rsidTr="00FF02DC">
        <w:trPr>
          <w:trHeight w:val="300"/>
        </w:trPr>
        <w:tc>
          <w:tcPr>
            <w:tcW w:w="2844" w:type="pct"/>
            <w:tcBorders>
              <w:top w:val="single" w:sz="4" w:space="0" w:color="auto"/>
              <w:bottom w:val="single" w:sz="4" w:space="0" w:color="auto"/>
            </w:tcBorders>
            <w:shd w:val="clear" w:color="auto" w:fill="auto"/>
            <w:noWrap/>
            <w:vAlign w:val="bottom"/>
            <w:hideMark/>
          </w:tcPr>
          <w:p w14:paraId="63779395" w14:textId="77777777" w:rsidR="0017018E" w:rsidRPr="00FF02DC" w:rsidRDefault="0017018E" w:rsidP="00FF02DC">
            <w:pPr>
              <w:pStyle w:val="TableText"/>
              <w:rPr>
                <w:b/>
              </w:rPr>
            </w:pPr>
            <w:r w:rsidRPr="00FF02DC">
              <w:rPr>
                <w:b/>
              </w:rPr>
              <w:t xml:space="preserve">TOTAL      </w:t>
            </w:r>
          </w:p>
        </w:tc>
        <w:tc>
          <w:tcPr>
            <w:tcW w:w="1210" w:type="pct"/>
            <w:tcBorders>
              <w:top w:val="single" w:sz="4" w:space="0" w:color="auto"/>
              <w:bottom w:val="single" w:sz="4" w:space="0" w:color="auto"/>
            </w:tcBorders>
            <w:shd w:val="clear" w:color="auto" w:fill="auto"/>
            <w:noWrap/>
            <w:vAlign w:val="bottom"/>
            <w:hideMark/>
          </w:tcPr>
          <w:p w14:paraId="7D65A5AC" w14:textId="77777777" w:rsidR="0017018E" w:rsidRPr="00FF02DC" w:rsidRDefault="0017018E" w:rsidP="00FF02DC">
            <w:pPr>
              <w:pStyle w:val="TableText"/>
              <w:jc w:val="center"/>
              <w:rPr>
                <w:b/>
              </w:rPr>
            </w:pPr>
            <w:r w:rsidRPr="00FF02DC">
              <w:rPr>
                <w:b/>
              </w:rPr>
              <w:t>296,625</w:t>
            </w:r>
          </w:p>
        </w:tc>
        <w:tc>
          <w:tcPr>
            <w:tcW w:w="946" w:type="pct"/>
            <w:tcBorders>
              <w:top w:val="single" w:sz="4" w:space="0" w:color="auto"/>
              <w:bottom w:val="single" w:sz="4" w:space="0" w:color="auto"/>
            </w:tcBorders>
            <w:vAlign w:val="bottom"/>
          </w:tcPr>
          <w:p w14:paraId="3F91C2ED" w14:textId="77777777" w:rsidR="0017018E" w:rsidRPr="00FF02DC" w:rsidRDefault="0017018E" w:rsidP="00FF02DC">
            <w:pPr>
              <w:pStyle w:val="TableText"/>
              <w:jc w:val="center"/>
              <w:rPr>
                <w:b/>
              </w:rPr>
            </w:pPr>
            <w:r w:rsidRPr="00FF02DC">
              <w:rPr>
                <w:b/>
              </w:rPr>
              <w:t>4.20%</w:t>
            </w:r>
          </w:p>
        </w:tc>
      </w:tr>
    </w:tbl>
    <w:p w14:paraId="6D6FA187" w14:textId="77777777" w:rsidR="0017018E" w:rsidRDefault="0017018E" w:rsidP="0017018E"/>
    <w:p w14:paraId="5ABD9703" w14:textId="69196ECA" w:rsidR="0017018E" w:rsidRDefault="0017018E" w:rsidP="0017018E">
      <w:bookmarkStart w:id="55" w:name="_Ref359839844"/>
      <w:bookmarkStart w:id="56" w:name="_Toc359885782"/>
      <w:r>
        <w:t>Residential energy intensity is treated differently to other sectors in being measured in Gigajoules per dwelling (GJ/dwelling) initially. This per dwelling intensity</w:t>
      </w:r>
      <w:r w:rsidR="004A4950">
        <w:t xml:space="preserve"> is then multiplied by numbers for dwellings in Australia in a given future year to estimate total residential</w:t>
      </w:r>
      <w:r>
        <w:t xml:space="preserve"> energy end use</w:t>
      </w:r>
      <w:r w:rsidR="00462708">
        <w:t>.</w:t>
      </w:r>
    </w:p>
    <w:p w14:paraId="36572E39" w14:textId="7F1D7BEC" w:rsidR="0017018E" w:rsidRDefault="0017018E" w:rsidP="0017018E">
      <w:r>
        <w:t>Change in the residential energy end use for Current Trends was based on the report</w:t>
      </w:r>
      <w:r w:rsidRPr="00A326F1">
        <w:t xml:space="preserve"> </w:t>
      </w:r>
      <w:r w:rsidRPr="00A326F1">
        <w:rPr>
          <w:i/>
        </w:rPr>
        <w:t>Energy use in the Australian residential sector 1986</w:t>
      </w:r>
      <w:r w:rsidR="00462708">
        <w:rPr>
          <w:i/>
        </w:rPr>
        <w:t>–</w:t>
      </w:r>
      <w:r w:rsidRPr="00A326F1">
        <w:rPr>
          <w:i/>
        </w:rPr>
        <w:t>2020</w:t>
      </w:r>
      <w:r>
        <w:t xml:space="preserve"> </w:t>
      </w:r>
      <w:r>
        <w:fldChar w:fldCharType="begin"/>
      </w:r>
      <w:r w:rsidR="00D04510">
        <w:instrText xml:space="preserve"> ADDIN EN.CITE &lt;EndNote&gt;&lt;Cite&gt;&lt;Author&gt;Department of the Environment Water Heritage and the Arts&lt;/Author&gt;&lt;Year&gt;2008&lt;/Year&gt;&lt;RecNum&gt;321&lt;/RecNum&gt;&lt;DisplayText&gt;(Department of the Environment Water Heritage and the Arts, 2008)&lt;/DisplayText&gt;&lt;record&gt;&lt;rec-number&gt;321&lt;/rec-number&gt;&lt;foreign-keys&gt;&lt;key app="EN" db-id="t55vefr95ws0pgeffdlvtde0tdta909p2zv9"&gt;321&lt;/key&gt;&lt;/foreign-keys&gt;&lt;ref-type name="Book"&gt;6&lt;/ref-type&gt;&lt;contributors&gt;&lt;authors&gt;&lt;author&gt;Department of the Environment Water Heritage and the Arts,&lt;/author&gt;&lt;/authors&gt;&lt;/contributors&gt;&lt;titles&gt;&lt;title&gt;Energy use in the Australian residential sector 1986-2020&lt;/title&gt;&lt;/titles&gt;&lt;dates&gt;&lt;year&gt;2008&lt;/year&gt;&lt;/dates&gt;&lt;pub-location&gt;Canberra&lt;/pub-location&gt;&lt;publisher&gt;Commonwealth of Australia&lt;/publisher&gt;&lt;isbn&gt;978-1-921298-14-1&lt;/isbn&gt;&lt;urls&gt;&lt;related-urls&gt;&lt;url&gt;http://www.climatechange.gov.au/what-you-need-to-know/buildings/publications/energy-use.aspx&lt;/url&gt;&lt;/related-urls&gt;&lt;/urls&gt;&lt;/record&gt;&lt;/Cite&gt;&lt;/EndNote&gt;</w:instrText>
      </w:r>
      <w:r>
        <w:fldChar w:fldCharType="separate"/>
      </w:r>
      <w:r w:rsidR="00D04510">
        <w:rPr>
          <w:noProof/>
        </w:rPr>
        <w:t>(</w:t>
      </w:r>
      <w:hyperlink w:anchor="_ENREF_11" w:tooltip="Department of the Environment Water Heritage and the Arts, 2008 #321" w:history="1">
        <w:r w:rsidR="00462708">
          <w:rPr>
            <w:noProof/>
          </w:rPr>
          <w:t>DEWHA, 2008</w:t>
        </w:r>
      </w:hyperlink>
      <w:r w:rsidR="00D04510">
        <w:rPr>
          <w:noProof/>
        </w:rPr>
        <w:t>)</w:t>
      </w:r>
      <w:r>
        <w:fldChar w:fldCharType="end"/>
      </w:r>
      <w:r>
        <w:t xml:space="preserve">. The trends to 2020 were common across the Current Trends and Step Change scenarios and are shown for different residential end uses of </w:t>
      </w:r>
      <w:r w:rsidRPr="00462708">
        <w:t xml:space="preserve">energy </w:t>
      </w:r>
      <w:r w:rsidRPr="00FF02DC">
        <w:rPr>
          <w:color w:val="auto"/>
        </w:rPr>
        <w:t>in</w:t>
      </w:r>
      <w:r w:rsidR="00464964">
        <w:rPr>
          <w:color w:val="auto"/>
        </w:rPr>
        <w:t xml:space="preserve"> Figure 4</w:t>
      </w:r>
      <w:r w:rsidRPr="00FF02DC">
        <w:rPr>
          <w:color w:val="auto"/>
        </w:rPr>
        <w:t xml:space="preserve">. The </w:t>
      </w:r>
      <w:r>
        <w:t xml:space="preserve">extensions of water heating, cooking and appliance energy use per dwelling trends to 2050 were calculated as in Section </w:t>
      </w:r>
      <w:r>
        <w:fldChar w:fldCharType="begin"/>
      </w:r>
      <w:r>
        <w:instrText xml:space="preserve"> REF _Ref359842758 \n \h </w:instrText>
      </w:r>
      <w:r>
        <w:fldChar w:fldCharType="separate"/>
      </w:r>
      <w:r w:rsidR="004A26FB">
        <w:t>2.4</w:t>
      </w:r>
      <w:r>
        <w:fldChar w:fldCharType="end"/>
      </w:r>
      <w:r>
        <w:t>. The projection of space heating and cooling energy is a function of the projected mix of dwelling types</w:t>
      </w:r>
      <w:r w:rsidR="007720CF">
        <w:t xml:space="preserve"> (</w:t>
      </w:r>
      <w:r w:rsidR="007720CF" w:rsidRPr="007720CF">
        <w:t>proportion(t)</w:t>
      </w:r>
      <w:r w:rsidR="007720CF" w:rsidRPr="007720CF">
        <w:rPr>
          <w:vertAlign w:val="subscript"/>
        </w:rPr>
        <w:t>type</w:t>
      </w:r>
      <w:r w:rsidR="007720CF">
        <w:t>)</w:t>
      </w:r>
      <w:r>
        <w:t xml:space="preserve"> paired with assumptions that the trend of increasing dwelling floor space</w:t>
      </w:r>
      <w:r w:rsidR="007720CF">
        <w:t xml:space="preserve"> (</w:t>
      </w:r>
      <w:r w:rsidR="007720CF" w:rsidRPr="007720CF">
        <w:t>floor space(t)</w:t>
      </w:r>
      <w:r w:rsidR="007720CF" w:rsidRPr="007720CF">
        <w:rPr>
          <w:vertAlign w:val="subscript"/>
        </w:rPr>
        <w:t>type</w:t>
      </w:r>
      <w:r w:rsidR="007720CF">
        <w:t>)</w:t>
      </w:r>
      <w:r>
        <w:t xml:space="preserve"> continues to 2050 – </w:t>
      </w:r>
      <w:r w:rsidRPr="00FF02DC">
        <w:rPr>
          <w:color w:val="auto"/>
        </w:rPr>
        <w:t>refer to</w:t>
      </w:r>
      <w:r w:rsidR="00E6290E">
        <w:rPr>
          <w:color w:val="auto"/>
        </w:rPr>
        <w:t xml:space="preserve"> Equation 6 and Table 4.</w:t>
      </w:r>
      <w:r w:rsidRPr="00FF02DC">
        <w:rPr>
          <w:color w:val="auto"/>
        </w:rPr>
        <w:t>.</w:t>
      </w:r>
    </w:p>
    <w:bookmarkEnd w:id="55"/>
    <w:bookmarkEnd w:id="56"/>
    <w:p w14:paraId="49951C45" w14:textId="77777777" w:rsidR="00A65FB9" w:rsidRPr="00A65FB9" w:rsidRDefault="00A65FB9" w:rsidP="00A65FB9">
      <w:pPr>
        <w:rPr>
          <w:lang w:eastAsia="en-US"/>
        </w:rPr>
      </w:pPr>
    </w:p>
    <w:p w14:paraId="52888D4C" w14:textId="77777777" w:rsidR="007016E9" w:rsidRDefault="007016E9" w:rsidP="00EC1C03">
      <w:pPr>
        <w:jc w:val="both"/>
        <w:rPr>
          <w:noProof/>
        </w:rPr>
      </w:pPr>
    </w:p>
    <w:p w14:paraId="5BA18788" w14:textId="77777777" w:rsidR="007016E9" w:rsidRDefault="007016E9" w:rsidP="00EC1C03">
      <w:pPr>
        <w:jc w:val="both"/>
        <w:rPr>
          <w:noProof/>
        </w:rPr>
      </w:pPr>
    </w:p>
    <w:p w14:paraId="5ED94DF6" w14:textId="77777777" w:rsidR="007016E9" w:rsidRDefault="007016E9" w:rsidP="00EC1C03">
      <w:pPr>
        <w:jc w:val="both"/>
        <w:rPr>
          <w:noProof/>
        </w:rPr>
      </w:pPr>
    </w:p>
    <w:p w14:paraId="5190C33D" w14:textId="77777777" w:rsidR="007016E9" w:rsidRDefault="007016E9" w:rsidP="00EC1C03">
      <w:pPr>
        <w:jc w:val="both"/>
        <w:rPr>
          <w:noProof/>
        </w:rPr>
      </w:pPr>
    </w:p>
    <w:p w14:paraId="399ED214" w14:textId="77777777" w:rsidR="007016E9" w:rsidRDefault="007016E9" w:rsidP="00EC1C03">
      <w:pPr>
        <w:jc w:val="both"/>
        <w:rPr>
          <w:noProof/>
        </w:rPr>
      </w:pPr>
    </w:p>
    <w:p w14:paraId="1CEE17B8" w14:textId="77777777" w:rsidR="007016E9" w:rsidRDefault="007016E9" w:rsidP="00EC1C03">
      <w:pPr>
        <w:jc w:val="both"/>
        <w:rPr>
          <w:noProof/>
        </w:rPr>
      </w:pPr>
    </w:p>
    <w:p w14:paraId="1B0F2CB2" w14:textId="77777777" w:rsidR="007016E9" w:rsidRDefault="007016E9" w:rsidP="00EC1C03">
      <w:pPr>
        <w:jc w:val="both"/>
        <w:rPr>
          <w:noProof/>
        </w:rPr>
      </w:pPr>
    </w:p>
    <w:p w14:paraId="30326462" w14:textId="6246F587" w:rsidR="007016E9" w:rsidRDefault="007016E9" w:rsidP="00EC1C03">
      <w:pPr>
        <w:jc w:val="both"/>
        <w:rPr>
          <w:noProof/>
        </w:rPr>
      </w:pPr>
      <w:r>
        <w:rPr>
          <w:noProof/>
        </w:rPr>
        <w:drawing>
          <wp:anchor distT="0" distB="0" distL="114300" distR="114300" simplePos="0" relativeHeight="251746304" behindDoc="1" locked="0" layoutInCell="1" allowOverlap="1" wp14:anchorId="36DEA2EF" wp14:editId="47B77189">
            <wp:simplePos x="0" y="0"/>
            <wp:positionH relativeFrom="margin">
              <wp:align>left</wp:align>
            </wp:positionH>
            <wp:positionV relativeFrom="paragraph">
              <wp:posOffset>18602</wp:posOffset>
            </wp:positionV>
            <wp:extent cx="5571490" cy="3625850"/>
            <wp:effectExtent l="0" t="0" r="0" b="0"/>
            <wp:wrapTight wrapText="bothSides">
              <wp:wrapPolygon edited="0">
                <wp:start x="0" y="0"/>
                <wp:lineTo x="0" y="21449"/>
                <wp:lineTo x="21492" y="21449"/>
                <wp:lineTo x="21492" y="0"/>
                <wp:lineTo x="0" y="0"/>
              </wp:wrapPolygon>
            </wp:wrapTight>
            <wp:docPr id="57" name="Picture 141" descr="Figure four is a line graph. The Y axis data points range from zerio point zerio rising in increments of two to eighteen point zero representing gigajoules per dwelling, on the left, and from zero point zerio rising in increments of fifty to two hunderd and fifty point zero representing megajoule per square metre on the right. Data points on the X axis appear in increments of five  representing the period nineteen eighty to two thousand and twenty-five. The graph applies a coloured legend to four energy use efficiencies, appliances, cooking, water heating, and space and floor conditioning. Data plotted ranges nineteen eighty-five to two thousand and twenty. Trends show water heating energy use reduce, space heating fluctuates then trends downward from two thousand and five, appliance energy use trends upward while cooking energy use remains constant. " title="Residential energy intensities for different end uses from Energy use in the Australian residential sector nineteen eighty-six to two thousand and twen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71490" cy="3625850"/>
                    </a:xfrm>
                    <a:prstGeom prst="rect">
                      <a:avLst/>
                    </a:prstGeom>
                    <a:noFill/>
                    <a:ln w="9525">
                      <a:noFill/>
                      <a:miter lim="800000"/>
                      <a:headEnd/>
                      <a:tailEnd/>
                    </a:ln>
                  </pic:spPr>
                </pic:pic>
              </a:graphicData>
            </a:graphic>
          </wp:anchor>
        </w:drawing>
      </w:r>
    </w:p>
    <w:p w14:paraId="1841D487" w14:textId="77777777" w:rsidR="007016E9" w:rsidRDefault="007016E9" w:rsidP="00EC1C03">
      <w:pPr>
        <w:jc w:val="both"/>
        <w:rPr>
          <w:noProof/>
        </w:rPr>
      </w:pPr>
    </w:p>
    <w:p w14:paraId="3082F91D" w14:textId="2CFF8967" w:rsidR="007016E9" w:rsidRDefault="007016E9" w:rsidP="00EC1C03">
      <w:pPr>
        <w:jc w:val="both"/>
        <w:rPr>
          <w:noProof/>
        </w:rPr>
      </w:pPr>
    </w:p>
    <w:p w14:paraId="2B9B9E9C" w14:textId="6B041800" w:rsidR="007016E9" w:rsidRDefault="007016E9" w:rsidP="00EC1C03">
      <w:pPr>
        <w:jc w:val="both"/>
        <w:rPr>
          <w:noProof/>
        </w:rPr>
      </w:pPr>
    </w:p>
    <w:p w14:paraId="786A5B8E" w14:textId="1A688EA0" w:rsidR="0017018E" w:rsidRDefault="0017018E" w:rsidP="00EC1C03">
      <w:pPr>
        <w:jc w:val="both"/>
      </w:pPr>
    </w:p>
    <w:p w14:paraId="7F1A4E59" w14:textId="77777777" w:rsidR="007016E9" w:rsidRDefault="007016E9" w:rsidP="00EC1C03">
      <w:pPr>
        <w:jc w:val="both"/>
      </w:pPr>
    </w:p>
    <w:p w14:paraId="4292FF7D" w14:textId="77777777" w:rsidR="007016E9" w:rsidRDefault="007016E9" w:rsidP="00DB6FDA">
      <w:pPr>
        <w:pStyle w:val="Title"/>
        <w:rPr>
          <w:rFonts w:eastAsia="Calibri"/>
          <w:color w:val="00A9CE" w:themeColor="accent1"/>
          <w:kern w:val="0"/>
          <w:sz w:val="20"/>
          <w:szCs w:val="18"/>
          <w:lang w:eastAsia="en-AU"/>
        </w:rPr>
      </w:pPr>
      <w:bookmarkStart w:id="57" w:name="_Ref299020150"/>
      <w:bookmarkStart w:id="58" w:name="_Toc433972609"/>
    </w:p>
    <w:p w14:paraId="1C6043A4" w14:textId="77777777" w:rsidR="007016E9" w:rsidRDefault="007016E9" w:rsidP="00DB6FDA">
      <w:pPr>
        <w:pStyle w:val="Title"/>
        <w:rPr>
          <w:rFonts w:eastAsia="Calibri"/>
          <w:color w:val="00A9CE" w:themeColor="accent1"/>
          <w:kern w:val="0"/>
          <w:sz w:val="20"/>
          <w:szCs w:val="18"/>
          <w:lang w:eastAsia="en-AU"/>
        </w:rPr>
      </w:pPr>
    </w:p>
    <w:p w14:paraId="340FAD44" w14:textId="77777777" w:rsidR="007016E9" w:rsidRDefault="007016E9" w:rsidP="00DB6FDA">
      <w:pPr>
        <w:pStyle w:val="Title"/>
        <w:rPr>
          <w:rFonts w:eastAsia="Calibri"/>
          <w:color w:val="00A9CE" w:themeColor="accent1"/>
          <w:kern w:val="0"/>
          <w:sz w:val="20"/>
          <w:szCs w:val="18"/>
          <w:lang w:eastAsia="en-AU"/>
        </w:rPr>
      </w:pPr>
    </w:p>
    <w:p w14:paraId="5876D681" w14:textId="77777777" w:rsidR="007016E9" w:rsidRDefault="007016E9" w:rsidP="00DB6FDA">
      <w:pPr>
        <w:pStyle w:val="Title"/>
        <w:rPr>
          <w:rFonts w:eastAsia="Calibri"/>
          <w:color w:val="00A9CE" w:themeColor="accent1"/>
          <w:kern w:val="0"/>
          <w:sz w:val="20"/>
          <w:szCs w:val="18"/>
          <w:lang w:eastAsia="en-AU"/>
        </w:rPr>
      </w:pPr>
    </w:p>
    <w:p w14:paraId="620FF3AB" w14:textId="77777777" w:rsidR="007016E9" w:rsidRDefault="007016E9" w:rsidP="00DB6FDA">
      <w:pPr>
        <w:pStyle w:val="Title"/>
        <w:rPr>
          <w:rFonts w:eastAsia="Calibri"/>
          <w:color w:val="00A9CE" w:themeColor="accent1"/>
          <w:kern w:val="0"/>
          <w:sz w:val="20"/>
          <w:szCs w:val="18"/>
          <w:lang w:eastAsia="en-AU"/>
        </w:rPr>
      </w:pPr>
    </w:p>
    <w:p w14:paraId="1903DB0A" w14:textId="77777777" w:rsidR="007016E9" w:rsidRDefault="007016E9" w:rsidP="00DB6FDA">
      <w:pPr>
        <w:pStyle w:val="Title"/>
        <w:rPr>
          <w:rFonts w:eastAsia="Calibri"/>
          <w:color w:val="00A9CE" w:themeColor="accent1"/>
          <w:kern w:val="0"/>
          <w:sz w:val="20"/>
          <w:szCs w:val="18"/>
          <w:lang w:eastAsia="en-AU"/>
        </w:rPr>
      </w:pPr>
    </w:p>
    <w:p w14:paraId="43F6C209" w14:textId="77777777" w:rsidR="007016E9" w:rsidRDefault="007016E9" w:rsidP="00DB6FDA">
      <w:pPr>
        <w:pStyle w:val="Title"/>
        <w:rPr>
          <w:rFonts w:eastAsia="Calibri"/>
          <w:color w:val="00A9CE" w:themeColor="accent1"/>
          <w:kern w:val="0"/>
          <w:sz w:val="20"/>
          <w:szCs w:val="18"/>
          <w:lang w:eastAsia="en-AU"/>
        </w:rPr>
      </w:pPr>
    </w:p>
    <w:p w14:paraId="6C7E9DF8" w14:textId="77777777" w:rsidR="007016E9" w:rsidRDefault="007016E9" w:rsidP="00DB6FDA">
      <w:pPr>
        <w:pStyle w:val="Title"/>
        <w:rPr>
          <w:rFonts w:eastAsia="Calibri"/>
          <w:color w:val="00A9CE" w:themeColor="accent1"/>
          <w:kern w:val="0"/>
          <w:sz w:val="20"/>
          <w:szCs w:val="18"/>
          <w:lang w:eastAsia="en-AU"/>
        </w:rPr>
      </w:pPr>
    </w:p>
    <w:p w14:paraId="507F36F8" w14:textId="77777777" w:rsidR="007016E9" w:rsidRDefault="007016E9" w:rsidP="00DB6FDA">
      <w:pPr>
        <w:pStyle w:val="Title"/>
        <w:rPr>
          <w:rFonts w:eastAsia="Calibri"/>
          <w:color w:val="00A9CE" w:themeColor="accent1"/>
          <w:kern w:val="0"/>
          <w:sz w:val="20"/>
          <w:szCs w:val="18"/>
          <w:lang w:eastAsia="en-AU"/>
        </w:rPr>
      </w:pPr>
    </w:p>
    <w:p w14:paraId="23474448" w14:textId="4D8A4785" w:rsidR="00DB6FDA" w:rsidRPr="00DB5EB8" w:rsidRDefault="00DB6FDA" w:rsidP="00DB6FDA">
      <w:pPr>
        <w:pStyle w:val="Title"/>
        <w:rPr>
          <w:rFonts w:eastAsia="Calibri"/>
          <w:color w:val="00A9CE" w:themeColor="accent1"/>
          <w:kern w:val="0"/>
          <w:sz w:val="20"/>
          <w:szCs w:val="18"/>
          <w:lang w:eastAsia="en-AU"/>
        </w:rPr>
      </w:pPr>
      <w:r w:rsidRPr="00DB5EB8">
        <w:rPr>
          <w:rFonts w:eastAsia="Calibri"/>
          <w:color w:val="00A9CE" w:themeColor="accent1"/>
          <w:kern w:val="0"/>
          <w:sz w:val="20"/>
          <w:szCs w:val="18"/>
          <w:lang w:eastAsia="en-AU"/>
        </w:rPr>
        <w:t xml:space="preserve">Figure </w:t>
      </w:r>
      <w:r w:rsidR="00447CD6" w:rsidRPr="00DB5EB8">
        <w:rPr>
          <w:rFonts w:eastAsia="Calibri"/>
          <w:color w:val="00A9CE" w:themeColor="accent1"/>
          <w:kern w:val="0"/>
          <w:sz w:val="20"/>
          <w:szCs w:val="18"/>
          <w:lang w:eastAsia="en-AU"/>
        </w:rPr>
        <w:fldChar w:fldCharType="begin"/>
      </w:r>
      <w:r w:rsidR="00447CD6" w:rsidRPr="00DB5EB8">
        <w:rPr>
          <w:rFonts w:eastAsia="Calibri"/>
          <w:color w:val="00A9CE" w:themeColor="accent1"/>
          <w:kern w:val="0"/>
          <w:sz w:val="20"/>
          <w:szCs w:val="18"/>
          <w:lang w:eastAsia="en-AU"/>
        </w:rPr>
        <w:instrText xml:space="preserve"> SEQ Figure \* ARABIC </w:instrText>
      </w:r>
      <w:r w:rsidR="00447CD6" w:rsidRPr="00DB5EB8">
        <w:rPr>
          <w:rFonts w:eastAsia="Calibri"/>
          <w:color w:val="00A9CE" w:themeColor="accent1"/>
          <w:kern w:val="0"/>
          <w:sz w:val="20"/>
          <w:szCs w:val="18"/>
          <w:lang w:eastAsia="en-AU"/>
        </w:rPr>
        <w:fldChar w:fldCharType="separate"/>
      </w:r>
      <w:r w:rsidR="00165FBD">
        <w:rPr>
          <w:rFonts w:eastAsia="Calibri"/>
          <w:noProof/>
          <w:color w:val="00A9CE" w:themeColor="accent1"/>
          <w:kern w:val="0"/>
          <w:sz w:val="20"/>
          <w:szCs w:val="18"/>
          <w:lang w:eastAsia="en-AU"/>
        </w:rPr>
        <w:t>4</w:t>
      </w:r>
      <w:r w:rsidR="00447CD6" w:rsidRPr="00DB5EB8">
        <w:rPr>
          <w:rFonts w:eastAsia="Calibri"/>
          <w:color w:val="00A9CE" w:themeColor="accent1"/>
          <w:kern w:val="0"/>
          <w:sz w:val="20"/>
          <w:szCs w:val="18"/>
          <w:lang w:eastAsia="en-AU"/>
        </w:rPr>
        <w:fldChar w:fldCharType="end"/>
      </w:r>
      <w:bookmarkEnd w:id="57"/>
      <w:r w:rsidRPr="00DB5EB8">
        <w:rPr>
          <w:rFonts w:eastAsia="Calibri"/>
          <w:color w:val="00A9CE" w:themeColor="accent1"/>
          <w:kern w:val="0"/>
          <w:sz w:val="20"/>
          <w:szCs w:val="18"/>
          <w:lang w:eastAsia="en-AU"/>
        </w:rPr>
        <w:t>: Residential energy intensities for different end uses from Energy use in the Australian residential sector 1986</w:t>
      </w:r>
      <w:r w:rsidR="006D68BE">
        <w:rPr>
          <w:rFonts w:eastAsia="Calibri"/>
          <w:color w:val="00A9CE" w:themeColor="accent1"/>
          <w:kern w:val="0"/>
          <w:sz w:val="20"/>
          <w:szCs w:val="18"/>
          <w:lang w:eastAsia="en-AU"/>
        </w:rPr>
        <w:t>–</w:t>
      </w:r>
      <w:r w:rsidRPr="00DB5EB8">
        <w:rPr>
          <w:rFonts w:eastAsia="Calibri"/>
          <w:color w:val="00A9CE" w:themeColor="accent1"/>
          <w:kern w:val="0"/>
          <w:sz w:val="20"/>
          <w:szCs w:val="18"/>
          <w:lang w:eastAsia="en-AU"/>
        </w:rPr>
        <w:t xml:space="preserve">2020 </w:t>
      </w:r>
      <w:r w:rsidRPr="00DB5EB8">
        <w:rPr>
          <w:rFonts w:eastAsia="Calibri"/>
          <w:color w:val="00A9CE" w:themeColor="accent1"/>
          <w:kern w:val="0"/>
          <w:sz w:val="20"/>
          <w:szCs w:val="18"/>
          <w:lang w:eastAsia="en-AU"/>
        </w:rPr>
        <w:fldChar w:fldCharType="begin"/>
      </w:r>
      <w:r w:rsidR="00D04510">
        <w:rPr>
          <w:rFonts w:eastAsia="Calibri"/>
          <w:color w:val="00A9CE" w:themeColor="accent1"/>
          <w:kern w:val="0"/>
          <w:sz w:val="20"/>
          <w:szCs w:val="18"/>
          <w:lang w:eastAsia="en-AU"/>
        </w:rPr>
        <w:instrText xml:space="preserve"> ADDIN EN.CITE &lt;EndNote&gt;&lt;Cite&gt;&lt;Author&gt;Department of the Environment Water Heritage and the Arts&lt;/Author&gt;&lt;Year&gt;2008&lt;/Year&gt;&lt;RecNum&gt;321&lt;/RecNum&gt;&lt;DisplayText&gt;(Department of the Environment Water Heritage and the Arts, 2008)&lt;/DisplayText&gt;&lt;record&gt;&lt;rec-number&gt;321&lt;/rec-number&gt;&lt;foreign-keys&gt;&lt;key app="EN" db-id="t55vefr95ws0pgeffdlvtde0tdta909p2zv9"&gt;321&lt;/key&gt;&lt;/foreign-keys&gt;&lt;ref-type name="Book"&gt;6&lt;/ref-type&gt;&lt;contributors&gt;&lt;authors&gt;&lt;author&gt;Department of the Environment Water Heritage and the Arts,&lt;/author&gt;&lt;/authors&gt;&lt;/contributors&gt;&lt;titles&gt;&lt;title&gt;Energy use in the Australian residential sector 1986-2020&lt;/title&gt;&lt;/titles&gt;&lt;dates&gt;&lt;year&gt;2008&lt;/year&gt;&lt;/dates&gt;&lt;pub-location&gt;Canberra&lt;/pub-location&gt;&lt;publisher&gt;Commonwealth of Australia&lt;/publisher&gt;&lt;isbn&gt;978-1-921298-14-1&lt;/isbn&gt;&lt;urls&gt;&lt;related-urls&gt;&lt;url&gt;http://www.climatechange.gov.au/what-you-need-to-know/buildings/publications/energy-use.aspx&lt;/url&gt;&lt;/related-urls&gt;&lt;/urls&gt;&lt;/record&gt;&lt;/Cite&gt;&lt;/EndNote&gt;</w:instrText>
      </w:r>
      <w:r w:rsidRPr="00DB5EB8">
        <w:rPr>
          <w:rFonts w:eastAsia="Calibri"/>
          <w:color w:val="00A9CE" w:themeColor="accent1"/>
          <w:kern w:val="0"/>
          <w:sz w:val="20"/>
          <w:szCs w:val="18"/>
          <w:lang w:eastAsia="en-AU"/>
        </w:rPr>
        <w:fldChar w:fldCharType="separate"/>
      </w:r>
      <w:r w:rsidR="00D04510">
        <w:rPr>
          <w:rFonts w:eastAsia="Calibri"/>
          <w:noProof/>
          <w:color w:val="00A9CE" w:themeColor="accent1"/>
          <w:kern w:val="0"/>
          <w:sz w:val="20"/>
          <w:szCs w:val="18"/>
          <w:lang w:eastAsia="en-AU"/>
        </w:rPr>
        <w:t>(</w:t>
      </w:r>
      <w:hyperlink w:anchor="_ENREF_11" w:tooltip="Department of the Environment Water Heritage and the Arts, 2008 #321" w:history="1">
        <w:r w:rsidR="00462708">
          <w:rPr>
            <w:rFonts w:eastAsia="Calibri"/>
            <w:noProof/>
            <w:color w:val="00A9CE" w:themeColor="accent1"/>
            <w:kern w:val="0"/>
            <w:sz w:val="20"/>
            <w:szCs w:val="18"/>
            <w:lang w:eastAsia="en-AU"/>
          </w:rPr>
          <w:t xml:space="preserve">DEWHA, </w:t>
        </w:r>
        <w:r w:rsidR="00D04510">
          <w:rPr>
            <w:rFonts w:eastAsia="Calibri"/>
            <w:noProof/>
            <w:color w:val="00A9CE" w:themeColor="accent1"/>
            <w:kern w:val="0"/>
            <w:sz w:val="20"/>
            <w:szCs w:val="18"/>
            <w:lang w:eastAsia="en-AU"/>
          </w:rPr>
          <w:t>2008</w:t>
        </w:r>
      </w:hyperlink>
      <w:r w:rsidR="00D04510">
        <w:rPr>
          <w:rFonts w:eastAsia="Calibri"/>
          <w:noProof/>
          <w:color w:val="00A9CE" w:themeColor="accent1"/>
          <w:kern w:val="0"/>
          <w:sz w:val="20"/>
          <w:szCs w:val="18"/>
          <w:lang w:eastAsia="en-AU"/>
        </w:rPr>
        <w:t>)</w:t>
      </w:r>
      <w:r w:rsidRPr="00DB5EB8">
        <w:rPr>
          <w:rFonts w:eastAsia="Calibri"/>
          <w:color w:val="00A9CE" w:themeColor="accent1"/>
          <w:kern w:val="0"/>
          <w:sz w:val="20"/>
          <w:szCs w:val="18"/>
          <w:lang w:eastAsia="en-AU"/>
        </w:rPr>
        <w:fldChar w:fldCharType="end"/>
      </w:r>
      <w:r w:rsidR="007720CF">
        <w:rPr>
          <w:rFonts w:eastAsia="Calibri"/>
          <w:color w:val="00A9CE" w:themeColor="accent1"/>
          <w:kern w:val="0"/>
          <w:sz w:val="20"/>
          <w:szCs w:val="18"/>
          <w:lang w:eastAsia="en-AU"/>
        </w:rPr>
        <w:t>.</w:t>
      </w:r>
      <w:bookmarkEnd w:id="58"/>
    </w:p>
    <w:p w14:paraId="00135501" w14:textId="77777777" w:rsidR="00DB6FDA" w:rsidRPr="00DB5EB8" w:rsidRDefault="00DB6FDA" w:rsidP="0017018E">
      <w:pPr>
        <w:rPr>
          <w:b/>
          <w:bCs/>
          <w:color w:val="00A9CE" w:themeColor="accent1"/>
          <w:sz w:val="20"/>
          <w:szCs w:val="18"/>
        </w:rPr>
      </w:pPr>
    </w:p>
    <w:p w14:paraId="00B0A87C" w14:textId="2FF7CB39" w:rsidR="0017018E" w:rsidRDefault="0017018E" w:rsidP="0017018E">
      <w:pPr>
        <w:pStyle w:val="Title"/>
        <w:rPr>
          <w:rFonts w:eastAsia="Calibri"/>
          <w:color w:val="00A9CE" w:themeColor="accent1"/>
          <w:kern w:val="0"/>
          <w:sz w:val="20"/>
          <w:szCs w:val="18"/>
          <w:lang w:eastAsia="en-AU"/>
        </w:rPr>
      </w:pPr>
      <w:bookmarkStart w:id="59" w:name="_Ref359858183"/>
      <w:r w:rsidRPr="00DB5EB8">
        <w:rPr>
          <w:rFonts w:eastAsia="Calibri"/>
          <w:color w:val="00A9CE" w:themeColor="accent1"/>
          <w:kern w:val="0"/>
          <w:sz w:val="20"/>
          <w:szCs w:val="18"/>
          <w:lang w:eastAsia="en-AU"/>
        </w:rPr>
        <w:t xml:space="preserve">Equation </w:t>
      </w:r>
      <w:r w:rsidR="00447CD6" w:rsidRPr="00DB5EB8">
        <w:rPr>
          <w:rFonts w:eastAsia="Calibri"/>
          <w:color w:val="00A9CE" w:themeColor="accent1"/>
          <w:kern w:val="0"/>
          <w:sz w:val="20"/>
          <w:szCs w:val="18"/>
          <w:lang w:eastAsia="en-AU"/>
        </w:rPr>
        <w:fldChar w:fldCharType="begin"/>
      </w:r>
      <w:r w:rsidR="00447CD6" w:rsidRPr="00DB5EB8">
        <w:rPr>
          <w:rFonts w:eastAsia="Calibri"/>
          <w:color w:val="00A9CE" w:themeColor="accent1"/>
          <w:kern w:val="0"/>
          <w:sz w:val="20"/>
          <w:szCs w:val="18"/>
          <w:lang w:eastAsia="en-AU"/>
        </w:rPr>
        <w:instrText xml:space="preserve"> SEQ Equation \* ARABIC </w:instrText>
      </w:r>
      <w:r w:rsidR="00447CD6" w:rsidRPr="00DB5EB8">
        <w:rPr>
          <w:rFonts w:eastAsia="Calibri"/>
          <w:color w:val="00A9CE" w:themeColor="accent1"/>
          <w:kern w:val="0"/>
          <w:sz w:val="20"/>
          <w:szCs w:val="18"/>
          <w:lang w:eastAsia="en-AU"/>
        </w:rPr>
        <w:fldChar w:fldCharType="separate"/>
      </w:r>
      <w:r w:rsidR="004A26FB">
        <w:rPr>
          <w:rFonts w:eastAsia="Calibri"/>
          <w:noProof/>
          <w:color w:val="00A9CE" w:themeColor="accent1"/>
          <w:kern w:val="0"/>
          <w:sz w:val="20"/>
          <w:szCs w:val="18"/>
          <w:lang w:eastAsia="en-AU"/>
        </w:rPr>
        <w:t>6</w:t>
      </w:r>
      <w:r w:rsidR="00447CD6" w:rsidRPr="00DB5EB8">
        <w:rPr>
          <w:rFonts w:eastAsia="Calibri"/>
          <w:color w:val="00A9CE" w:themeColor="accent1"/>
          <w:kern w:val="0"/>
          <w:sz w:val="20"/>
          <w:szCs w:val="18"/>
          <w:lang w:eastAsia="en-AU"/>
        </w:rPr>
        <w:fldChar w:fldCharType="end"/>
      </w:r>
      <w:bookmarkEnd w:id="59"/>
      <w:r w:rsidRPr="00DB5EB8">
        <w:rPr>
          <w:rFonts w:eastAsia="Calibri"/>
          <w:color w:val="00A9CE" w:themeColor="accent1"/>
          <w:kern w:val="0"/>
          <w:sz w:val="20"/>
          <w:szCs w:val="18"/>
          <w:lang w:eastAsia="en-AU"/>
        </w:rPr>
        <w:t>: here T</w:t>
      </w:r>
      <w:r w:rsidRPr="007720CF">
        <w:rPr>
          <w:rFonts w:eastAsia="Calibri"/>
          <w:color w:val="00A9CE" w:themeColor="accent1"/>
          <w:kern w:val="0"/>
          <w:sz w:val="20"/>
          <w:szCs w:val="20"/>
          <w:vertAlign w:val="subscript"/>
          <w:lang w:eastAsia="en-AU"/>
        </w:rPr>
        <w:t>C</w:t>
      </w:r>
      <w:r w:rsidRPr="00DB5EB8">
        <w:rPr>
          <w:rFonts w:eastAsia="Calibri"/>
          <w:color w:val="00A9CE" w:themeColor="accent1"/>
          <w:kern w:val="0"/>
          <w:sz w:val="20"/>
          <w:szCs w:val="18"/>
          <w:lang w:eastAsia="en-AU"/>
        </w:rPr>
        <w:t xml:space="preserve"> is the Current Trends total energy for space heating, S is the specific space conditioning intensity (MJ/m</w:t>
      </w:r>
      <w:r w:rsidRPr="007720CF">
        <w:rPr>
          <w:rFonts w:eastAsia="Calibri"/>
          <w:color w:val="00A9CE" w:themeColor="accent1"/>
          <w:kern w:val="0"/>
          <w:sz w:val="20"/>
          <w:szCs w:val="20"/>
          <w:vertAlign w:val="superscript"/>
          <w:lang w:eastAsia="en-AU"/>
        </w:rPr>
        <w:t>2</w:t>
      </w:r>
      <w:r w:rsidR="007720CF">
        <w:rPr>
          <w:rFonts w:eastAsia="Calibri"/>
          <w:color w:val="00A9CE" w:themeColor="accent1"/>
          <w:kern w:val="0"/>
          <w:sz w:val="20"/>
          <w:szCs w:val="18"/>
          <w:lang w:eastAsia="en-AU"/>
        </w:rPr>
        <w:t>)</w:t>
      </w:r>
      <w:r w:rsidRPr="00DB5EB8">
        <w:rPr>
          <w:rFonts w:eastAsia="Calibri"/>
          <w:color w:val="00A9CE" w:themeColor="accent1"/>
          <w:kern w:val="0"/>
          <w:sz w:val="20"/>
          <w:szCs w:val="18"/>
          <w:lang w:eastAsia="en-AU"/>
        </w:rPr>
        <w:t>, D(t) is the total number of dwellings at time, t and proportion(t)</w:t>
      </w:r>
      <w:r w:rsidRPr="007720CF">
        <w:rPr>
          <w:rFonts w:eastAsia="Calibri"/>
          <w:color w:val="00A9CE" w:themeColor="accent1"/>
          <w:kern w:val="0"/>
          <w:sz w:val="20"/>
          <w:szCs w:val="20"/>
          <w:vertAlign w:val="subscript"/>
          <w:lang w:eastAsia="en-AU"/>
        </w:rPr>
        <w:t>type</w:t>
      </w:r>
      <w:r w:rsidRPr="00DB5EB8">
        <w:rPr>
          <w:rFonts w:eastAsia="Calibri"/>
          <w:color w:val="00A9CE" w:themeColor="accent1"/>
          <w:kern w:val="0"/>
          <w:sz w:val="20"/>
          <w:szCs w:val="18"/>
          <w:lang w:eastAsia="en-AU"/>
        </w:rPr>
        <w:t xml:space="preserve"> and floor space(t)</w:t>
      </w:r>
      <w:r w:rsidRPr="007720CF">
        <w:rPr>
          <w:rFonts w:eastAsia="Calibri"/>
          <w:color w:val="00A9CE" w:themeColor="accent1"/>
          <w:kern w:val="0"/>
          <w:sz w:val="20"/>
          <w:szCs w:val="20"/>
          <w:vertAlign w:val="subscript"/>
          <w:lang w:eastAsia="en-AU"/>
        </w:rPr>
        <w:t>type</w:t>
      </w:r>
      <w:r w:rsidR="007720CF">
        <w:rPr>
          <w:rFonts w:eastAsia="Calibri"/>
          <w:color w:val="00A9CE" w:themeColor="accent1"/>
          <w:kern w:val="0"/>
          <w:sz w:val="20"/>
          <w:szCs w:val="18"/>
          <w:lang w:eastAsia="en-AU"/>
        </w:rPr>
        <w:t xml:space="preserve"> are</w:t>
      </w:r>
      <w:r w:rsidRPr="00DB5EB8">
        <w:rPr>
          <w:rFonts w:eastAsia="Calibri"/>
          <w:color w:val="00A9CE" w:themeColor="accent1"/>
          <w:kern w:val="0"/>
          <w:sz w:val="20"/>
          <w:szCs w:val="18"/>
          <w:lang w:eastAsia="en-AU"/>
        </w:rPr>
        <w:t xml:space="preserve"> the proportion of total dwellings</w:t>
      </w:r>
      <w:r w:rsidR="007720CF">
        <w:rPr>
          <w:rFonts w:eastAsia="Calibri"/>
          <w:color w:val="00A9CE" w:themeColor="accent1"/>
          <w:kern w:val="0"/>
          <w:sz w:val="20"/>
          <w:szCs w:val="18"/>
          <w:lang w:eastAsia="en-AU"/>
        </w:rPr>
        <w:t>,</w:t>
      </w:r>
      <w:r w:rsidRPr="00DB5EB8">
        <w:rPr>
          <w:rFonts w:eastAsia="Calibri"/>
          <w:color w:val="00A9CE" w:themeColor="accent1"/>
          <w:kern w:val="0"/>
          <w:sz w:val="20"/>
          <w:szCs w:val="18"/>
          <w:lang w:eastAsia="en-AU"/>
        </w:rPr>
        <w:t xml:space="preserve"> and the average floor space of dwellings of types listed in </w:t>
      </w:r>
      <w:r w:rsidRPr="00DB5EB8">
        <w:rPr>
          <w:rFonts w:eastAsia="Calibri"/>
          <w:color w:val="00A9CE" w:themeColor="accent1"/>
          <w:kern w:val="0"/>
          <w:sz w:val="20"/>
          <w:szCs w:val="18"/>
          <w:lang w:eastAsia="en-AU"/>
        </w:rPr>
        <w:fldChar w:fldCharType="begin"/>
      </w:r>
      <w:r w:rsidRPr="00DB5EB8">
        <w:rPr>
          <w:rFonts w:eastAsia="Calibri"/>
          <w:color w:val="00A9CE" w:themeColor="accent1"/>
          <w:kern w:val="0"/>
          <w:sz w:val="20"/>
          <w:szCs w:val="18"/>
          <w:lang w:eastAsia="en-AU"/>
        </w:rPr>
        <w:instrText xml:space="preserve"> REF _Ref359843966 \h </w:instrText>
      </w:r>
      <w:r w:rsidR="00DB5EB8">
        <w:rPr>
          <w:rFonts w:eastAsia="Calibri"/>
          <w:color w:val="00A9CE" w:themeColor="accent1"/>
          <w:kern w:val="0"/>
          <w:sz w:val="20"/>
          <w:szCs w:val="18"/>
          <w:lang w:eastAsia="en-AU"/>
        </w:rPr>
        <w:instrText xml:space="preserve"> \* MERGEFORMAT </w:instrText>
      </w:r>
      <w:r w:rsidRPr="00DB5EB8">
        <w:rPr>
          <w:rFonts w:eastAsia="Calibri"/>
          <w:color w:val="00A9CE" w:themeColor="accent1"/>
          <w:kern w:val="0"/>
          <w:sz w:val="20"/>
          <w:szCs w:val="18"/>
          <w:lang w:eastAsia="en-AU"/>
        </w:rPr>
      </w:r>
      <w:r w:rsidRPr="00DB5EB8">
        <w:rPr>
          <w:rFonts w:eastAsia="Calibri"/>
          <w:color w:val="00A9CE" w:themeColor="accent1"/>
          <w:kern w:val="0"/>
          <w:sz w:val="20"/>
          <w:szCs w:val="18"/>
          <w:lang w:eastAsia="en-AU"/>
        </w:rPr>
        <w:fldChar w:fldCharType="separate"/>
      </w:r>
      <w:r w:rsidR="004A26FB" w:rsidRPr="00DB5EB8">
        <w:rPr>
          <w:rFonts w:eastAsia="Calibri"/>
          <w:color w:val="00A9CE" w:themeColor="accent1"/>
          <w:kern w:val="0"/>
          <w:sz w:val="20"/>
          <w:szCs w:val="18"/>
          <w:lang w:eastAsia="en-AU"/>
        </w:rPr>
        <w:t xml:space="preserve">Table </w:t>
      </w:r>
      <w:r w:rsidR="004A26FB">
        <w:rPr>
          <w:rFonts w:eastAsia="Calibri"/>
          <w:color w:val="00A9CE" w:themeColor="accent1"/>
          <w:kern w:val="0"/>
          <w:sz w:val="20"/>
          <w:szCs w:val="18"/>
          <w:lang w:eastAsia="en-AU"/>
        </w:rPr>
        <w:t>4</w:t>
      </w:r>
      <w:r w:rsidRPr="00DB5EB8">
        <w:rPr>
          <w:rFonts w:eastAsia="Calibri"/>
          <w:color w:val="00A9CE" w:themeColor="accent1"/>
          <w:kern w:val="0"/>
          <w:sz w:val="20"/>
          <w:szCs w:val="18"/>
          <w:lang w:eastAsia="en-AU"/>
        </w:rPr>
        <w:fldChar w:fldCharType="end"/>
      </w:r>
      <w:r w:rsidR="007720CF">
        <w:rPr>
          <w:rFonts w:eastAsia="Calibri"/>
          <w:color w:val="00A9CE" w:themeColor="accent1"/>
          <w:kern w:val="0"/>
          <w:sz w:val="20"/>
          <w:szCs w:val="18"/>
          <w:lang w:eastAsia="en-AU"/>
        </w:rPr>
        <w:t xml:space="preserve">, </w:t>
      </w:r>
      <w:r w:rsidR="007720CF" w:rsidRPr="00DB5EB8">
        <w:rPr>
          <w:rFonts w:eastAsia="Calibri"/>
          <w:color w:val="00A9CE" w:themeColor="accent1"/>
          <w:kern w:val="0"/>
          <w:sz w:val="20"/>
          <w:szCs w:val="18"/>
          <w:lang w:eastAsia="en-AU"/>
        </w:rPr>
        <w:t>respectively</w:t>
      </w:r>
      <w:r w:rsidRPr="00DB5EB8">
        <w:rPr>
          <w:rFonts w:eastAsia="Calibri"/>
          <w:color w:val="00A9CE" w:themeColor="accent1"/>
          <w:kern w:val="0"/>
          <w:sz w:val="20"/>
          <w:szCs w:val="18"/>
          <w:lang w:eastAsia="en-AU"/>
        </w:rPr>
        <w:t>.</w:t>
      </w:r>
    </w:p>
    <w:p w14:paraId="2056A284" w14:textId="7BBD6399" w:rsidR="006132C8" w:rsidRPr="006132C8" w:rsidRDefault="006132C8" w:rsidP="006132C8">
      <w:r>
        <w:rPr>
          <w:noProof/>
          <w:color w:val="00A9CE" w:themeColor="accent1"/>
          <w:sz w:val="20"/>
          <w:szCs w:val="18"/>
        </w:rPr>
        <mc:AlternateContent>
          <mc:Choice Requires="wps">
            <w:drawing>
              <wp:anchor distT="0" distB="0" distL="114300" distR="114300" simplePos="0" relativeHeight="251744256" behindDoc="1" locked="0" layoutInCell="1" allowOverlap="1" wp14:anchorId="402FE603" wp14:editId="031A43DF">
                <wp:simplePos x="0" y="0"/>
                <wp:positionH relativeFrom="column">
                  <wp:posOffset>1062990</wp:posOffset>
                </wp:positionH>
                <wp:positionV relativeFrom="paragraph">
                  <wp:posOffset>10795</wp:posOffset>
                </wp:positionV>
                <wp:extent cx="4099560" cy="533400"/>
                <wp:effectExtent l="0" t="0" r="0" b="0"/>
                <wp:wrapTight wrapText="bothSides">
                  <wp:wrapPolygon edited="0">
                    <wp:start x="0" y="0"/>
                    <wp:lineTo x="0" y="20829"/>
                    <wp:lineTo x="21480" y="20829"/>
                    <wp:lineTo x="21480" y="0"/>
                    <wp:lineTo x="0" y="0"/>
                  </wp:wrapPolygon>
                </wp:wrapTight>
                <wp:docPr id="24" name="Text Box 24" descr="t subscript c equals sum for type of D open parentheses t close parentheses x proportion open parentheses t close parentheses subscript type end subscript x floor space space open parentheses t close parentheses subscript type end subscript x S." title="Equation 6"/>
                <wp:cNvGraphicFramePr/>
                <a:graphic xmlns:a="http://schemas.openxmlformats.org/drawingml/2006/main">
                  <a:graphicData uri="http://schemas.microsoft.com/office/word/2010/wordprocessingShape">
                    <wps:wsp>
                      <wps:cNvSpPr txBox="1"/>
                      <wps:spPr>
                        <a:xfrm>
                          <a:off x="0" y="0"/>
                          <a:ext cx="4099560" cy="533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0395530" w14:textId="7379B968" w:rsidR="0073787E" w:rsidRDefault="00CC2859">
                            <m:oMathPara>
                              <m:oMath>
                                <m:sSub>
                                  <m:sSubPr>
                                    <m:ctrlPr>
                                      <w:rPr>
                                        <w:rFonts w:ascii="Cambria Math" w:hAnsi="Cambria Math"/>
                                        <w:i/>
                                      </w:rPr>
                                    </m:ctrlPr>
                                  </m:sSubPr>
                                  <m:e>
                                    <m:r>
                                      <w:rPr>
                                        <w:rFonts w:ascii="Cambria Math" w:hAnsi="Cambria Math"/>
                                      </w:rPr>
                                      <m:t>T</m:t>
                                    </m:r>
                                  </m:e>
                                  <m:sub>
                                    <m:r>
                                      <w:rPr>
                                        <w:rFonts w:ascii="Cambria Math" w:hAnsi="Cambria Math"/>
                                      </w:rPr>
                                      <m:t>C</m:t>
                                    </m:r>
                                  </m:sub>
                                </m:sSub>
                                <m:r>
                                  <w:rPr>
                                    <w:rFonts w:ascii="Cambria Math" w:hAnsi="Cambria Math"/>
                                  </w:rPr>
                                  <m:t>=</m:t>
                                </m:r>
                                <m:nary>
                                  <m:naryPr>
                                    <m:chr m:val="∑"/>
                                    <m:limLoc m:val="undOvr"/>
                                    <m:supHide m:val="1"/>
                                    <m:ctrlPr>
                                      <w:rPr>
                                        <w:rFonts w:ascii="Cambria Math" w:hAnsi="Cambria Math"/>
                                        <w:i/>
                                      </w:rPr>
                                    </m:ctrlPr>
                                  </m:naryPr>
                                  <m:sub>
                                    <m:r>
                                      <w:rPr>
                                        <w:rFonts w:ascii="Cambria Math" w:hAnsi="Cambria Math"/>
                                      </w:rPr>
                                      <m:t>type</m:t>
                                    </m:r>
                                  </m:sub>
                                  <m:sup/>
                                  <m:e>
                                    <m:sSub>
                                      <m:sSubPr>
                                        <m:ctrlPr>
                                          <w:rPr>
                                            <w:rFonts w:ascii="Cambria Math" w:hAnsi="Cambria Math"/>
                                            <w:i/>
                                          </w:rPr>
                                        </m:ctrlPr>
                                      </m:sSubPr>
                                      <m:e>
                                        <m:r>
                                          <w:rPr>
                                            <w:rFonts w:ascii="Cambria Math" w:hAnsi="Cambria Math"/>
                                          </w:rPr>
                                          <m:t>D(t)</m:t>
                                        </m:r>
                                        <m:sSub>
                                          <m:sSubPr>
                                            <m:ctrlPr>
                                              <w:rPr>
                                                <w:rFonts w:ascii="Cambria Math" w:hAnsi="Cambria Math"/>
                                                <w:i/>
                                              </w:rPr>
                                            </m:ctrlPr>
                                          </m:sSubPr>
                                          <m:e>
                                            <m:r>
                                              <w:rPr>
                                                <w:rFonts w:ascii="Cambria Math" w:hAnsi="Cambria Math"/>
                                              </w:rPr>
                                              <m:t>×proportion(t)</m:t>
                                            </m:r>
                                          </m:e>
                                          <m:sub>
                                            <m:r>
                                              <w:rPr>
                                                <w:rFonts w:ascii="Cambria Math" w:hAnsi="Cambria Math"/>
                                              </w:rPr>
                                              <m:t>type</m:t>
                                            </m:r>
                                          </m:sub>
                                        </m:sSub>
                                        <m:r>
                                          <w:rPr>
                                            <w:rFonts w:ascii="Cambria Math" w:hAnsi="Cambria Math"/>
                                          </w:rPr>
                                          <m:t>×floor space(t)</m:t>
                                        </m:r>
                                      </m:e>
                                      <m:sub>
                                        <m:r>
                                          <w:rPr>
                                            <w:rFonts w:ascii="Cambria Math" w:hAnsi="Cambria Math"/>
                                          </w:rPr>
                                          <m:t>type</m:t>
                                        </m:r>
                                      </m:sub>
                                    </m:sSub>
                                    <m:r>
                                      <w:rPr>
                                        <w:rFonts w:ascii="Cambria Math" w:hAnsi="Cambria Math"/>
                                      </w:rPr>
                                      <m:t>×</m:t>
                                    </m:r>
                                  </m:e>
                                </m:nary>
                                <m:r>
                                  <w:rPr>
                                    <w:rFonts w:ascii="Cambria Math" w:hAnsi="Cambria Math"/>
                                  </w:rPr>
                                  <m:t>S</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2FE603" id="Text Box 24" o:spid="_x0000_s1063" type="#_x0000_t202" alt="Title: Equation 6 - Description: t subscript c equals sum for type of D open parentheses t close parentheses x proportion open parentheses t close parentheses subscript type end subscript x floor space space open parentheses t close parentheses subscript type end subscript x S." style="position:absolute;margin-left:83.7pt;margin-top:.85pt;width:322.8pt;height:42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" fillcolor="white [3201]" stroked="f" strokeweight=".5pt">
                <v:textbox>
                  <w:txbxContent>
                    <w:p w14:paraId="10395530" w14:textId="7379B968" w:rsidR="0073787E" w:rsidRDefault="0073787E">
                      <m:oMathPara>
                        <m:oMath>
                          <m:sSub>
                            <m:sSubPr>
                              <m:ctrlPr>
                                <w:rPr>
                                  <w:rFonts w:ascii="Cambria Math" w:hAnsi="Cambria Math"/>
                                  <w:i/>
                                </w:rPr>
                              </m:ctrlPr>
                            </m:sSubPr>
                            <m:e>
                              <m:r>
                                <w:rPr>
                                  <w:rFonts w:ascii="Cambria Math" w:hAnsi="Cambria Math"/>
                                </w:rPr>
                                <m:t>T</m:t>
                              </m:r>
                            </m:e>
                            <m:sub>
                              <m:r>
                                <w:rPr>
                                  <w:rFonts w:ascii="Cambria Math" w:hAnsi="Cambria Math"/>
                                </w:rPr>
                                <m:t>C</m:t>
                              </m:r>
                            </m:sub>
                          </m:sSub>
                          <m:r>
                            <w:rPr>
                              <w:rFonts w:ascii="Cambria Math" w:hAnsi="Cambria Math"/>
                            </w:rPr>
                            <m:t>=</m:t>
                          </m:r>
                          <m:nary>
                            <m:naryPr>
                              <m:chr m:val="∑"/>
                              <m:limLoc m:val="undOvr"/>
                              <m:supHide m:val="1"/>
                              <m:ctrlPr>
                                <w:rPr>
                                  <w:rFonts w:ascii="Cambria Math" w:hAnsi="Cambria Math"/>
                                  <w:i/>
                                </w:rPr>
                              </m:ctrlPr>
                            </m:naryPr>
                            <m:sub>
                              <m:r>
                                <w:rPr>
                                  <w:rFonts w:ascii="Cambria Math" w:hAnsi="Cambria Math"/>
                                </w:rPr>
                                <m:t>type</m:t>
                              </m:r>
                            </m:sub>
                            <m:sup/>
                            <m:e>
                              <m:sSub>
                                <m:sSubPr>
                                  <m:ctrlPr>
                                    <w:rPr>
                                      <w:rFonts w:ascii="Cambria Math" w:hAnsi="Cambria Math"/>
                                      <w:i/>
                                    </w:rPr>
                                  </m:ctrlPr>
                                </m:sSubPr>
                                <m:e>
                                  <m:r>
                                    <w:rPr>
                                      <w:rFonts w:ascii="Cambria Math" w:hAnsi="Cambria Math"/>
                                    </w:rPr>
                                    <m:t>D(t)</m:t>
                                  </m:r>
                                  <m:sSub>
                                    <m:sSubPr>
                                      <m:ctrlPr>
                                        <w:rPr>
                                          <w:rFonts w:ascii="Cambria Math" w:hAnsi="Cambria Math"/>
                                          <w:i/>
                                        </w:rPr>
                                      </m:ctrlPr>
                                    </m:sSubPr>
                                    <m:e>
                                      <m:r>
                                        <w:rPr>
                                          <w:rFonts w:ascii="Cambria Math" w:hAnsi="Cambria Math"/>
                                        </w:rPr>
                                        <m:t>×proportion(t)</m:t>
                                      </m:r>
                                    </m:e>
                                    <m:sub>
                                      <m:r>
                                        <w:rPr>
                                          <w:rFonts w:ascii="Cambria Math" w:hAnsi="Cambria Math"/>
                                        </w:rPr>
                                        <m:t>type</m:t>
                                      </m:r>
                                    </m:sub>
                                  </m:sSub>
                                  <m:r>
                                    <w:rPr>
                                      <w:rFonts w:ascii="Cambria Math" w:hAnsi="Cambria Math"/>
                                    </w:rPr>
                                    <m:t>×floor space(t)</m:t>
                                  </m:r>
                                </m:e>
                                <m:sub>
                                  <m:r>
                                    <w:rPr>
                                      <w:rFonts w:ascii="Cambria Math" w:hAnsi="Cambria Math"/>
                                    </w:rPr>
                                    <m:t>type</m:t>
                                  </m:r>
                                </m:sub>
                              </m:sSub>
                              <m:r>
                                <w:rPr>
                                  <w:rFonts w:ascii="Cambria Math" w:hAnsi="Cambria Math"/>
                                </w:rPr>
                                <m:t>×</m:t>
                              </m:r>
                            </m:e>
                          </m:nary>
                          <m:r>
                            <w:rPr>
                              <w:rFonts w:ascii="Cambria Math" w:hAnsi="Cambria Math"/>
                            </w:rPr>
                            <m:t>S</m:t>
                          </m:r>
                        </m:oMath>
                      </m:oMathPara>
                    </w:p>
                  </w:txbxContent>
                </v:textbox>
                <w10:wrap type="tight"/>
              </v:shape>
            </w:pict>
          </mc:Fallback>
        </mc:AlternateContent>
      </w:r>
    </w:p>
    <w:p w14:paraId="594634E7" w14:textId="77777777" w:rsidR="006132C8" w:rsidRPr="006132C8" w:rsidRDefault="006132C8" w:rsidP="006132C8"/>
    <w:p w14:paraId="143C5B77" w14:textId="3BBD97EA" w:rsidR="0017018E" w:rsidRDefault="0017018E" w:rsidP="0017018E"/>
    <w:p w14:paraId="6A8DB11F" w14:textId="13C7D0D6" w:rsidR="0017018E" w:rsidRPr="00DB5EB8" w:rsidRDefault="0017018E" w:rsidP="0017018E">
      <w:pPr>
        <w:pStyle w:val="Title"/>
        <w:rPr>
          <w:rFonts w:eastAsia="Calibri"/>
          <w:color w:val="00A9CE" w:themeColor="accent1"/>
          <w:kern w:val="0"/>
          <w:sz w:val="20"/>
          <w:szCs w:val="18"/>
          <w:lang w:eastAsia="en-AU"/>
        </w:rPr>
      </w:pPr>
      <w:bookmarkStart w:id="60" w:name="_Ref359843966"/>
      <w:bookmarkStart w:id="61" w:name="_Toc359911308"/>
      <w:bookmarkStart w:id="62" w:name="_Toc433977521"/>
      <w:r w:rsidRPr="00DB5EB8">
        <w:rPr>
          <w:rFonts w:eastAsia="Calibri"/>
          <w:color w:val="00A9CE" w:themeColor="accent1"/>
          <w:kern w:val="0"/>
          <w:sz w:val="20"/>
          <w:szCs w:val="18"/>
          <w:lang w:eastAsia="en-AU"/>
        </w:rPr>
        <w:t xml:space="preserve">Table </w:t>
      </w:r>
      <w:r w:rsidR="00447CD6" w:rsidRPr="00DB5EB8">
        <w:rPr>
          <w:rFonts w:eastAsia="Calibri"/>
          <w:color w:val="00A9CE" w:themeColor="accent1"/>
          <w:kern w:val="0"/>
          <w:sz w:val="20"/>
          <w:szCs w:val="18"/>
          <w:lang w:eastAsia="en-AU"/>
        </w:rPr>
        <w:fldChar w:fldCharType="begin"/>
      </w:r>
      <w:r w:rsidR="00447CD6" w:rsidRPr="00DB5EB8">
        <w:rPr>
          <w:rFonts w:eastAsia="Calibri"/>
          <w:color w:val="00A9CE" w:themeColor="accent1"/>
          <w:kern w:val="0"/>
          <w:sz w:val="20"/>
          <w:szCs w:val="18"/>
          <w:lang w:eastAsia="en-AU"/>
        </w:rPr>
        <w:instrText xml:space="preserve"> SEQ Table \* ARABIC </w:instrText>
      </w:r>
      <w:r w:rsidR="00447CD6" w:rsidRPr="00DB5EB8">
        <w:rPr>
          <w:rFonts w:eastAsia="Calibri"/>
          <w:color w:val="00A9CE" w:themeColor="accent1"/>
          <w:kern w:val="0"/>
          <w:sz w:val="20"/>
          <w:szCs w:val="18"/>
          <w:lang w:eastAsia="en-AU"/>
        </w:rPr>
        <w:fldChar w:fldCharType="separate"/>
      </w:r>
      <w:r w:rsidR="0048332C">
        <w:rPr>
          <w:rFonts w:eastAsia="Calibri"/>
          <w:noProof/>
          <w:color w:val="00A9CE" w:themeColor="accent1"/>
          <w:kern w:val="0"/>
          <w:sz w:val="20"/>
          <w:szCs w:val="18"/>
          <w:lang w:eastAsia="en-AU"/>
        </w:rPr>
        <w:t>4</w:t>
      </w:r>
      <w:r w:rsidR="00447CD6" w:rsidRPr="00DB5EB8">
        <w:rPr>
          <w:rFonts w:eastAsia="Calibri"/>
          <w:color w:val="00A9CE" w:themeColor="accent1"/>
          <w:kern w:val="0"/>
          <w:sz w:val="20"/>
          <w:szCs w:val="18"/>
          <w:lang w:eastAsia="en-AU"/>
        </w:rPr>
        <w:fldChar w:fldCharType="end"/>
      </w:r>
      <w:bookmarkEnd w:id="60"/>
      <w:r w:rsidRPr="00DB5EB8">
        <w:rPr>
          <w:rFonts w:eastAsia="Calibri"/>
          <w:color w:val="00A9CE" w:themeColor="accent1"/>
          <w:kern w:val="0"/>
          <w:sz w:val="20"/>
          <w:szCs w:val="18"/>
          <w:lang w:eastAsia="en-AU"/>
        </w:rPr>
        <w:t>: Assumptions of residential dwelling type mix and floor space in the Current Trends scenario</w:t>
      </w:r>
      <w:bookmarkEnd w:id="61"/>
      <w:r w:rsidR="006B1DD2">
        <w:rPr>
          <w:rFonts w:eastAsia="Calibri"/>
          <w:color w:val="00A9CE" w:themeColor="accent1"/>
          <w:kern w:val="0"/>
          <w:sz w:val="20"/>
          <w:szCs w:val="18"/>
          <w:lang w:eastAsia="en-AU"/>
        </w:rPr>
        <w:t>.</w:t>
      </w:r>
      <w:bookmarkEnd w:id="62"/>
    </w:p>
    <w:tbl>
      <w:tblPr>
        <w:tblW w:w="5000" w:type="pct"/>
        <w:tblLook w:val="04A0" w:firstRow="1" w:lastRow="0" w:firstColumn="1" w:lastColumn="0" w:noHBand="0" w:noVBand="1"/>
        <w:tblCaption w:val="Assumptions of residential dwelling type mix and floor space in the Current Trends scenario"/>
        <w:tblDescription w:val="Table four provides the propertion of all dwelling types and floor space of new dwellings for the time periods of two thousand and twelve and two thousand and fifty in the Current Trends scenario. Dwelling types are noted as separate house, semi detached, and apartment.  Proportion of all dwelling types are denoted as percentages. Floor space of new dwellings is presented as meters squared. "/>
      </w:tblPr>
      <w:tblGrid>
        <w:gridCol w:w="1904"/>
        <w:gridCol w:w="1937"/>
        <w:gridCol w:w="1937"/>
        <w:gridCol w:w="1930"/>
        <w:gridCol w:w="1930"/>
      </w:tblGrid>
      <w:tr w:rsidR="00E00B97" w:rsidRPr="00DB024D" w14:paraId="4305C40F" w14:textId="77777777" w:rsidTr="00D64017">
        <w:tc>
          <w:tcPr>
            <w:tcW w:w="988" w:type="pct"/>
            <w:shd w:val="clear" w:color="auto" w:fill="000000" w:themeFill="text1"/>
          </w:tcPr>
          <w:p w14:paraId="62FF8048" w14:textId="77777777" w:rsidR="0017018E" w:rsidRPr="008575B5" w:rsidRDefault="0017018E" w:rsidP="00D64017">
            <w:pPr>
              <w:pStyle w:val="ColumnHeading"/>
              <w:spacing w:before="120" w:after="60"/>
              <w:jc w:val="center"/>
              <w:rPr>
                <w:szCs w:val="16"/>
              </w:rPr>
            </w:pPr>
          </w:p>
        </w:tc>
        <w:tc>
          <w:tcPr>
            <w:tcW w:w="2010" w:type="pct"/>
            <w:gridSpan w:val="2"/>
            <w:shd w:val="clear" w:color="auto" w:fill="000000" w:themeFill="text1"/>
          </w:tcPr>
          <w:p w14:paraId="7EE933E0" w14:textId="77777777" w:rsidR="0017018E" w:rsidRPr="00D64017" w:rsidRDefault="0017018E" w:rsidP="00D64017">
            <w:pPr>
              <w:pStyle w:val="ColumnHeading"/>
              <w:spacing w:before="120" w:after="60"/>
              <w:jc w:val="center"/>
              <w:rPr>
                <w:b w:val="0"/>
                <w:szCs w:val="16"/>
              </w:rPr>
            </w:pPr>
            <w:r w:rsidRPr="00D64017">
              <w:rPr>
                <w:szCs w:val="16"/>
              </w:rPr>
              <w:t>Proportion of all dwelling types</w:t>
            </w:r>
          </w:p>
        </w:tc>
        <w:tc>
          <w:tcPr>
            <w:tcW w:w="2001" w:type="pct"/>
            <w:gridSpan w:val="2"/>
            <w:shd w:val="clear" w:color="auto" w:fill="000000" w:themeFill="text1"/>
          </w:tcPr>
          <w:p w14:paraId="537823E4" w14:textId="77777777" w:rsidR="0017018E" w:rsidRPr="00D64017" w:rsidRDefault="0017018E" w:rsidP="00D64017">
            <w:pPr>
              <w:pStyle w:val="ColumnHeading"/>
              <w:spacing w:before="120" w:after="60"/>
              <w:jc w:val="center"/>
              <w:rPr>
                <w:b w:val="0"/>
                <w:szCs w:val="16"/>
              </w:rPr>
            </w:pPr>
            <w:r w:rsidRPr="00D64017">
              <w:rPr>
                <w:szCs w:val="16"/>
              </w:rPr>
              <w:t>Floor Space of New Dwelling (m</w:t>
            </w:r>
            <w:r w:rsidRPr="00D64017">
              <w:rPr>
                <w:szCs w:val="16"/>
                <w:vertAlign w:val="superscript"/>
              </w:rPr>
              <w:t>2</w:t>
            </w:r>
            <w:r w:rsidRPr="00D64017">
              <w:rPr>
                <w:szCs w:val="16"/>
              </w:rPr>
              <w:t>)</w:t>
            </w:r>
          </w:p>
        </w:tc>
      </w:tr>
      <w:tr w:rsidR="00E00B97" w:rsidRPr="00DB024D" w14:paraId="7CC85D3E" w14:textId="77777777" w:rsidTr="00D64017">
        <w:tc>
          <w:tcPr>
            <w:tcW w:w="988" w:type="pct"/>
            <w:shd w:val="clear" w:color="auto" w:fill="auto"/>
          </w:tcPr>
          <w:p w14:paraId="4F3F524F" w14:textId="77777777" w:rsidR="0017018E" w:rsidRPr="00DB024D" w:rsidRDefault="0017018E" w:rsidP="00D64017">
            <w:pPr>
              <w:pStyle w:val="RowHeading"/>
            </w:pPr>
          </w:p>
        </w:tc>
        <w:tc>
          <w:tcPr>
            <w:tcW w:w="1005" w:type="pct"/>
            <w:shd w:val="clear" w:color="auto" w:fill="auto"/>
          </w:tcPr>
          <w:p w14:paraId="4B4578E4" w14:textId="77777777" w:rsidR="0017018E" w:rsidRPr="00DB024D" w:rsidRDefault="0017018E" w:rsidP="00D64017">
            <w:pPr>
              <w:pStyle w:val="RowHeading"/>
              <w:jc w:val="center"/>
            </w:pPr>
            <w:r w:rsidRPr="00DB024D">
              <w:t>2012</w:t>
            </w:r>
          </w:p>
        </w:tc>
        <w:tc>
          <w:tcPr>
            <w:tcW w:w="1005" w:type="pct"/>
            <w:shd w:val="clear" w:color="auto" w:fill="auto"/>
          </w:tcPr>
          <w:p w14:paraId="433B94A6" w14:textId="77777777" w:rsidR="0017018E" w:rsidRPr="00DB024D" w:rsidRDefault="0017018E" w:rsidP="00D64017">
            <w:pPr>
              <w:pStyle w:val="RowHeading"/>
              <w:jc w:val="center"/>
            </w:pPr>
            <w:r w:rsidRPr="00DB024D">
              <w:t>2050</w:t>
            </w:r>
          </w:p>
        </w:tc>
        <w:tc>
          <w:tcPr>
            <w:tcW w:w="1001" w:type="pct"/>
            <w:shd w:val="clear" w:color="auto" w:fill="auto"/>
          </w:tcPr>
          <w:p w14:paraId="5FC28BA1" w14:textId="77777777" w:rsidR="0017018E" w:rsidRPr="00DB024D" w:rsidRDefault="0017018E" w:rsidP="00D64017">
            <w:pPr>
              <w:pStyle w:val="RowHeading"/>
              <w:jc w:val="center"/>
            </w:pPr>
            <w:r w:rsidRPr="00DB024D">
              <w:t>2012</w:t>
            </w:r>
          </w:p>
        </w:tc>
        <w:tc>
          <w:tcPr>
            <w:tcW w:w="1001" w:type="pct"/>
            <w:shd w:val="clear" w:color="auto" w:fill="auto"/>
          </w:tcPr>
          <w:p w14:paraId="45738BD6" w14:textId="77777777" w:rsidR="0017018E" w:rsidRPr="00DB024D" w:rsidRDefault="0017018E" w:rsidP="00D64017">
            <w:pPr>
              <w:pStyle w:val="RowHeading"/>
              <w:jc w:val="center"/>
            </w:pPr>
            <w:r w:rsidRPr="00DB024D">
              <w:t>2050</w:t>
            </w:r>
          </w:p>
        </w:tc>
      </w:tr>
      <w:tr w:rsidR="00E00B97" w:rsidRPr="00DB024D" w14:paraId="38F9E54E" w14:textId="77777777" w:rsidTr="00D64017">
        <w:tc>
          <w:tcPr>
            <w:tcW w:w="988" w:type="pct"/>
            <w:shd w:val="clear" w:color="auto" w:fill="EDEDED"/>
          </w:tcPr>
          <w:p w14:paraId="2DADFED2" w14:textId="76B4014E" w:rsidR="0017018E" w:rsidRPr="00D64017" w:rsidRDefault="0017018E" w:rsidP="00D64017">
            <w:pPr>
              <w:pStyle w:val="TableText"/>
              <w:rPr>
                <w:color w:val="auto"/>
              </w:rPr>
            </w:pPr>
            <w:r w:rsidRPr="00D64017">
              <w:rPr>
                <w:color w:val="auto"/>
              </w:rPr>
              <w:t xml:space="preserve">Separate </w:t>
            </w:r>
            <w:r w:rsidR="005A103C">
              <w:rPr>
                <w:color w:val="auto"/>
              </w:rPr>
              <w:t>h</w:t>
            </w:r>
            <w:r w:rsidRPr="00D64017">
              <w:rPr>
                <w:color w:val="auto"/>
              </w:rPr>
              <w:t>ouse</w:t>
            </w:r>
          </w:p>
        </w:tc>
        <w:tc>
          <w:tcPr>
            <w:tcW w:w="1005" w:type="pct"/>
            <w:shd w:val="clear" w:color="auto" w:fill="EDEDED"/>
            <w:vAlign w:val="bottom"/>
          </w:tcPr>
          <w:p w14:paraId="07159C54" w14:textId="77777777" w:rsidR="0017018E" w:rsidRPr="00D64017" w:rsidRDefault="0017018E" w:rsidP="00D64017">
            <w:pPr>
              <w:pStyle w:val="TableText"/>
              <w:jc w:val="center"/>
              <w:rPr>
                <w:color w:val="auto"/>
              </w:rPr>
            </w:pPr>
            <w:r w:rsidRPr="00D64017">
              <w:rPr>
                <w:color w:val="auto"/>
              </w:rPr>
              <w:t>78.8%</w:t>
            </w:r>
          </w:p>
        </w:tc>
        <w:tc>
          <w:tcPr>
            <w:tcW w:w="1005" w:type="pct"/>
            <w:shd w:val="clear" w:color="auto" w:fill="EDEDED"/>
            <w:vAlign w:val="bottom"/>
          </w:tcPr>
          <w:p w14:paraId="631AF46B" w14:textId="77777777" w:rsidR="0017018E" w:rsidRPr="00D64017" w:rsidRDefault="0017018E" w:rsidP="00D64017">
            <w:pPr>
              <w:pStyle w:val="TableText"/>
              <w:jc w:val="center"/>
              <w:rPr>
                <w:color w:val="auto"/>
              </w:rPr>
            </w:pPr>
            <w:r w:rsidRPr="00D64017">
              <w:rPr>
                <w:color w:val="auto"/>
              </w:rPr>
              <w:t>78.8%</w:t>
            </w:r>
          </w:p>
        </w:tc>
        <w:tc>
          <w:tcPr>
            <w:tcW w:w="1001" w:type="pct"/>
            <w:shd w:val="clear" w:color="auto" w:fill="EDEDED"/>
          </w:tcPr>
          <w:p w14:paraId="1C1F85AA" w14:textId="77777777" w:rsidR="0017018E" w:rsidRPr="00D64017" w:rsidRDefault="0017018E" w:rsidP="00D64017">
            <w:pPr>
              <w:pStyle w:val="TableText"/>
              <w:jc w:val="center"/>
              <w:rPr>
                <w:color w:val="auto"/>
              </w:rPr>
            </w:pPr>
            <w:r w:rsidRPr="00D64017">
              <w:rPr>
                <w:color w:val="auto"/>
              </w:rPr>
              <w:t>257</w:t>
            </w:r>
          </w:p>
        </w:tc>
        <w:tc>
          <w:tcPr>
            <w:tcW w:w="1001" w:type="pct"/>
            <w:shd w:val="clear" w:color="auto" w:fill="EDEDED"/>
            <w:vAlign w:val="bottom"/>
          </w:tcPr>
          <w:p w14:paraId="0057879B" w14:textId="77777777" w:rsidR="0017018E" w:rsidRPr="00D64017" w:rsidRDefault="0017018E" w:rsidP="00D64017">
            <w:pPr>
              <w:pStyle w:val="TableText"/>
              <w:jc w:val="center"/>
              <w:rPr>
                <w:color w:val="auto"/>
              </w:rPr>
            </w:pPr>
            <w:r w:rsidRPr="00D64017">
              <w:rPr>
                <w:color w:val="auto"/>
              </w:rPr>
              <w:t>394</w:t>
            </w:r>
          </w:p>
        </w:tc>
      </w:tr>
      <w:tr w:rsidR="00E00B97" w:rsidRPr="00DB024D" w14:paraId="3A5B0290" w14:textId="77777777" w:rsidTr="00D64017">
        <w:tc>
          <w:tcPr>
            <w:tcW w:w="988" w:type="pct"/>
            <w:shd w:val="clear" w:color="auto" w:fill="auto"/>
          </w:tcPr>
          <w:p w14:paraId="65DEAA51" w14:textId="77777777" w:rsidR="0017018E" w:rsidRPr="00D64017" w:rsidRDefault="0017018E" w:rsidP="00D64017">
            <w:pPr>
              <w:pStyle w:val="TableText"/>
              <w:rPr>
                <w:color w:val="auto"/>
              </w:rPr>
            </w:pPr>
            <w:r w:rsidRPr="00D64017">
              <w:rPr>
                <w:color w:val="auto"/>
              </w:rPr>
              <w:t>Semi-detached</w:t>
            </w:r>
          </w:p>
        </w:tc>
        <w:tc>
          <w:tcPr>
            <w:tcW w:w="1005" w:type="pct"/>
            <w:shd w:val="clear" w:color="auto" w:fill="auto"/>
            <w:vAlign w:val="bottom"/>
          </w:tcPr>
          <w:p w14:paraId="2A38CA81" w14:textId="77777777" w:rsidR="0017018E" w:rsidRPr="00D64017" w:rsidRDefault="0017018E" w:rsidP="00D64017">
            <w:pPr>
              <w:pStyle w:val="TableText"/>
              <w:jc w:val="center"/>
              <w:rPr>
                <w:color w:val="auto"/>
              </w:rPr>
            </w:pPr>
            <w:r w:rsidRPr="00D64017">
              <w:rPr>
                <w:color w:val="auto"/>
              </w:rPr>
              <w:t>9.6%</w:t>
            </w:r>
          </w:p>
        </w:tc>
        <w:tc>
          <w:tcPr>
            <w:tcW w:w="1005" w:type="pct"/>
            <w:shd w:val="clear" w:color="auto" w:fill="auto"/>
            <w:vAlign w:val="bottom"/>
          </w:tcPr>
          <w:p w14:paraId="5FBD91F9" w14:textId="77777777" w:rsidR="0017018E" w:rsidRPr="00D64017" w:rsidRDefault="0017018E" w:rsidP="00D64017">
            <w:pPr>
              <w:pStyle w:val="TableText"/>
              <w:jc w:val="center"/>
              <w:rPr>
                <w:color w:val="auto"/>
              </w:rPr>
            </w:pPr>
            <w:r w:rsidRPr="00D64017">
              <w:rPr>
                <w:color w:val="auto"/>
              </w:rPr>
              <w:t>9.6%</w:t>
            </w:r>
          </w:p>
        </w:tc>
        <w:tc>
          <w:tcPr>
            <w:tcW w:w="1001" w:type="pct"/>
            <w:shd w:val="clear" w:color="auto" w:fill="auto"/>
          </w:tcPr>
          <w:p w14:paraId="0695F8DE" w14:textId="77777777" w:rsidR="0017018E" w:rsidRPr="00D64017" w:rsidRDefault="0017018E" w:rsidP="00D64017">
            <w:pPr>
              <w:pStyle w:val="TableText"/>
              <w:jc w:val="center"/>
              <w:rPr>
                <w:color w:val="auto"/>
              </w:rPr>
            </w:pPr>
            <w:r w:rsidRPr="00D64017">
              <w:rPr>
                <w:color w:val="auto"/>
              </w:rPr>
              <w:t>157</w:t>
            </w:r>
          </w:p>
        </w:tc>
        <w:tc>
          <w:tcPr>
            <w:tcW w:w="1001" w:type="pct"/>
            <w:shd w:val="clear" w:color="auto" w:fill="auto"/>
            <w:vAlign w:val="bottom"/>
          </w:tcPr>
          <w:p w14:paraId="42791658" w14:textId="77777777" w:rsidR="0017018E" w:rsidRPr="00D64017" w:rsidRDefault="0017018E" w:rsidP="00D64017">
            <w:pPr>
              <w:pStyle w:val="TableText"/>
              <w:jc w:val="center"/>
              <w:rPr>
                <w:color w:val="auto"/>
              </w:rPr>
            </w:pPr>
            <w:r w:rsidRPr="00D64017">
              <w:rPr>
                <w:color w:val="auto"/>
              </w:rPr>
              <w:t>241</w:t>
            </w:r>
          </w:p>
        </w:tc>
      </w:tr>
      <w:tr w:rsidR="00E00B97" w:rsidRPr="00C10B42" w14:paraId="2FED70A6" w14:textId="77777777" w:rsidTr="00D64017">
        <w:tc>
          <w:tcPr>
            <w:tcW w:w="988" w:type="pct"/>
            <w:tcBorders>
              <w:bottom w:val="single" w:sz="4" w:space="0" w:color="auto"/>
            </w:tcBorders>
            <w:shd w:val="clear" w:color="auto" w:fill="EDEDED"/>
          </w:tcPr>
          <w:p w14:paraId="507E2AEC" w14:textId="77777777" w:rsidR="0017018E" w:rsidRPr="00D64017" w:rsidRDefault="0017018E" w:rsidP="00D64017">
            <w:pPr>
              <w:pStyle w:val="TableText"/>
              <w:rPr>
                <w:color w:val="auto"/>
              </w:rPr>
            </w:pPr>
            <w:r w:rsidRPr="00D64017">
              <w:rPr>
                <w:color w:val="auto"/>
              </w:rPr>
              <w:t>Apartment</w:t>
            </w:r>
          </w:p>
        </w:tc>
        <w:tc>
          <w:tcPr>
            <w:tcW w:w="1005" w:type="pct"/>
            <w:tcBorders>
              <w:bottom w:val="single" w:sz="4" w:space="0" w:color="auto"/>
            </w:tcBorders>
            <w:shd w:val="clear" w:color="auto" w:fill="EDEDED"/>
            <w:vAlign w:val="bottom"/>
          </w:tcPr>
          <w:p w14:paraId="13418D0F" w14:textId="77777777" w:rsidR="0017018E" w:rsidRPr="00D64017" w:rsidRDefault="0017018E" w:rsidP="00D64017">
            <w:pPr>
              <w:pStyle w:val="TableText"/>
              <w:jc w:val="center"/>
              <w:rPr>
                <w:color w:val="auto"/>
              </w:rPr>
            </w:pPr>
            <w:r w:rsidRPr="00D64017">
              <w:rPr>
                <w:color w:val="auto"/>
              </w:rPr>
              <w:t>11.6%</w:t>
            </w:r>
          </w:p>
        </w:tc>
        <w:tc>
          <w:tcPr>
            <w:tcW w:w="1005" w:type="pct"/>
            <w:tcBorders>
              <w:bottom w:val="single" w:sz="4" w:space="0" w:color="auto"/>
            </w:tcBorders>
            <w:shd w:val="clear" w:color="auto" w:fill="EDEDED"/>
            <w:vAlign w:val="bottom"/>
          </w:tcPr>
          <w:p w14:paraId="54CD2C73" w14:textId="77777777" w:rsidR="0017018E" w:rsidRPr="00D64017" w:rsidRDefault="0017018E" w:rsidP="00D64017">
            <w:pPr>
              <w:pStyle w:val="TableText"/>
              <w:jc w:val="center"/>
              <w:rPr>
                <w:color w:val="auto"/>
              </w:rPr>
            </w:pPr>
            <w:r w:rsidRPr="00D64017">
              <w:rPr>
                <w:color w:val="auto"/>
              </w:rPr>
              <w:t>11.6%</w:t>
            </w:r>
          </w:p>
        </w:tc>
        <w:tc>
          <w:tcPr>
            <w:tcW w:w="1001" w:type="pct"/>
            <w:tcBorders>
              <w:bottom w:val="single" w:sz="4" w:space="0" w:color="auto"/>
            </w:tcBorders>
            <w:shd w:val="clear" w:color="auto" w:fill="EDEDED"/>
          </w:tcPr>
          <w:p w14:paraId="5E2F13DD" w14:textId="77777777" w:rsidR="0017018E" w:rsidRPr="00D64017" w:rsidRDefault="0017018E" w:rsidP="00D64017">
            <w:pPr>
              <w:pStyle w:val="TableText"/>
              <w:jc w:val="center"/>
              <w:rPr>
                <w:color w:val="auto"/>
              </w:rPr>
            </w:pPr>
            <w:r w:rsidRPr="00D64017">
              <w:rPr>
                <w:color w:val="auto"/>
              </w:rPr>
              <w:t>157</w:t>
            </w:r>
          </w:p>
        </w:tc>
        <w:tc>
          <w:tcPr>
            <w:tcW w:w="1001" w:type="pct"/>
            <w:tcBorders>
              <w:bottom w:val="single" w:sz="4" w:space="0" w:color="auto"/>
            </w:tcBorders>
            <w:shd w:val="clear" w:color="auto" w:fill="EDEDED"/>
            <w:vAlign w:val="bottom"/>
          </w:tcPr>
          <w:p w14:paraId="4F19E831" w14:textId="77777777" w:rsidR="0017018E" w:rsidRPr="00D64017" w:rsidRDefault="0017018E" w:rsidP="00D64017">
            <w:pPr>
              <w:pStyle w:val="TableText"/>
              <w:jc w:val="center"/>
              <w:rPr>
                <w:color w:val="auto"/>
              </w:rPr>
            </w:pPr>
            <w:r w:rsidRPr="00D64017">
              <w:rPr>
                <w:color w:val="auto"/>
              </w:rPr>
              <w:t>241</w:t>
            </w:r>
          </w:p>
        </w:tc>
      </w:tr>
    </w:tbl>
    <w:p w14:paraId="430769C5" w14:textId="77777777" w:rsidR="0017018E" w:rsidRDefault="0017018E" w:rsidP="0017018E"/>
    <w:p w14:paraId="4F387FC2" w14:textId="0FC58B51" w:rsidR="004B2661" w:rsidRPr="009A3301" w:rsidRDefault="004B2661" w:rsidP="0017018E">
      <w:r>
        <w:t xml:space="preserve">Using all the </w:t>
      </w:r>
      <w:r w:rsidRPr="00A22132">
        <w:t>assumptions, methods and estimations referred to above, shows the projected change in energy intensity (PJ/</w:t>
      </w:r>
      <w:r w:rsidR="00FF02DC" w:rsidRPr="00A22132">
        <w:t>AUD</w:t>
      </w:r>
      <w:r w:rsidR="00A22132" w:rsidRPr="00A22132">
        <w:t>$</w:t>
      </w:r>
      <w:r w:rsidR="00FF02DC" w:rsidRPr="00A22132">
        <w:t xml:space="preserve"> </w:t>
      </w:r>
      <w:r w:rsidR="00773C15">
        <w:t>B</w:t>
      </w:r>
      <w:r w:rsidRPr="00A22132">
        <w:t>illion GVA)</w:t>
      </w:r>
      <w:r>
        <w:t xml:space="preserve"> for the Step Change scenario across eight non-agricultural sectors of the Australian economy.</w:t>
      </w:r>
    </w:p>
    <w:p w14:paraId="4883E9B6" w14:textId="2D7B8963" w:rsidR="00AA7076" w:rsidRDefault="00AA7076" w:rsidP="00AA7076">
      <w:r>
        <w:t xml:space="preserve">Using all the assumptions, methods and estimations referred to above, </w:t>
      </w:r>
      <w:r w:rsidR="00ED0F1A">
        <w:t>Figure 5</w:t>
      </w:r>
      <w:r>
        <w:t xml:space="preserve"> shows the projected change in energy </w:t>
      </w:r>
      <w:r w:rsidRPr="00A22132">
        <w:t>intensity (PJ/</w:t>
      </w:r>
      <w:r w:rsidR="00FF02DC" w:rsidRPr="00A22132">
        <w:t>AUD</w:t>
      </w:r>
      <w:r w:rsidR="00A22132" w:rsidRPr="00A22132">
        <w:t>$</w:t>
      </w:r>
      <w:r w:rsidR="00FF02DC" w:rsidRPr="00A22132">
        <w:t xml:space="preserve"> </w:t>
      </w:r>
      <w:r w:rsidR="00773C15">
        <w:t>B</w:t>
      </w:r>
      <w:r w:rsidRPr="00A22132">
        <w:t>illion GVA)</w:t>
      </w:r>
      <w:r>
        <w:t xml:space="preserve"> for the Step Change scenario across 7 non-agricultural sectors of the Australian economy </w:t>
      </w:r>
      <w:r w:rsidRPr="00D64017">
        <w:rPr>
          <w:color w:val="auto"/>
        </w:rPr>
        <w:t>referred to in the</w:t>
      </w:r>
      <w:r w:rsidR="00ED0F1A">
        <w:rPr>
          <w:color w:val="auto"/>
        </w:rPr>
        <w:t xml:space="preserve"> Introduction.</w:t>
      </w:r>
      <w:r w:rsidRPr="00D64017">
        <w:rPr>
          <w:color w:val="auto"/>
        </w:rPr>
        <w:t>.</w:t>
      </w:r>
    </w:p>
    <w:p w14:paraId="5FBC2085" w14:textId="77777777" w:rsidR="004B2661" w:rsidRDefault="004B2661" w:rsidP="00AA7076"/>
    <w:p w14:paraId="42B4666B" w14:textId="77777777" w:rsidR="00AA7076" w:rsidRDefault="00AA7076" w:rsidP="00ED0F1A"/>
    <w:p w14:paraId="5E9F645A" w14:textId="77777777" w:rsidR="004B7C2B" w:rsidRDefault="004B7C2B" w:rsidP="00ED0F1A">
      <w:pPr>
        <w:rPr>
          <w:noProof/>
        </w:rPr>
      </w:pPr>
    </w:p>
    <w:p w14:paraId="3E9953EB" w14:textId="2A61C37D" w:rsidR="00605F66" w:rsidRDefault="00605F66" w:rsidP="002F47F3">
      <w:pPr>
        <w:rPr>
          <w:noProof/>
        </w:rPr>
      </w:pPr>
    </w:p>
    <w:p w14:paraId="1E1D41B5" w14:textId="22CC099F" w:rsidR="00344D63" w:rsidRDefault="00344D63" w:rsidP="002F47F3">
      <w:pPr>
        <w:rPr>
          <w:noProof/>
        </w:rPr>
      </w:pPr>
      <w:r>
        <w:rPr>
          <w:noProof/>
        </w:rPr>
        <w:drawing>
          <wp:inline distT="0" distB="0" distL="0" distR="0" wp14:anchorId="0899DCBA" wp14:editId="79F206DA">
            <wp:extent cx="5524500" cy="3695993"/>
            <wp:effectExtent l="0" t="0" r="0" b="0"/>
            <wp:docPr id="34" name="Picture 34" descr="Figure five is a line graph. The Y axis data points range from zero rising in increments of five to thirty-five representing energy intensity in petajoules per billion dollar value add. Data points on the X axis appear in increments of ten years from nineteen eighty to tow thousand and fifty. The graph applies a coloured legend to seven aggregate sectors of the Australian economy, mining, manufacturing, construction, transport, commercial and services, residential, and water supply and waste services. Trends show energy intensity for transport begin at thirty-five around nineteen eighty-seven reducing to around twenty-two in two thousand and ten and remaining constant to two thousand and fifty, all other sectors fluctuate slightly to two thousand and ten before trending constant to two thousand and fifty. Manufactory sits between ten and fifteen, all other sectors at or below five on the Y axis." title="Estimations of Current Trends in energy intensity for 7 aggregate sectors of the Australian economy to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igure 5 Estimations of Current Tends in energy intensity for 7 aggregate sectors.png"/>
                    <pic:cNvPicPr/>
                  </pic:nvPicPr>
                  <pic:blipFill>
                    <a:blip r:embed="rId15">
                      <a:extLst>
                        <a:ext uri="{28A0092B-C50C-407E-A947-70E740481C1C}">
                          <a14:useLocalDpi xmlns:a14="http://schemas.microsoft.com/office/drawing/2010/main" val="0"/>
                        </a:ext>
                      </a:extLst>
                    </a:blip>
                    <a:stretch>
                      <a:fillRect/>
                    </a:stretch>
                  </pic:blipFill>
                  <pic:spPr>
                    <a:xfrm>
                      <a:off x="0" y="0"/>
                      <a:ext cx="5541214" cy="3707175"/>
                    </a:xfrm>
                    <a:prstGeom prst="rect">
                      <a:avLst/>
                    </a:prstGeom>
                  </pic:spPr>
                </pic:pic>
              </a:graphicData>
            </a:graphic>
          </wp:inline>
        </w:drawing>
      </w:r>
    </w:p>
    <w:p w14:paraId="3B853441" w14:textId="339DC143" w:rsidR="004B2661" w:rsidRPr="00D64017" w:rsidRDefault="004B2661" w:rsidP="00605F66">
      <w:pPr>
        <w:pStyle w:val="Title"/>
        <w:rPr>
          <w:color w:val="00A9CE" w:themeColor="accent1"/>
        </w:rPr>
      </w:pPr>
      <w:bookmarkStart w:id="63" w:name="_Ref299026203"/>
      <w:bookmarkStart w:id="64" w:name="_Toc433972610"/>
      <w:r w:rsidRPr="00D64017">
        <w:rPr>
          <w:color w:val="00A9CE" w:themeColor="accent1"/>
        </w:rPr>
        <w:t xml:space="preserve">Figure </w:t>
      </w:r>
      <w:r w:rsidR="006906D2" w:rsidRPr="00D64017">
        <w:rPr>
          <w:color w:val="00A9CE" w:themeColor="accent1"/>
        </w:rPr>
        <w:fldChar w:fldCharType="begin"/>
      </w:r>
      <w:r w:rsidR="006906D2" w:rsidRPr="00D64017">
        <w:rPr>
          <w:color w:val="00A9CE" w:themeColor="accent1"/>
        </w:rPr>
        <w:instrText xml:space="preserve"> SEQ Figure \* ARABIC </w:instrText>
      </w:r>
      <w:r w:rsidR="006906D2" w:rsidRPr="00D64017">
        <w:rPr>
          <w:color w:val="00A9CE" w:themeColor="accent1"/>
        </w:rPr>
        <w:fldChar w:fldCharType="separate"/>
      </w:r>
      <w:r w:rsidR="00165FBD" w:rsidRPr="00D64017">
        <w:rPr>
          <w:noProof/>
          <w:color w:val="00A9CE" w:themeColor="accent1"/>
        </w:rPr>
        <w:t>5</w:t>
      </w:r>
      <w:r w:rsidR="006906D2" w:rsidRPr="00D64017">
        <w:rPr>
          <w:noProof/>
          <w:color w:val="00A9CE" w:themeColor="accent1"/>
        </w:rPr>
        <w:fldChar w:fldCharType="end"/>
      </w:r>
      <w:bookmarkEnd w:id="63"/>
      <w:r w:rsidRPr="00D64017">
        <w:rPr>
          <w:color w:val="00A9CE" w:themeColor="accent1"/>
        </w:rPr>
        <w:t xml:space="preserve">: </w:t>
      </w:r>
      <w:r w:rsidRPr="00E00B97">
        <w:rPr>
          <w:rFonts w:eastAsia="Calibri"/>
          <w:color w:val="00A9CE" w:themeColor="accent1"/>
          <w:kern w:val="0"/>
          <w:sz w:val="20"/>
          <w:szCs w:val="18"/>
          <w:lang w:eastAsia="en-AU"/>
        </w:rPr>
        <w:t>Estimations of Current Trends in energy intensity for 7 aggregate sectors of the Australian economy to 2050.</w:t>
      </w:r>
      <w:bookmarkEnd w:id="64"/>
      <w:r w:rsidRPr="00E00B97">
        <w:rPr>
          <w:rFonts w:eastAsia="Calibri"/>
          <w:color w:val="00A9CE" w:themeColor="accent1"/>
          <w:kern w:val="0"/>
          <w:sz w:val="20"/>
          <w:szCs w:val="18"/>
          <w:lang w:eastAsia="en-AU"/>
        </w:rPr>
        <w:t xml:space="preserve"> </w:t>
      </w:r>
    </w:p>
    <w:p w14:paraId="333F2379" w14:textId="77777777" w:rsidR="0017018E" w:rsidRPr="001B3113" w:rsidRDefault="0017018E" w:rsidP="008F696F">
      <w:pPr>
        <w:pStyle w:val="Heading2"/>
        <w:numPr>
          <w:ilvl w:val="1"/>
          <w:numId w:val="13"/>
        </w:numPr>
        <w:rPr>
          <w:color w:val="00A9CE" w:themeColor="accent1"/>
          <w:szCs w:val="32"/>
        </w:rPr>
      </w:pPr>
      <w:bookmarkStart w:id="65" w:name="_Toc359885772"/>
      <w:bookmarkStart w:id="66" w:name="_Toc433975083"/>
      <w:r w:rsidRPr="001B3113">
        <w:rPr>
          <w:color w:val="00A9CE" w:themeColor="accent1"/>
          <w:szCs w:val="32"/>
        </w:rPr>
        <w:t>Step Change</w:t>
      </w:r>
      <w:bookmarkEnd w:id="65"/>
      <w:bookmarkEnd w:id="66"/>
    </w:p>
    <w:p w14:paraId="0312A510" w14:textId="2F009E95" w:rsidR="0017018E" w:rsidRDefault="0017018E" w:rsidP="00DE705D">
      <w:pPr>
        <w:spacing w:after="0"/>
      </w:pPr>
      <w:r>
        <w:t xml:space="preserve">The Step Change assumptions also derive from the </w:t>
      </w:r>
      <w:r w:rsidRPr="009A3301">
        <w:t xml:space="preserve">Industrial Energy Efficiency Analysis Tool </w:t>
      </w:r>
      <w:r>
        <w:fldChar w:fldCharType="begin"/>
      </w:r>
      <w:r w:rsidR="00D04510">
        <w:instrText xml:space="preserve"> ADDIN EN.CITE &lt;EndNote&gt;&lt;Cite&gt;&lt;Author&gt;ClimateWorks Australia&lt;/Author&gt;&lt;Year&gt;2013&lt;/Year&gt;&lt;RecNum&gt;263&lt;/RecNum&gt;&lt;DisplayText&gt;(ClimateWorks Australia, 2013)&lt;/DisplayText&gt;&lt;record&gt;&lt;rec-number&gt;263&lt;/rec-number&gt;&lt;foreign-keys&gt;&lt;key app="EN" db-id="t55vefr95ws0pgeffdlvtde0tdta909p2zv9"&gt;263&lt;/key&gt;&lt;/foreign-keys&gt;&lt;ref-type name="Report"&gt;27&lt;/ref-type&gt;&lt;contributors&gt;&lt;authors&gt;&lt;author&gt;ClimateWorks Australia,&lt;/author&gt;&lt;/authors&gt;&lt;/contributors&gt;&lt;titles&gt;&lt;title&gt;Industrial Energy Efficiency Data Analysis &lt;/title&gt;&lt;/titles&gt;&lt;dates&gt;&lt;year&gt;2013&lt;/year&gt;&lt;pub-dates&gt;&lt;date&gt;May&lt;/date&gt;&lt;/pub-dates&gt;&lt;/dates&gt;&lt;urls&gt;&lt;related-urls&gt;&lt;url&gt;http://climateworksaustralia.org/project/current/industrial-energy-efficiency-data-analysis&lt;/url&gt;&lt;url&gt;http://www.climateworksaustralia.org/sites/default/files/documents/publications/climateworks_esi_ieedap_report_jul2012.pdf&lt;/url&gt;&lt;/related-urls&gt;&lt;/urls&gt;&lt;/record&gt;&lt;/Cite&gt;&lt;/EndNote&gt;</w:instrText>
      </w:r>
      <w:r>
        <w:fldChar w:fldCharType="separate"/>
      </w:r>
      <w:r w:rsidR="00D04510">
        <w:rPr>
          <w:noProof/>
        </w:rPr>
        <w:t>(</w:t>
      </w:r>
      <w:hyperlink w:anchor="_ENREF_10" w:tooltip="ClimateWorks Australia, 2013 #263" w:history="1">
        <w:r w:rsidR="00D04510">
          <w:rPr>
            <w:noProof/>
          </w:rPr>
          <w:t>ClimateWorks Australia, 2013</w:t>
        </w:r>
      </w:hyperlink>
      <w:r w:rsidR="00D04510">
        <w:rPr>
          <w:noProof/>
        </w:rPr>
        <w:t>)</w:t>
      </w:r>
      <w:r>
        <w:fldChar w:fldCharType="end"/>
      </w:r>
      <w:r>
        <w:t xml:space="preserve"> – </w:t>
      </w:r>
      <w:r w:rsidRPr="00D64017">
        <w:rPr>
          <w:color w:val="auto"/>
        </w:rPr>
        <w:t>see</w:t>
      </w:r>
      <w:r w:rsidR="00ED0F1A">
        <w:rPr>
          <w:color w:val="auto"/>
        </w:rPr>
        <w:t xml:space="preserve"> Table 5</w:t>
      </w:r>
      <w:r w:rsidRPr="00D64017">
        <w:rPr>
          <w:color w:val="auto"/>
        </w:rPr>
        <w:t xml:space="preserve"> on the </w:t>
      </w:r>
      <w:r>
        <w:t>following page. Again, the absolute numbers of energy use in Terajoules (TJ) are not equivalent to the total energy use in those sectors as the data in IEEDAP is a sample. However relative measures of efficiency improvement were assumed to apply across the whole of the respective sector.</w:t>
      </w:r>
    </w:p>
    <w:p w14:paraId="02D53642" w14:textId="77777777" w:rsidR="00AA7076" w:rsidRPr="006B1DD2" w:rsidRDefault="00AA7076" w:rsidP="00DE705D">
      <w:pPr>
        <w:spacing w:after="0"/>
        <w:rPr>
          <w:rFonts w:eastAsia="Times New Roman"/>
          <w:b/>
          <w:bCs/>
          <w:color w:val="4F81BD"/>
          <w:kern w:val="28"/>
          <w:szCs w:val="32"/>
          <w:lang w:eastAsia="en-US"/>
        </w:rPr>
      </w:pPr>
    </w:p>
    <w:p w14:paraId="7D5316B9" w14:textId="77777777" w:rsidR="0017018E" w:rsidRDefault="0017018E" w:rsidP="0017018E">
      <w:r>
        <w:t xml:space="preserve">As with the Current Trends scenario, potential energy efficiency improvements rely on data available on star rated commercial buildings from the </w:t>
      </w:r>
      <w:r w:rsidRPr="007A1ED4">
        <w:t>National Australian Built Environment Rating System</w:t>
      </w:r>
      <w:r>
        <w:t xml:space="preserve"> (NABERS</w:t>
      </w:r>
      <w:r>
        <w:rPr>
          <w:rStyle w:val="FootnoteReference"/>
        </w:rPr>
        <w:footnoteReference w:id="6"/>
      </w:r>
      <w:r>
        <w:t xml:space="preserve">). </w:t>
      </w:r>
    </w:p>
    <w:p w14:paraId="779BB516" w14:textId="69E7D149" w:rsidR="0017018E" w:rsidRDefault="0017018E" w:rsidP="0017018E">
      <w:r>
        <w:t>In the Step Change scenario the Commercial and Services sector is assumed to improve in efficiency by relatively the same amount as if all new, or progressively retrofit</w:t>
      </w:r>
      <w:r w:rsidR="009D7ED6">
        <w:t>ted commercial buildings were 6-</w:t>
      </w:r>
      <w:r>
        <w:t xml:space="preserve">star (average energy intensity based on NABERS’ records of 300 MJ/m²). This is nearly a 50% decrease in energy intensity across the sector. This is brought in over a 30 year period according to the logistic approach discussed in Section </w:t>
      </w:r>
      <w:r>
        <w:fldChar w:fldCharType="begin"/>
      </w:r>
      <w:r>
        <w:instrText xml:space="preserve"> REF _Ref359860330 \n \h </w:instrText>
      </w:r>
      <w:r>
        <w:fldChar w:fldCharType="separate"/>
      </w:r>
      <w:r w:rsidR="004A26FB">
        <w:t>2.3</w:t>
      </w:r>
      <w:r>
        <w:fldChar w:fldCharType="end"/>
      </w:r>
      <w:r>
        <w:t>.</w:t>
      </w:r>
    </w:p>
    <w:p w14:paraId="3056D5D0" w14:textId="722DD416" w:rsidR="006B1DD2" w:rsidRDefault="006B1DD2">
      <w:pPr>
        <w:spacing w:after="0"/>
      </w:pPr>
    </w:p>
    <w:p w14:paraId="632E4D7F" w14:textId="77777777" w:rsidR="005758A8" w:rsidRDefault="005758A8">
      <w:pPr>
        <w:spacing w:after="0"/>
      </w:pPr>
    </w:p>
    <w:p w14:paraId="797D9AAB" w14:textId="77777777" w:rsidR="006B1DD2" w:rsidRDefault="006B1DD2" w:rsidP="005758A8">
      <w:pPr>
        <w:spacing w:after="0"/>
      </w:pPr>
    </w:p>
    <w:p w14:paraId="2B7F03E8" w14:textId="2651E3D8" w:rsidR="00AF2C2E" w:rsidRPr="005758A8" w:rsidRDefault="00AF2C2E">
      <w:pPr>
        <w:spacing w:after="0"/>
      </w:pPr>
      <w:bookmarkStart w:id="67" w:name="_Ref359842359"/>
      <w:bookmarkStart w:id="68" w:name="_Toc359911309"/>
    </w:p>
    <w:p w14:paraId="48DDDFC9" w14:textId="77777777" w:rsidR="00B73C6E" w:rsidRDefault="00B73C6E" w:rsidP="0017018E">
      <w:pPr>
        <w:pStyle w:val="Title"/>
        <w:rPr>
          <w:rFonts w:eastAsia="Calibri"/>
          <w:color w:val="00A9CE" w:themeColor="accent1"/>
          <w:kern w:val="0"/>
          <w:sz w:val="20"/>
          <w:szCs w:val="20"/>
          <w:lang w:eastAsia="en-AU"/>
        </w:rPr>
      </w:pPr>
      <w:bookmarkStart w:id="69" w:name="_Ref299020800"/>
    </w:p>
    <w:p w14:paraId="42C598F3" w14:textId="1B69D753" w:rsidR="0017018E" w:rsidRPr="00DB5EB8" w:rsidRDefault="0017018E" w:rsidP="0017018E">
      <w:pPr>
        <w:pStyle w:val="Title"/>
        <w:rPr>
          <w:rFonts w:eastAsia="Calibri"/>
          <w:color w:val="00A9CE" w:themeColor="accent1"/>
          <w:kern w:val="0"/>
          <w:sz w:val="20"/>
          <w:szCs w:val="18"/>
          <w:lang w:eastAsia="en-AU"/>
        </w:rPr>
      </w:pPr>
      <w:bookmarkStart w:id="70" w:name="_Toc433977522"/>
      <w:r w:rsidRPr="00B73C6E">
        <w:rPr>
          <w:rFonts w:eastAsia="Calibri"/>
          <w:color w:val="00A9CE" w:themeColor="accent1"/>
          <w:kern w:val="0"/>
          <w:sz w:val="20"/>
          <w:szCs w:val="20"/>
          <w:lang w:eastAsia="en-AU"/>
        </w:rPr>
        <w:t xml:space="preserve">Table </w:t>
      </w:r>
      <w:r w:rsidR="00447CD6" w:rsidRPr="00B73C6E">
        <w:rPr>
          <w:rFonts w:eastAsia="Calibri"/>
          <w:color w:val="00A9CE" w:themeColor="accent1"/>
          <w:kern w:val="0"/>
          <w:sz w:val="20"/>
          <w:szCs w:val="20"/>
          <w:lang w:eastAsia="en-AU"/>
        </w:rPr>
        <w:fldChar w:fldCharType="begin"/>
      </w:r>
      <w:r w:rsidR="00447CD6" w:rsidRPr="00B73C6E">
        <w:rPr>
          <w:rFonts w:eastAsia="Calibri"/>
          <w:color w:val="00A9CE" w:themeColor="accent1"/>
          <w:kern w:val="0"/>
          <w:sz w:val="20"/>
          <w:szCs w:val="20"/>
          <w:lang w:eastAsia="en-AU"/>
        </w:rPr>
        <w:instrText xml:space="preserve"> SEQ Table \* ARABIC </w:instrText>
      </w:r>
      <w:r w:rsidR="00447CD6" w:rsidRPr="00B73C6E">
        <w:rPr>
          <w:rFonts w:eastAsia="Calibri"/>
          <w:color w:val="00A9CE" w:themeColor="accent1"/>
          <w:kern w:val="0"/>
          <w:sz w:val="20"/>
          <w:szCs w:val="20"/>
          <w:lang w:eastAsia="en-AU"/>
        </w:rPr>
        <w:fldChar w:fldCharType="separate"/>
      </w:r>
      <w:r w:rsidR="0048332C" w:rsidRPr="00B73C6E">
        <w:rPr>
          <w:rFonts w:eastAsia="Calibri"/>
          <w:color w:val="00A9CE" w:themeColor="accent1"/>
          <w:kern w:val="0"/>
          <w:sz w:val="20"/>
          <w:szCs w:val="20"/>
          <w:lang w:eastAsia="en-AU"/>
        </w:rPr>
        <w:t>5</w:t>
      </w:r>
      <w:r w:rsidR="00447CD6" w:rsidRPr="00B73C6E">
        <w:rPr>
          <w:rFonts w:eastAsia="Calibri"/>
          <w:color w:val="00A9CE" w:themeColor="accent1"/>
          <w:kern w:val="0"/>
          <w:sz w:val="20"/>
          <w:szCs w:val="20"/>
          <w:lang w:eastAsia="en-AU"/>
        </w:rPr>
        <w:fldChar w:fldCharType="end"/>
      </w:r>
      <w:bookmarkEnd w:id="67"/>
      <w:bookmarkEnd w:id="69"/>
      <w:r w:rsidRPr="00B73C6E">
        <w:rPr>
          <w:rFonts w:eastAsia="Calibri"/>
          <w:color w:val="00A9CE" w:themeColor="accent1"/>
          <w:kern w:val="0"/>
          <w:szCs w:val="22"/>
          <w:lang w:eastAsia="en-AU"/>
        </w:rPr>
        <w:t>:</w:t>
      </w:r>
      <w:r w:rsidRPr="00DB5EB8">
        <w:rPr>
          <w:rFonts w:eastAsia="Calibri"/>
          <w:color w:val="00A9CE" w:themeColor="accent1"/>
          <w:kern w:val="0"/>
          <w:sz w:val="20"/>
          <w:szCs w:val="18"/>
          <w:lang w:eastAsia="en-AU"/>
        </w:rPr>
        <w:t xml:space="preserve"> Data derived (for a sample of all businesses) from IEEDAP used to define the future Step Change efficiency changes in selected non-agricultural industries</w:t>
      </w:r>
      <w:bookmarkEnd w:id="68"/>
      <w:r w:rsidR="006B1DD2">
        <w:rPr>
          <w:rFonts w:eastAsia="Calibri"/>
          <w:color w:val="00A9CE" w:themeColor="accent1"/>
          <w:kern w:val="0"/>
          <w:sz w:val="20"/>
          <w:szCs w:val="18"/>
          <w:lang w:eastAsia="en-AU"/>
        </w:rPr>
        <w:t>.</w:t>
      </w:r>
      <w:bookmarkEnd w:id="70"/>
    </w:p>
    <w:tbl>
      <w:tblPr>
        <w:tblW w:w="5000" w:type="pct"/>
        <w:tblLook w:val="04A0" w:firstRow="1" w:lastRow="0" w:firstColumn="1" w:lastColumn="0" w:noHBand="0" w:noVBand="1"/>
        <w:tblCaption w:val="Data derived from IEEDAP used to define the future 'Step Change' efficiency changes in selected non-agricultural industries"/>
        <w:tblDescription w:val="Table five has three columns: two thousand and twenty Projected Energy Saving heads a list of business sectors; Current Energy Use, provides energy use per sector in terajoules; Step Change in use, notes step changes in enegy use as percentages. Where multiple sectors cluster into an industry, subtotals are provided under current energy use and step change in use. An overall total is provided as the last entry in the table. The data represents a sample of all business."/>
      </w:tblPr>
      <w:tblGrid>
        <w:gridCol w:w="5542"/>
        <w:gridCol w:w="2359"/>
        <w:gridCol w:w="1737"/>
      </w:tblGrid>
      <w:tr w:rsidR="0017018E" w:rsidRPr="00AF2C2E" w14:paraId="034721F6" w14:textId="77777777" w:rsidTr="00D64017">
        <w:trPr>
          <w:trHeight w:val="300"/>
        </w:trPr>
        <w:tc>
          <w:tcPr>
            <w:tcW w:w="2875" w:type="pct"/>
            <w:shd w:val="clear" w:color="auto" w:fill="000000" w:themeFill="text1"/>
            <w:noWrap/>
            <w:vAlign w:val="center"/>
            <w:hideMark/>
          </w:tcPr>
          <w:p w14:paraId="7F7D1E52" w14:textId="77777777" w:rsidR="0017018E" w:rsidRPr="00AF2C2E" w:rsidRDefault="0017018E" w:rsidP="00D64017">
            <w:pPr>
              <w:pStyle w:val="ColumnHeading"/>
              <w:spacing w:before="120" w:after="60"/>
            </w:pPr>
            <w:r w:rsidRPr="00AF2C2E">
              <w:t>2020 Projected Energy Savings</w:t>
            </w:r>
          </w:p>
        </w:tc>
        <w:tc>
          <w:tcPr>
            <w:tcW w:w="1224" w:type="pct"/>
            <w:shd w:val="clear" w:color="auto" w:fill="000000" w:themeFill="text1"/>
            <w:noWrap/>
            <w:vAlign w:val="bottom"/>
            <w:hideMark/>
          </w:tcPr>
          <w:p w14:paraId="7E0130F6" w14:textId="0205C666" w:rsidR="0017018E" w:rsidRPr="00AF2C2E" w:rsidRDefault="0017018E" w:rsidP="00D64017">
            <w:pPr>
              <w:pStyle w:val="ColumnHeading"/>
              <w:spacing w:before="120" w:after="60"/>
              <w:jc w:val="center"/>
            </w:pPr>
            <w:r w:rsidRPr="00AF2C2E">
              <w:t xml:space="preserve">Current Energy Use </w:t>
            </w:r>
            <w:r w:rsidR="005B5A3B">
              <w:br/>
            </w:r>
            <w:r w:rsidRPr="00AF2C2E">
              <w:t>(TJ)</w:t>
            </w:r>
          </w:p>
        </w:tc>
        <w:tc>
          <w:tcPr>
            <w:tcW w:w="901" w:type="pct"/>
            <w:shd w:val="clear" w:color="auto" w:fill="000000" w:themeFill="text1"/>
            <w:vAlign w:val="bottom"/>
          </w:tcPr>
          <w:p w14:paraId="0EC05344" w14:textId="3DCF3A42" w:rsidR="0017018E" w:rsidRPr="00AF2C2E" w:rsidRDefault="0017018E" w:rsidP="00D64017">
            <w:pPr>
              <w:pStyle w:val="ColumnHeading"/>
              <w:spacing w:before="120" w:after="60"/>
              <w:jc w:val="center"/>
            </w:pPr>
            <w:r w:rsidRPr="00AF2C2E">
              <w:t xml:space="preserve">Step % </w:t>
            </w:r>
            <w:r w:rsidR="005B5A3B">
              <w:br/>
            </w:r>
            <w:r w:rsidRPr="00AF2C2E">
              <w:t>change in use</w:t>
            </w:r>
          </w:p>
        </w:tc>
      </w:tr>
      <w:tr w:rsidR="0017018E" w:rsidRPr="00D0010D" w14:paraId="120629BA" w14:textId="77777777" w:rsidTr="00D64017">
        <w:trPr>
          <w:trHeight w:val="300"/>
        </w:trPr>
        <w:tc>
          <w:tcPr>
            <w:tcW w:w="2875" w:type="pct"/>
            <w:shd w:val="clear" w:color="auto" w:fill="EDEDED"/>
            <w:noWrap/>
            <w:vAlign w:val="bottom"/>
            <w:hideMark/>
          </w:tcPr>
          <w:p w14:paraId="5AEE8E11" w14:textId="25404A2B" w:rsidR="0017018E" w:rsidRPr="00D0010D" w:rsidRDefault="006B1DD2" w:rsidP="00D64017">
            <w:pPr>
              <w:pStyle w:val="TableText"/>
              <w:rPr>
                <w:rFonts w:eastAsia="Times New Roman"/>
              </w:rPr>
            </w:pPr>
            <w:r>
              <w:rPr>
                <w:rFonts w:eastAsia="Times New Roman"/>
              </w:rPr>
              <w:t xml:space="preserve">Coal </w:t>
            </w:r>
            <w:r w:rsidR="00605F66">
              <w:rPr>
                <w:rFonts w:eastAsia="Times New Roman"/>
              </w:rPr>
              <w:t>m</w:t>
            </w:r>
            <w:r>
              <w:rPr>
                <w:rFonts w:eastAsia="Times New Roman"/>
              </w:rPr>
              <w:t xml:space="preserve">ining </w:t>
            </w:r>
          </w:p>
        </w:tc>
        <w:tc>
          <w:tcPr>
            <w:tcW w:w="1224" w:type="pct"/>
            <w:shd w:val="clear" w:color="auto" w:fill="EDEDED"/>
            <w:noWrap/>
            <w:vAlign w:val="bottom"/>
            <w:hideMark/>
          </w:tcPr>
          <w:p w14:paraId="0CCD08C2" w14:textId="77777777" w:rsidR="0017018E" w:rsidRPr="00D0010D" w:rsidRDefault="0017018E" w:rsidP="00D64017">
            <w:pPr>
              <w:pStyle w:val="TableText"/>
              <w:jc w:val="center"/>
              <w:rPr>
                <w:rFonts w:eastAsia="Times New Roman"/>
              </w:rPr>
            </w:pPr>
            <w:r w:rsidRPr="00D0010D">
              <w:rPr>
                <w:rFonts w:eastAsia="Times New Roman"/>
              </w:rPr>
              <w:t>13,962</w:t>
            </w:r>
          </w:p>
        </w:tc>
        <w:tc>
          <w:tcPr>
            <w:tcW w:w="901" w:type="pct"/>
            <w:shd w:val="clear" w:color="auto" w:fill="EDEDED"/>
            <w:vAlign w:val="bottom"/>
          </w:tcPr>
          <w:p w14:paraId="30D5B825" w14:textId="77777777" w:rsidR="0017018E" w:rsidRPr="00D0010D" w:rsidRDefault="0017018E" w:rsidP="00D64017">
            <w:pPr>
              <w:pStyle w:val="TableText"/>
              <w:jc w:val="center"/>
              <w:rPr>
                <w:rFonts w:eastAsia="Times New Roman"/>
              </w:rPr>
            </w:pPr>
            <w:r w:rsidRPr="00D0010D">
              <w:rPr>
                <w:rFonts w:eastAsia="Times New Roman"/>
              </w:rPr>
              <w:t>6.70%</w:t>
            </w:r>
          </w:p>
        </w:tc>
      </w:tr>
      <w:tr w:rsidR="0017018E" w:rsidRPr="00D0010D" w14:paraId="2518BB2C" w14:textId="77777777" w:rsidTr="00D64017">
        <w:trPr>
          <w:trHeight w:val="300"/>
        </w:trPr>
        <w:tc>
          <w:tcPr>
            <w:tcW w:w="2875" w:type="pct"/>
            <w:shd w:val="clear" w:color="auto" w:fill="auto"/>
            <w:noWrap/>
            <w:vAlign w:val="bottom"/>
            <w:hideMark/>
          </w:tcPr>
          <w:p w14:paraId="117B8696" w14:textId="364E485B" w:rsidR="0017018E" w:rsidRPr="00D0010D" w:rsidRDefault="006B1DD2" w:rsidP="00D64017">
            <w:pPr>
              <w:pStyle w:val="TableText"/>
              <w:rPr>
                <w:rFonts w:eastAsia="Times New Roman"/>
              </w:rPr>
            </w:pPr>
            <w:r>
              <w:rPr>
                <w:rFonts w:eastAsia="Times New Roman"/>
              </w:rPr>
              <w:t xml:space="preserve">Oil and </w:t>
            </w:r>
            <w:r w:rsidR="00605F66">
              <w:rPr>
                <w:rFonts w:eastAsia="Times New Roman"/>
              </w:rPr>
              <w:t>g</w:t>
            </w:r>
            <w:r>
              <w:rPr>
                <w:rFonts w:eastAsia="Times New Roman"/>
              </w:rPr>
              <w:t xml:space="preserve">as </w:t>
            </w:r>
            <w:r w:rsidR="00605F66">
              <w:rPr>
                <w:rFonts w:eastAsia="Times New Roman"/>
              </w:rPr>
              <w:t>e</w:t>
            </w:r>
            <w:r>
              <w:rPr>
                <w:rFonts w:eastAsia="Times New Roman"/>
              </w:rPr>
              <w:t>xtraction</w:t>
            </w:r>
          </w:p>
        </w:tc>
        <w:tc>
          <w:tcPr>
            <w:tcW w:w="1224" w:type="pct"/>
            <w:shd w:val="clear" w:color="auto" w:fill="auto"/>
            <w:noWrap/>
            <w:vAlign w:val="bottom"/>
            <w:hideMark/>
          </w:tcPr>
          <w:p w14:paraId="4AE6DCF1" w14:textId="77777777" w:rsidR="0017018E" w:rsidRPr="00D0010D" w:rsidRDefault="0017018E" w:rsidP="00D64017">
            <w:pPr>
              <w:pStyle w:val="TableText"/>
              <w:jc w:val="center"/>
              <w:rPr>
                <w:rFonts w:eastAsia="Times New Roman"/>
              </w:rPr>
            </w:pPr>
            <w:r w:rsidRPr="00D0010D">
              <w:rPr>
                <w:rFonts w:eastAsia="Times New Roman"/>
              </w:rPr>
              <w:t>22,301</w:t>
            </w:r>
          </w:p>
        </w:tc>
        <w:tc>
          <w:tcPr>
            <w:tcW w:w="901" w:type="pct"/>
            <w:vAlign w:val="bottom"/>
          </w:tcPr>
          <w:p w14:paraId="15B6E916" w14:textId="77777777" w:rsidR="0017018E" w:rsidRPr="00D0010D" w:rsidRDefault="0017018E" w:rsidP="00D64017">
            <w:pPr>
              <w:pStyle w:val="TableText"/>
              <w:jc w:val="center"/>
              <w:rPr>
                <w:rFonts w:eastAsia="Times New Roman"/>
              </w:rPr>
            </w:pPr>
            <w:r w:rsidRPr="00D0010D">
              <w:rPr>
                <w:rFonts w:eastAsia="Times New Roman"/>
              </w:rPr>
              <w:t>9.20%</w:t>
            </w:r>
          </w:p>
        </w:tc>
      </w:tr>
      <w:tr w:rsidR="0017018E" w:rsidRPr="00D0010D" w14:paraId="36FDC579" w14:textId="77777777" w:rsidTr="00D64017">
        <w:trPr>
          <w:trHeight w:val="300"/>
        </w:trPr>
        <w:tc>
          <w:tcPr>
            <w:tcW w:w="2875" w:type="pct"/>
            <w:shd w:val="clear" w:color="auto" w:fill="EDEDED"/>
            <w:noWrap/>
            <w:vAlign w:val="bottom"/>
            <w:hideMark/>
          </w:tcPr>
          <w:p w14:paraId="40D15A15" w14:textId="081CE582" w:rsidR="0017018E" w:rsidRPr="00D0010D" w:rsidRDefault="006B1DD2" w:rsidP="00D64017">
            <w:pPr>
              <w:pStyle w:val="TableText"/>
              <w:rPr>
                <w:rFonts w:eastAsia="Times New Roman"/>
              </w:rPr>
            </w:pPr>
            <w:r>
              <w:rPr>
                <w:rFonts w:eastAsia="Times New Roman"/>
              </w:rPr>
              <w:t xml:space="preserve">Metal </w:t>
            </w:r>
            <w:r w:rsidR="00605F66">
              <w:rPr>
                <w:rFonts w:eastAsia="Times New Roman"/>
              </w:rPr>
              <w:t>o</w:t>
            </w:r>
            <w:r>
              <w:rPr>
                <w:rFonts w:eastAsia="Times New Roman"/>
              </w:rPr>
              <w:t xml:space="preserve">re </w:t>
            </w:r>
            <w:r w:rsidR="00605F66">
              <w:rPr>
                <w:rFonts w:eastAsia="Times New Roman"/>
              </w:rPr>
              <w:t>m</w:t>
            </w:r>
            <w:r>
              <w:rPr>
                <w:rFonts w:eastAsia="Times New Roman"/>
              </w:rPr>
              <w:t>ining</w:t>
            </w:r>
          </w:p>
        </w:tc>
        <w:tc>
          <w:tcPr>
            <w:tcW w:w="1224" w:type="pct"/>
            <w:shd w:val="clear" w:color="auto" w:fill="EDEDED"/>
            <w:noWrap/>
            <w:vAlign w:val="bottom"/>
            <w:hideMark/>
          </w:tcPr>
          <w:p w14:paraId="3A799BF7" w14:textId="77777777" w:rsidR="0017018E" w:rsidRPr="00D0010D" w:rsidRDefault="0017018E" w:rsidP="00D64017">
            <w:pPr>
              <w:pStyle w:val="TableText"/>
              <w:jc w:val="center"/>
              <w:rPr>
                <w:rFonts w:eastAsia="Times New Roman"/>
              </w:rPr>
            </w:pPr>
            <w:r w:rsidRPr="00D0010D">
              <w:rPr>
                <w:rFonts w:eastAsia="Times New Roman"/>
              </w:rPr>
              <w:t>34,023</w:t>
            </w:r>
          </w:p>
        </w:tc>
        <w:tc>
          <w:tcPr>
            <w:tcW w:w="901" w:type="pct"/>
            <w:shd w:val="clear" w:color="auto" w:fill="EDEDED"/>
            <w:vAlign w:val="bottom"/>
          </w:tcPr>
          <w:p w14:paraId="66611F61" w14:textId="77777777" w:rsidR="0017018E" w:rsidRPr="00D0010D" w:rsidRDefault="0017018E" w:rsidP="00D64017">
            <w:pPr>
              <w:pStyle w:val="TableText"/>
              <w:jc w:val="center"/>
              <w:rPr>
                <w:rFonts w:eastAsia="Times New Roman"/>
              </w:rPr>
            </w:pPr>
            <w:r w:rsidRPr="00D0010D">
              <w:rPr>
                <w:rFonts w:eastAsia="Times New Roman"/>
              </w:rPr>
              <w:t>8.50%</w:t>
            </w:r>
          </w:p>
        </w:tc>
      </w:tr>
      <w:tr w:rsidR="0017018E" w:rsidRPr="00D0010D" w14:paraId="18FB70A3" w14:textId="77777777" w:rsidTr="00D64017">
        <w:trPr>
          <w:trHeight w:val="300"/>
        </w:trPr>
        <w:tc>
          <w:tcPr>
            <w:tcW w:w="2875" w:type="pct"/>
            <w:shd w:val="clear" w:color="auto" w:fill="auto"/>
            <w:noWrap/>
            <w:vAlign w:val="bottom"/>
            <w:hideMark/>
          </w:tcPr>
          <w:p w14:paraId="408D88C0" w14:textId="701B6C53" w:rsidR="0017018E" w:rsidRPr="00D0010D" w:rsidRDefault="0017018E" w:rsidP="00605F66">
            <w:pPr>
              <w:pStyle w:val="TableText"/>
              <w:rPr>
                <w:rFonts w:eastAsia="Times New Roman"/>
              </w:rPr>
            </w:pPr>
            <w:r w:rsidRPr="00D0010D">
              <w:rPr>
                <w:rFonts w:eastAsia="Times New Roman"/>
              </w:rPr>
              <w:t>Non-</w:t>
            </w:r>
            <w:r w:rsidR="00605F66">
              <w:rPr>
                <w:rFonts w:eastAsia="Times New Roman"/>
              </w:rPr>
              <w:t>m</w:t>
            </w:r>
            <w:r w:rsidRPr="00D0010D">
              <w:rPr>
                <w:rFonts w:eastAsia="Times New Roman"/>
              </w:rPr>
              <w:t>etall</w:t>
            </w:r>
            <w:r w:rsidR="006B1DD2">
              <w:rPr>
                <w:rFonts w:eastAsia="Times New Roman"/>
              </w:rPr>
              <w:t xml:space="preserve">ic </w:t>
            </w:r>
            <w:r w:rsidR="00605F66">
              <w:rPr>
                <w:rFonts w:eastAsia="Times New Roman"/>
              </w:rPr>
              <w:t>m</w:t>
            </w:r>
            <w:r w:rsidR="006B1DD2">
              <w:rPr>
                <w:rFonts w:eastAsia="Times New Roman"/>
              </w:rPr>
              <w:t xml:space="preserve">ineral </w:t>
            </w:r>
            <w:r w:rsidR="00605F66">
              <w:rPr>
                <w:rFonts w:eastAsia="Times New Roman"/>
              </w:rPr>
              <w:t>m</w:t>
            </w:r>
            <w:r w:rsidR="006B1DD2">
              <w:rPr>
                <w:rFonts w:eastAsia="Times New Roman"/>
              </w:rPr>
              <w:t xml:space="preserve">ining and </w:t>
            </w:r>
            <w:r w:rsidR="00605F66">
              <w:rPr>
                <w:rFonts w:eastAsia="Times New Roman"/>
              </w:rPr>
              <w:t>q</w:t>
            </w:r>
            <w:r w:rsidR="006B1DD2">
              <w:rPr>
                <w:rFonts w:eastAsia="Times New Roman"/>
              </w:rPr>
              <w:t>uarrying</w:t>
            </w:r>
          </w:p>
        </w:tc>
        <w:tc>
          <w:tcPr>
            <w:tcW w:w="1224" w:type="pct"/>
            <w:shd w:val="clear" w:color="auto" w:fill="auto"/>
            <w:noWrap/>
            <w:vAlign w:val="bottom"/>
            <w:hideMark/>
          </w:tcPr>
          <w:p w14:paraId="10C406C5" w14:textId="77777777" w:rsidR="0017018E" w:rsidRPr="00D0010D" w:rsidRDefault="0017018E" w:rsidP="00D64017">
            <w:pPr>
              <w:pStyle w:val="TableText"/>
              <w:jc w:val="center"/>
              <w:rPr>
                <w:rFonts w:eastAsia="Times New Roman"/>
              </w:rPr>
            </w:pPr>
            <w:r w:rsidRPr="00D0010D">
              <w:rPr>
                <w:rFonts w:eastAsia="Times New Roman"/>
              </w:rPr>
              <w:t>1,697</w:t>
            </w:r>
          </w:p>
        </w:tc>
        <w:tc>
          <w:tcPr>
            <w:tcW w:w="901" w:type="pct"/>
            <w:vAlign w:val="bottom"/>
          </w:tcPr>
          <w:p w14:paraId="4B445EF3" w14:textId="77777777" w:rsidR="0017018E" w:rsidRPr="00D0010D" w:rsidRDefault="0017018E" w:rsidP="00D64017">
            <w:pPr>
              <w:pStyle w:val="TableText"/>
              <w:jc w:val="center"/>
              <w:rPr>
                <w:rFonts w:eastAsia="Times New Roman"/>
              </w:rPr>
            </w:pPr>
            <w:r w:rsidRPr="00D0010D">
              <w:rPr>
                <w:rFonts w:eastAsia="Times New Roman"/>
              </w:rPr>
              <w:t>7.30%</w:t>
            </w:r>
          </w:p>
        </w:tc>
      </w:tr>
      <w:tr w:rsidR="0017018E" w:rsidRPr="00D0010D" w14:paraId="10B13FC3" w14:textId="77777777" w:rsidTr="00D64017">
        <w:trPr>
          <w:trHeight w:val="300"/>
        </w:trPr>
        <w:tc>
          <w:tcPr>
            <w:tcW w:w="2875" w:type="pct"/>
            <w:shd w:val="clear" w:color="auto" w:fill="EDEDED"/>
            <w:noWrap/>
            <w:vAlign w:val="bottom"/>
            <w:hideMark/>
          </w:tcPr>
          <w:p w14:paraId="011CE753" w14:textId="467E0E4B" w:rsidR="0017018E" w:rsidRPr="00D0010D" w:rsidRDefault="0017018E" w:rsidP="00605F66">
            <w:pPr>
              <w:pStyle w:val="TableText"/>
              <w:rPr>
                <w:rFonts w:eastAsia="Times New Roman"/>
              </w:rPr>
            </w:pPr>
            <w:r w:rsidRPr="00D0010D">
              <w:rPr>
                <w:rFonts w:eastAsia="Times New Roman"/>
              </w:rPr>
              <w:t xml:space="preserve">Exploration and </w:t>
            </w:r>
            <w:r w:rsidR="00605F66">
              <w:rPr>
                <w:rFonts w:eastAsia="Times New Roman"/>
              </w:rPr>
              <w:t>o</w:t>
            </w:r>
            <w:r w:rsidRPr="00D0010D">
              <w:rPr>
                <w:rFonts w:eastAsia="Times New Roman"/>
              </w:rPr>
              <w:t xml:space="preserve">ther </w:t>
            </w:r>
            <w:r w:rsidR="00605F66">
              <w:rPr>
                <w:rFonts w:eastAsia="Times New Roman"/>
              </w:rPr>
              <w:t>m</w:t>
            </w:r>
            <w:r w:rsidRPr="00D0010D">
              <w:rPr>
                <w:rFonts w:eastAsia="Times New Roman"/>
              </w:rPr>
              <w:t xml:space="preserve">ining </w:t>
            </w:r>
            <w:r w:rsidR="00605F66">
              <w:rPr>
                <w:rFonts w:eastAsia="Times New Roman"/>
              </w:rPr>
              <w:t>s</w:t>
            </w:r>
            <w:r w:rsidRPr="00D0010D">
              <w:rPr>
                <w:rFonts w:eastAsia="Times New Roman"/>
              </w:rPr>
              <w:t xml:space="preserve">upport </w:t>
            </w:r>
            <w:r w:rsidR="00605F66">
              <w:rPr>
                <w:rFonts w:eastAsia="Times New Roman"/>
              </w:rPr>
              <w:t>s</w:t>
            </w:r>
            <w:r w:rsidRPr="00D0010D">
              <w:rPr>
                <w:rFonts w:eastAsia="Times New Roman"/>
              </w:rPr>
              <w:t xml:space="preserve">ervices </w:t>
            </w:r>
          </w:p>
        </w:tc>
        <w:tc>
          <w:tcPr>
            <w:tcW w:w="1224" w:type="pct"/>
            <w:shd w:val="clear" w:color="auto" w:fill="EDEDED"/>
            <w:noWrap/>
            <w:vAlign w:val="bottom"/>
            <w:hideMark/>
          </w:tcPr>
          <w:p w14:paraId="4CE300EA" w14:textId="77777777" w:rsidR="0017018E" w:rsidRPr="00D0010D" w:rsidRDefault="0017018E" w:rsidP="00D64017">
            <w:pPr>
              <w:pStyle w:val="TableText"/>
              <w:jc w:val="center"/>
              <w:rPr>
                <w:rFonts w:eastAsia="Times New Roman"/>
              </w:rPr>
            </w:pPr>
            <w:r w:rsidRPr="00D0010D">
              <w:rPr>
                <w:rFonts w:eastAsia="Times New Roman"/>
              </w:rPr>
              <w:t>878</w:t>
            </w:r>
          </w:p>
        </w:tc>
        <w:tc>
          <w:tcPr>
            <w:tcW w:w="901" w:type="pct"/>
            <w:shd w:val="clear" w:color="auto" w:fill="EDEDED"/>
            <w:vAlign w:val="bottom"/>
          </w:tcPr>
          <w:p w14:paraId="3BA6FFD4" w14:textId="77777777" w:rsidR="0017018E" w:rsidRPr="00D0010D" w:rsidRDefault="0017018E" w:rsidP="00D64017">
            <w:pPr>
              <w:pStyle w:val="TableText"/>
              <w:jc w:val="center"/>
              <w:rPr>
                <w:rFonts w:eastAsia="Times New Roman"/>
              </w:rPr>
            </w:pPr>
            <w:r w:rsidRPr="00D0010D">
              <w:rPr>
                <w:rFonts w:eastAsia="Times New Roman"/>
              </w:rPr>
              <w:t>12.30%</w:t>
            </w:r>
          </w:p>
        </w:tc>
      </w:tr>
      <w:tr w:rsidR="0017018E" w:rsidRPr="00E00B97" w14:paraId="09D58109" w14:textId="77777777" w:rsidTr="00D64017">
        <w:trPr>
          <w:trHeight w:val="300"/>
        </w:trPr>
        <w:tc>
          <w:tcPr>
            <w:tcW w:w="2875" w:type="pct"/>
            <w:tcBorders>
              <w:bottom w:val="single" w:sz="4" w:space="0" w:color="auto"/>
            </w:tcBorders>
            <w:shd w:val="clear" w:color="auto" w:fill="auto"/>
            <w:noWrap/>
            <w:vAlign w:val="bottom"/>
            <w:hideMark/>
          </w:tcPr>
          <w:p w14:paraId="7AE7C3D9" w14:textId="3740566A" w:rsidR="0017018E" w:rsidRPr="00D64017" w:rsidRDefault="006B1DD2" w:rsidP="00D64017">
            <w:pPr>
              <w:pStyle w:val="TableText"/>
              <w:rPr>
                <w:rFonts w:eastAsia="Times New Roman"/>
                <w:b/>
                <w:bCs/>
              </w:rPr>
            </w:pPr>
            <w:r w:rsidRPr="00D64017">
              <w:rPr>
                <w:rFonts w:eastAsia="Times New Roman"/>
                <w:b/>
                <w:bCs/>
              </w:rPr>
              <w:t>Mining subtotal</w:t>
            </w:r>
          </w:p>
        </w:tc>
        <w:tc>
          <w:tcPr>
            <w:tcW w:w="1224" w:type="pct"/>
            <w:tcBorders>
              <w:bottom w:val="single" w:sz="4" w:space="0" w:color="auto"/>
            </w:tcBorders>
            <w:shd w:val="clear" w:color="auto" w:fill="auto"/>
            <w:noWrap/>
            <w:vAlign w:val="bottom"/>
            <w:hideMark/>
          </w:tcPr>
          <w:p w14:paraId="28515BE3" w14:textId="77777777" w:rsidR="0017018E" w:rsidRPr="00D64017" w:rsidRDefault="0017018E" w:rsidP="00D64017">
            <w:pPr>
              <w:pStyle w:val="TableText"/>
              <w:jc w:val="center"/>
              <w:rPr>
                <w:rFonts w:eastAsia="Times New Roman"/>
                <w:b/>
              </w:rPr>
            </w:pPr>
            <w:r w:rsidRPr="00D64017">
              <w:rPr>
                <w:rFonts w:eastAsia="Times New Roman"/>
                <w:b/>
              </w:rPr>
              <w:t>72,862</w:t>
            </w:r>
          </w:p>
        </w:tc>
        <w:tc>
          <w:tcPr>
            <w:tcW w:w="901" w:type="pct"/>
            <w:tcBorders>
              <w:bottom w:val="single" w:sz="4" w:space="0" w:color="auto"/>
            </w:tcBorders>
            <w:vAlign w:val="bottom"/>
          </w:tcPr>
          <w:p w14:paraId="543ED746" w14:textId="77777777" w:rsidR="0017018E" w:rsidRPr="00D64017" w:rsidRDefault="0017018E" w:rsidP="00D64017">
            <w:pPr>
              <w:pStyle w:val="TableText"/>
              <w:jc w:val="center"/>
              <w:rPr>
                <w:rFonts w:eastAsia="Times New Roman"/>
                <w:b/>
              </w:rPr>
            </w:pPr>
            <w:r w:rsidRPr="00D64017">
              <w:rPr>
                <w:rFonts w:eastAsia="Times New Roman"/>
                <w:b/>
              </w:rPr>
              <w:t>8.30%</w:t>
            </w:r>
          </w:p>
        </w:tc>
      </w:tr>
      <w:tr w:rsidR="0017018E" w:rsidRPr="00D0010D" w14:paraId="057617BA" w14:textId="77777777" w:rsidTr="00D64017">
        <w:trPr>
          <w:trHeight w:val="300"/>
        </w:trPr>
        <w:tc>
          <w:tcPr>
            <w:tcW w:w="2875" w:type="pct"/>
            <w:tcBorders>
              <w:top w:val="single" w:sz="4" w:space="0" w:color="auto"/>
            </w:tcBorders>
            <w:shd w:val="clear" w:color="auto" w:fill="EDEDED"/>
            <w:noWrap/>
            <w:vAlign w:val="bottom"/>
            <w:hideMark/>
          </w:tcPr>
          <w:p w14:paraId="5EC3D942" w14:textId="5EC3769B" w:rsidR="0017018E" w:rsidRPr="00D0010D" w:rsidRDefault="006B1DD2" w:rsidP="006D2E0E">
            <w:pPr>
              <w:pStyle w:val="TableText"/>
              <w:rPr>
                <w:rFonts w:eastAsia="Times New Roman"/>
              </w:rPr>
            </w:pPr>
            <w:r>
              <w:rPr>
                <w:rFonts w:eastAsia="Times New Roman"/>
              </w:rPr>
              <w:t xml:space="preserve">Food </w:t>
            </w:r>
            <w:r w:rsidR="006D2E0E">
              <w:rPr>
                <w:rFonts w:eastAsia="Times New Roman"/>
              </w:rPr>
              <w:t>p</w:t>
            </w:r>
            <w:r>
              <w:rPr>
                <w:rFonts w:eastAsia="Times New Roman"/>
              </w:rPr>
              <w:t xml:space="preserve">roduct </w:t>
            </w:r>
            <w:r w:rsidR="006D2E0E">
              <w:rPr>
                <w:rFonts w:eastAsia="Times New Roman"/>
              </w:rPr>
              <w:t>m</w:t>
            </w:r>
            <w:r>
              <w:rPr>
                <w:rFonts w:eastAsia="Times New Roman"/>
              </w:rPr>
              <w:t>anufacturing</w:t>
            </w:r>
          </w:p>
        </w:tc>
        <w:tc>
          <w:tcPr>
            <w:tcW w:w="1224" w:type="pct"/>
            <w:tcBorders>
              <w:top w:val="single" w:sz="4" w:space="0" w:color="auto"/>
            </w:tcBorders>
            <w:shd w:val="clear" w:color="auto" w:fill="EDEDED"/>
            <w:noWrap/>
            <w:vAlign w:val="bottom"/>
            <w:hideMark/>
          </w:tcPr>
          <w:p w14:paraId="1A72B283" w14:textId="77777777" w:rsidR="0017018E" w:rsidRPr="00D0010D" w:rsidRDefault="0017018E" w:rsidP="00D64017">
            <w:pPr>
              <w:pStyle w:val="TableText"/>
              <w:jc w:val="center"/>
              <w:rPr>
                <w:rFonts w:eastAsia="Times New Roman"/>
              </w:rPr>
            </w:pPr>
            <w:r w:rsidRPr="00D0010D">
              <w:rPr>
                <w:rFonts w:eastAsia="Times New Roman"/>
              </w:rPr>
              <w:t>15,391</w:t>
            </w:r>
          </w:p>
        </w:tc>
        <w:tc>
          <w:tcPr>
            <w:tcW w:w="901" w:type="pct"/>
            <w:tcBorders>
              <w:top w:val="single" w:sz="4" w:space="0" w:color="auto"/>
            </w:tcBorders>
            <w:shd w:val="clear" w:color="auto" w:fill="EDEDED"/>
            <w:vAlign w:val="bottom"/>
          </w:tcPr>
          <w:p w14:paraId="3D3716E5" w14:textId="77777777" w:rsidR="0017018E" w:rsidRPr="00D0010D" w:rsidRDefault="0017018E" w:rsidP="00D64017">
            <w:pPr>
              <w:pStyle w:val="TableText"/>
              <w:jc w:val="center"/>
              <w:rPr>
                <w:rFonts w:eastAsia="Times New Roman"/>
              </w:rPr>
            </w:pPr>
            <w:r w:rsidRPr="00D0010D">
              <w:rPr>
                <w:rFonts w:eastAsia="Times New Roman"/>
              </w:rPr>
              <w:t>10.80%</w:t>
            </w:r>
          </w:p>
        </w:tc>
      </w:tr>
      <w:tr w:rsidR="0017018E" w:rsidRPr="00D0010D" w14:paraId="0A2BAFFF" w14:textId="77777777" w:rsidTr="00D64017">
        <w:trPr>
          <w:trHeight w:val="300"/>
        </w:trPr>
        <w:tc>
          <w:tcPr>
            <w:tcW w:w="2875" w:type="pct"/>
            <w:shd w:val="clear" w:color="auto" w:fill="auto"/>
            <w:noWrap/>
            <w:vAlign w:val="bottom"/>
            <w:hideMark/>
          </w:tcPr>
          <w:p w14:paraId="1E78E774" w14:textId="14BDCAD2" w:rsidR="0017018E" w:rsidRPr="00D0010D" w:rsidRDefault="0017018E" w:rsidP="006D2E0E">
            <w:pPr>
              <w:pStyle w:val="TableText"/>
              <w:rPr>
                <w:rFonts w:eastAsia="Times New Roman"/>
              </w:rPr>
            </w:pPr>
            <w:r w:rsidRPr="00D0010D">
              <w:rPr>
                <w:rFonts w:eastAsia="Times New Roman"/>
              </w:rPr>
              <w:t xml:space="preserve">Beverage, </w:t>
            </w:r>
            <w:r w:rsidR="006D2E0E">
              <w:rPr>
                <w:rFonts w:eastAsia="Times New Roman"/>
              </w:rPr>
              <w:t>t</w:t>
            </w:r>
            <w:r w:rsidRPr="00D0010D">
              <w:rPr>
                <w:rFonts w:eastAsia="Times New Roman"/>
              </w:rPr>
              <w:t xml:space="preserve">obacco and </w:t>
            </w:r>
            <w:r w:rsidR="006D2E0E">
              <w:rPr>
                <w:rFonts w:eastAsia="Times New Roman"/>
              </w:rPr>
              <w:t>t</w:t>
            </w:r>
            <w:r w:rsidR="006B1DD2">
              <w:rPr>
                <w:rFonts w:eastAsia="Times New Roman"/>
              </w:rPr>
              <w:t>extile</w:t>
            </w:r>
          </w:p>
        </w:tc>
        <w:tc>
          <w:tcPr>
            <w:tcW w:w="1224" w:type="pct"/>
            <w:shd w:val="clear" w:color="auto" w:fill="auto"/>
            <w:noWrap/>
            <w:vAlign w:val="bottom"/>
            <w:hideMark/>
          </w:tcPr>
          <w:p w14:paraId="1F541F6A" w14:textId="77777777" w:rsidR="0017018E" w:rsidRPr="00D0010D" w:rsidRDefault="0017018E" w:rsidP="00D64017">
            <w:pPr>
              <w:pStyle w:val="TableText"/>
              <w:jc w:val="center"/>
              <w:rPr>
                <w:rFonts w:eastAsia="Times New Roman"/>
              </w:rPr>
            </w:pPr>
            <w:r w:rsidRPr="00D0010D">
              <w:rPr>
                <w:rFonts w:eastAsia="Times New Roman"/>
              </w:rPr>
              <w:t>2,167</w:t>
            </w:r>
          </w:p>
        </w:tc>
        <w:tc>
          <w:tcPr>
            <w:tcW w:w="901" w:type="pct"/>
            <w:vAlign w:val="bottom"/>
          </w:tcPr>
          <w:p w14:paraId="7945E9EA" w14:textId="77777777" w:rsidR="0017018E" w:rsidRPr="00D0010D" w:rsidRDefault="0017018E" w:rsidP="00D64017">
            <w:pPr>
              <w:pStyle w:val="TableText"/>
              <w:jc w:val="center"/>
              <w:rPr>
                <w:rFonts w:eastAsia="Times New Roman"/>
              </w:rPr>
            </w:pPr>
            <w:r w:rsidRPr="00D0010D">
              <w:rPr>
                <w:rFonts w:eastAsia="Times New Roman"/>
              </w:rPr>
              <w:t>39.20%</w:t>
            </w:r>
          </w:p>
        </w:tc>
      </w:tr>
      <w:tr w:rsidR="0017018E" w:rsidRPr="00D0010D" w14:paraId="4FEDF728" w14:textId="77777777" w:rsidTr="00D64017">
        <w:trPr>
          <w:trHeight w:val="300"/>
        </w:trPr>
        <w:tc>
          <w:tcPr>
            <w:tcW w:w="2875" w:type="pct"/>
            <w:shd w:val="clear" w:color="auto" w:fill="EDEDED"/>
            <w:noWrap/>
            <w:vAlign w:val="bottom"/>
            <w:hideMark/>
          </w:tcPr>
          <w:p w14:paraId="490B7206" w14:textId="3A76509A" w:rsidR="0017018E" w:rsidRPr="00D0010D" w:rsidRDefault="0017018E" w:rsidP="00D64017">
            <w:pPr>
              <w:pStyle w:val="TableText"/>
              <w:rPr>
                <w:rFonts w:eastAsia="Times New Roman"/>
              </w:rPr>
            </w:pPr>
            <w:r w:rsidRPr="00D0010D">
              <w:rPr>
                <w:rFonts w:eastAsia="Times New Roman"/>
              </w:rPr>
              <w:t>Wood, pulp, paper and printing</w:t>
            </w:r>
          </w:p>
        </w:tc>
        <w:tc>
          <w:tcPr>
            <w:tcW w:w="1224" w:type="pct"/>
            <w:shd w:val="clear" w:color="auto" w:fill="EDEDED"/>
            <w:noWrap/>
            <w:vAlign w:val="bottom"/>
            <w:hideMark/>
          </w:tcPr>
          <w:p w14:paraId="57222659" w14:textId="77777777" w:rsidR="0017018E" w:rsidRPr="00D0010D" w:rsidRDefault="0017018E" w:rsidP="00D64017">
            <w:pPr>
              <w:pStyle w:val="TableText"/>
              <w:jc w:val="center"/>
              <w:rPr>
                <w:rFonts w:eastAsia="Times New Roman"/>
              </w:rPr>
            </w:pPr>
            <w:r w:rsidRPr="00D0010D">
              <w:rPr>
                <w:rFonts w:eastAsia="Times New Roman"/>
              </w:rPr>
              <w:t>9,564</w:t>
            </w:r>
          </w:p>
        </w:tc>
        <w:tc>
          <w:tcPr>
            <w:tcW w:w="901" w:type="pct"/>
            <w:shd w:val="clear" w:color="auto" w:fill="EDEDED"/>
            <w:vAlign w:val="bottom"/>
          </w:tcPr>
          <w:p w14:paraId="5425F9D3" w14:textId="77777777" w:rsidR="0017018E" w:rsidRPr="00D0010D" w:rsidRDefault="0017018E" w:rsidP="00D64017">
            <w:pPr>
              <w:pStyle w:val="TableText"/>
              <w:jc w:val="center"/>
              <w:rPr>
                <w:rFonts w:eastAsia="Times New Roman"/>
              </w:rPr>
            </w:pPr>
            <w:r w:rsidRPr="00D0010D">
              <w:rPr>
                <w:rFonts w:eastAsia="Times New Roman"/>
              </w:rPr>
              <w:t>13.00%</w:t>
            </w:r>
          </w:p>
        </w:tc>
      </w:tr>
      <w:tr w:rsidR="0017018E" w:rsidRPr="00D0010D" w14:paraId="31F32AFC" w14:textId="77777777" w:rsidTr="00D64017">
        <w:trPr>
          <w:trHeight w:val="300"/>
        </w:trPr>
        <w:tc>
          <w:tcPr>
            <w:tcW w:w="2875" w:type="pct"/>
            <w:shd w:val="clear" w:color="auto" w:fill="auto"/>
            <w:noWrap/>
            <w:vAlign w:val="bottom"/>
            <w:hideMark/>
          </w:tcPr>
          <w:p w14:paraId="772F9BC2" w14:textId="4EC8123E" w:rsidR="0017018E" w:rsidRPr="00D0010D" w:rsidRDefault="0017018E" w:rsidP="00D64017">
            <w:pPr>
              <w:pStyle w:val="TableText"/>
              <w:rPr>
                <w:rFonts w:eastAsia="Times New Roman"/>
              </w:rPr>
            </w:pPr>
            <w:r w:rsidRPr="00D0010D">
              <w:rPr>
                <w:rFonts w:eastAsia="Times New Roman"/>
              </w:rPr>
              <w:t>Petroleum and coal product manufacturing</w:t>
            </w:r>
          </w:p>
        </w:tc>
        <w:tc>
          <w:tcPr>
            <w:tcW w:w="1224" w:type="pct"/>
            <w:shd w:val="clear" w:color="auto" w:fill="auto"/>
            <w:noWrap/>
            <w:vAlign w:val="bottom"/>
            <w:hideMark/>
          </w:tcPr>
          <w:p w14:paraId="787766B2" w14:textId="77777777" w:rsidR="0017018E" w:rsidRPr="00D0010D" w:rsidRDefault="0017018E" w:rsidP="00D64017">
            <w:pPr>
              <w:pStyle w:val="TableText"/>
              <w:jc w:val="center"/>
              <w:rPr>
                <w:rFonts w:eastAsia="Times New Roman"/>
              </w:rPr>
            </w:pPr>
            <w:r w:rsidRPr="00D0010D">
              <w:rPr>
                <w:rFonts w:eastAsia="Times New Roman"/>
              </w:rPr>
              <w:t>27,331</w:t>
            </w:r>
          </w:p>
        </w:tc>
        <w:tc>
          <w:tcPr>
            <w:tcW w:w="901" w:type="pct"/>
            <w:vAlign w:val="bottom"/>
          </w:tcPr>
          <w:p w14:paraId="17ABB95F" w14:textId="77777777" w:rsidR="0017018E" w:rsidRPr="00D0010D" w:rsidRDefault="0017018E" w:rsidP="00D64017">
            <w:pPr>
              <w:pStyle w:val="TableText"/>
              <w:jc w:val="center"/>
              <w:rPr>
                <w:rFonts w:eastAsia="Times New Roman"/>
              </w:rPr>
            </w:pPr>
            <w:r w:rsidRPr="00D0010D">
              <w:rPr>
                <w:rFonts w:eastAsia="Times New Roman"/>
              </w:rPr>
              <w:t>24.00%</w:t>
            </w:r>
          </w:p>
        </w:tc>
      </w:tr>
      <w:tr w:rsidR="0017018E" w:rsidRPr="00D0010D" w14:paraId="241A99C5" w14:textId="77777777" w:rsidTr="00D64017">
        <w:trPr>
          <w:trHeight w:val="300"/>
        </w:trPr>
        <w:tc>
          <w:tcPr>
            <w:tcW w:w="2875" w:type="pct"/>
            <w:shd w:val="clear" w:color="auto" w:fill="EDEDED"/>
            <w:noWrap/>
            <w:vAlign w:val="bottom"/>
            <w:hideMark/>
          </w:tcPr>
          <w:p w14:paraId="58C4C53C" w14:textId="77777777" w:rsidR="0017018E" w:rsidRPr="00D0010D" w:rsidRDefault="0017018E" w:rsidP="00D64017">
            <w:pPr>
              <w:pStyle w:val="TableText"/>
              <w:rPr>
                <w:rFonts w:eastAsia="Times New Roman"/>
              </w:rPr>
            </w:pPr>
            <w:r w:rsidRPr="00D0010D">
              <w:rPr>
                <w:rFonts w:eastAsia="Times New Roman"/>
              </w:rPr>
              <w:t xml:space="preserve">Basic chemical and chemical product manufacturing </w:t>
            </w:r>
          </w:p>
        </w:tc>
        <w:tc>
          <w:tcPr>
            <w:tcW w:w="1224" w:type="pct"/>
            <w:shd w:val="clear" w:color="auto" w:fill="EDEDED"/>
            <w:noWrap/>
            <w:vAlign w:val="bottom"/>
            <w:hideMark/>
          </w:tcPr>
          <w:p w14:paraId="0FCF77C6" w14:textId="77777777" w:rsidR="0017018E" w:rsidRPr="00D0010D" w:rsidRDefault="0017018E" w:rsidP="00D64017">
            <w:pPr>
              <w:pStyle w:val="TableText"/>
              <w:jc w:val="center"/>
              <w:rPr>
                <w:rFonts w:eastAsia="Times New Roman"/>
              </w:rPr>
            </w:pPr>
            <w:r w:rsidRPr="00D0010D">
              <w:rPr>
                <w:rFonts w:eastAsia="Times New Roman"/>
              </w:rPr>
              <w:t>66,070</w:t>
            </w:r>
          </w:p>
        </w:tc>
        <w:tc>
          <w:tcPr>
            <w:tcW w:w="901" w:type="pct"/>
            <w:shd w:val="clear" w:color="auto" w:fill="EDEDED"/>
            <w:vAlign w:val="bottom"/>
          </w:tcPr>
          <w:p w14:paraId="2532ACC4" w14:textId="77777777" w:rsidR="0017018E" w:rsidRPr="00D0010D" w:rsidRDefault="0017018E" w:rsidP="00D64017">
            <w:pPr>
              <w:pStyle w:val="TableText"/>
              <w:jc w:val="center"/>
              <w:rPr>
                <w:rFonts w:eastAsia="Times New Roman"/>
              </w:rPr>
            </w:pPr>
            <w:r w:rsidRPr="00D0010D">
              <w:rPr>
                <w:rFonts w:eastAsia="Times New Roman"/>
              </w:rPr>
              <w:t>15.60%</w:t>
            </w:r>
          </w:p>
        </w:tc>
      </w:tr>
      <w:tr w:rsidR="0017018E" w:rsidRPr="00D0010D" w14:paraId="1B274F5E" w14:textId="77777777" w:rsidTr="00D64017">
        <w:trPr>
          <w:trHeight w:val="300"/>
        </w:trPr>
        <w:tc>
          <w:tcPr>
            <w:tcW w:w="2875" w:type="pct"/>
            <w:shd w:val="clear" w:color="auto" w:fill="auto"/>
            <w:noWrap/>
            <w:vAlign w:val="bottom"/>
            <w:hideMark/>
          </w:tcPr>
          <w:p w14:paraId="2B89E7BE" w14:textId="77777777" w:rsidR="0017018E" w:rsidRPr="00D0010D" w:rsidRDefault="0017018E" w:rsidP="00D64017">
            <w:pPr>
              <w:pStyle w:val="TableText"/>
              <w:rPr>
                <w:rFonts w:eastAsia="Times New Roman"/>
              </w:rPr>
            </w:pPr>
            <w:r w:rsidRPr="00D0010D">
              <w:rPr>
                <w:rFonts w:eastAsia="Times New Roman"/>
              </w:rPr>
              <w:t xml:space="preserve">Polymer product and rubber product manufacturing </w:t>
            </w:r>
          </w:p>
        </w:tc>
        <w:tc>
          <w:tcPr>
            <w:tcW w:w="1224" w:type="pct"/>
            <w:shd w:val="clear" w:color="auto" w:fill="auto"/>
            <w:noWrap/>
            <w:vAlign w:val="bottom"/>
            <w:hideMark/>
          </w:tcPr>
          <w:p w14:paraId="648C414F" w14:textId="77777777" w:rsidR="0017018E" w:rsidRPr="00D0010D" w:rsidRDefault="0017018E" w:rsidP="00D64017">
            <w:pPr>
              <w:pStyle w:val="TableText"/>
              <w:jc w:val="center"/>
              <w:rPr>
                <w:rFonts w:eastAsia="Times New Roman"/>
              </w:rPr>
            </w:pPr>
            <w:r w:rsidRPr="00D0010D">
              <w:rPr>
                <w:rFonts w:eastAsia="Times New Roman"/>
              </w:rPr>
              <w:t>233</w:t>
            </w:r>
          </w:p>
        </w:tc>
        <w:tc>
          <w:tcPr>
            <w:tcW w:w="901" w:type="pct"/>
            <w:vAlign w:val="bottom"/>
          </w:tcPr>
          <w:p w14:paraId="73B25301" w14:textId="77777777" w:rsidR="0017018E" w:rsidRPr="00D0010D" w:rsidRDefault="0017018E" w:rsidP="00D64017">
            <w:pPr>
              <w:pStyle w:val="TableText"/>
              <w:jc w:val="center"/>
              <w:rPr>
                <w:rFonts w:eastAsia="Times New Roman"/>
              </w:rPr>
            </w:pPr>
            <w:r w:rsidRPr="00D0010D">
              <w:rPr>
                <w:rFonts w:eastAsia="Times New Roman"/>
              </w:rPr>
              <w:t>8.20%</w:t>
            </w:r>
          </w:p>
        </w:tc>
      </w:tr>
      <w:tr w:rsidR="0017018E" w:rsidRPr="00D0010D" w14:paraId="50A07A22" w14:textId="77777777" w:rsidTr="00D64017">
        <w:trPr>
          <w:trHeight w:val="300"/>
        </w:trPr>
        <w:tc>
          <w:tcPr>
            <w:tcW w:w="2875" w:type="pct"/>
            <w:shd w:val="clear" w:color="auto" w:fill="EDEDED"/>
            <w:noWrap/>
            <w:vAlign w:val="bottom"/>
            <w:hideMark/>
          </w:tcPr>
          <w:p w14:paraId="4E1C8251" w14:textId="53A1B75A" w:rsidR="0017018E" w:rsidRPr="00D0010D" w:rsidRDefault="0017018E" w:rsidP="006D2E0E">
            <w:pPr>
              <w:pStyle w:val="TableText"/>
              <w:rPr>
                <w:rFonts w:eastAsia="Times New Roman"/>
              </w:rPr>
            </w:pPr>
            <w:r w:rsidRPr="00D0010D">
              <w:rPr>
                <w:rFonts w:eastAsia="Times New Roman"/>
              </w:rPr>
              <w:t xml:space="preserve">Mineral </w:t>
            </w:r>
            <w:r w:rsidR="006D2E0E">
              <w:rPr>
                <w:rFonts w:eastAsia="Times New Roman"/>
              </w:rPr>
              <w:t>p</w:t>
            </w:r>
            <w:r w:rsidRPr="00D0010D">
              <w:rPr>
                <w:rFonts w:eastAsia="Times New Roman"/>
              </w:rPr>
              <w:t xml:space="preserve">roduct, </w:t>
            </w:r>
            <w:r w:rsidR="006D2E0E">
              <w:rPr>
                <w:rFonts w:eastAsia="Times New Roman"/>
              </w:rPr>
              <w:t>p</w:t>
            </w:r>
            <w:r w:rsidRPr="00D0010D">
              <w:rPr>
                <w:rFonts w:eastAsia="Times New Roman"/>
              </w:rPr>
              <w:t xml:space="preserve">rimary </w:t>
            </w:r>
            <w:r w:rsidR="006D2E0E">
              <w:rPr>
                <w:rFonts w:eastAsia="Times New Roman"/>
              </w:rPr>
              <w:t>m</w:t>
            </w:r>
            <w:r w:rsidRPr="00D0010D">
              <w:rPr>
                <w:rFonts w:eastAsia="Times New Roman"/>
              </w:rPr>
              <w:t xml:space="preserve">etal and </w:t>
            </w:r>
            <w:r w:rsidR="006D2E0E">
              <w:rPr>
                <w:rFonts w:eastAsia="Times New Roman"/>
              </w:rPr>
              <w:t>m</w:t>
            </w:r>
            <w:r w:rsidRPr="00D0010D">
              <w:rPr>
                <w:rFonts w:eastAsia="Times New Roman"/>
              </w:rPr>
              <w:t xml:space="preserve">etal </w:t>
            </w:r>
            <w:r w:rsidR="006D2E0E">
              <w:rPr>
                <w:rFonts w:eastAsia="Times New Roman"/>
              </w:rPr>
              <w:t>p</w:t>
            </w:r>
            <w:r w:rsidRPr="00D0010D">
              <w:rPr>
                <w:rFonts w:eastAsia="Times New Roman"/>
              </w:rPr>
              <w:t>roduct</w:t>
            </w:r>
          </w:p>
        </w:tc>
        <w:tc>
          <w:tcPr>
            <w:tcW w:w="1224" w:type="pct"/>
            <w:shd w:val="clear" w:color="auto" w:fill="EDEDED"/>
            <w:noWrap/>
            <w:vAlign w:val="bottom"/>
            <w:hideMark/>
          </w:tcPr>
          <w:p w14:paraId="36C04DF8" w14:textId="77777777" w:rsidR="0017018E" w:rsidRPr="00D0010D" w:rsidRDefault="0017018E" w:rsidP="00D64017">
            <w:pPr>
              <w:pStyle w:val="TableText"/>
              <w:jc w:val="center"/>
              <w:rPr>
                <w:rFonts w:eastAsia="Times New Roman"/>
              </w:rPr>
            </w:pPr>
            <w:r w:rsidRPr="00D0010D">
              <w:rPr>
                <w:rFonts w:eastAsia="Times New Roman"/>
              </w:rPr>
              <w:t>72,178</w:t>
            </w:r>
          </w:p>
        </w:tc>
        <w:tc>
          <w:tcPr>
            <w:tcW w:w="901" w:type="pct"/>
            <w:shd w:val="clear" w:color="auto" w:fill="EDEDED"/>
            <w:vAlign w:val="bottom"/>
          </w:tcPr>
          <w:p w14:paraId="0A7BF631" w14:textId="77777777" w:rsidR="0017018E" w:rsidRPr="00D0010D" w:rsidRDefault="0017018E" w:rsidP="00D64017">
            <w:pPr>
              <w:pStyle w:val="TableText"/>
              <w:jc w:val="center"/>
              <w:rPr>
                <w:rFonts w:eastAsia="Times New Roman"/>
              </w:rPr>
            </w:pPr>
            <w:r w:rsidRPr="00D0010D">
              <w:rPr>
                <w:rFonts w:eastAsia="Times New Roman"/>
              </w:rPr>
              <w:t>9.60%</w:t>
            </w:r>
          </w:p>
        </w:tc>
      </w:tr>
      <w:tr w:rsidR="0017018E" w:rsidRPr="00D0010D" w14:paraId="45631CC3" w14:textId="77777777" w:rsidTr="00D64017">
        <w:trPr>
          <w:trHeight w:val="300"/>
        </w:trPr>
        <w:tc>
          <w:tcPr>
            <w:tcW w:w="2875" w:type="pct"/>
            <w:shd w:val="clear" w:color="auto" w:fill="auto"/>
            <w:noWrap/>
            <w:vAlign w:val="bottom"/>
            <w:hideMark/>
          </w:tcPr>
          <w:p w14:paraId="377A5D5E" w14:textId="3A629A88" w:rsidR="0017018E" w:rsidRPr="00D0010D" w:rsidRDefault="0017018E" w:rsidP="006D2E0E">
            <w:pPr>
              <w:pStyle w:val="TableText"/>
              <w:rPr>
                <w:rFonts w:eastAsia="Times New Roman"/>
              </w:rPr>
            </w:pPr>
            <w:r w:rsidRPr="00D0010D">
              <w:rPr>
                <w:rFonts w:eastAsia="Times New Roman"/>
              </w:rPr>
              <w:t>Fabricat</w:t>
            </w:r>
            <w:r w:rsidR="006B1DD2">
              <w:rPr>
                <w:rFonts w:eastAsia="Times New Roman"/>
              </w:rPr>
              <w:t xml:space="preserve">ed </w:t>
            </w:r>
            <w:r w:rsidR="006D2E0E">
              <w:rPr>
                <w:rFonts w:eastAsia="Times New Roman"/>
              </w:rPr>
              <w:t>m</w:t>
            </w:r>
            <w:r w:rsidR="006B1DD2">
              <w:rPr>
                <w:rFonts w:eastAsia="Times New Roman"/>
              </w:rPr>
              <w:t xml:space="preserve">etal </w:t>
            </w:r>
            <w:r w:rsidR="006D2E0E">
              <w:rPr>
                <w:rFonts w:eastAsia="Times New Roman"/>
              </w:rPr>
              <w:t>p</w:t>
            </w:r>
            <w:r w:rsidR="006B1DD2">
              <w:rPr>
                <w:rFonts w:eastAsia="Times New Roman"/>
              </w:rPr>
              <w:t xml:space="preserve">roduct </w:t>
            </w:r>
            <w:r w:rsidR="006D2E0E">
              <w:rPr>
                <w:rFonts w:eastAsia="Times New Roman"/>
              </w:rPr>
              <w:t>m</w:t>
            </w:r>
            <w:r w:rsidR="006B1DD2">
              <w:rPr>
                <w:rFonts w:eastAsia="Times New Roman"/>
              </w:rPr>
              <w:t>anufacturing</w:t>
            </w:r>
          </w:p>
        </w:tc>
        <w:tc>
          <w:tcPr>
            <w:tcW w:w="1224" w:type="pct"/>
            <w:shd w:val="clear" w:color="auto" w:fill="auto"/>
            <w:noWrap/>
            <w:vAlign w:val="bottom"/>
            <w:hideMark/>
          </w:tcPr>
          <w:p w14:paraId="6C5CB204" w14:textId="77777777" w:rsidR="0017018E" w:rsidRPr="00D0010D" w:rsidRDefault="0017018E" w:rsidP="00D64017">
            <w:pPr>
              <w:pStyle w:val="TableText"/>
              <w:jc w:val="center"/>
              <w:rPr>
                <w:rFonts w:eastAsia="Times New Roman"/>
              </w:rPr>
            </w:pPr>
            <w:r w:rsidRPr="00D0010D">
              <w:rPr>
                <w:rFonts w:eastAsia="Times New Roman"/>
              </w:rPr>
              <w:t>226</w:t>
            </w:r>
          </w:p>
        </w:tc>
        <w:tc>
          <w:tcPr>
            <w:tcW w:w="901" w:type="pct"/>
            <w:vAlign w:val="bottom"/>
          </w:tcPr>
          <w:p w14:paraId="3B263F9C" w14:textId="77777777" w:rsidR="0017018E" w:rsidRPr="00D0010D" w:rsidRDefault="0017018E" w:rsidP="00D64017">
            <w:pPr>
              <w:pStyle w:val="TableText"/>
              <w:jc w:val="center"/>
              <w:rPr>
                <w:rFonts w:eastAsia="Times New Roman"/>
              </w:rPr>
            </w:pPr>
            <w:r w:rsidRPr="00D0010D">
              <w:rPr>
                <w:rFonts w:eastAsia="Times New Roman"/>
              </w:rPr>
              <w:t>8.10%</w:t>
            </w:r>
          </w:p>
        </w:tc>
      </w:tr>
      <w:tr w:rsidR="0017018E" w:rsidRPr="00D0010D" w14:paraId="1EB6B1F6" w14:textId="77777777" w:rsidTr="00D64017">
        <w:trPr>
          <w:trHeight w:val="300"/>
        </w:trPr>
        <w:tc>
          <w:tcPr>
            <w:tcW w:w="2875" w:type="pct"/>
            <w:shd w:val="clear" w:color="auto" w:fill="EDEDED"/>
            <w:noWrap/>
            <w:vAlign w:val="bottom"/>
            <w:hideMark/>
          </w:tcPr>
          <w:p w14:paraId="06533D8F" w14:textId="73CF2C58" w:rsidR="0017018E" w:rsidRPr="00D0010D" w:rsidRDefault="006B1DD2" w:rsidP="006D2E0E">
            <w:pPr>
              <w:pStyle w:val="TableText"/>
              <w:rPr>
                <w:rFonts w:eastAsia="Times New Roman"/>
              </w:rPr>
            </w:pPr>
            <w:r>
              <w:rPr>
                <w:rFonts w:eastAsia="Times New Roman"/>
              </w:rPr>
              <w:t xml:space="preserve">Other </w:t>
            </w:r>
            <w:r w:rsidR="006D2E0E">
              <w:rPr>
                <w:rFonts w:eastAsia="Times New Roman"/>
              </w:rPr>
              <w:t>m</w:t>
            </w:r>
            <w:r>
              <w:rPr>
                <w:rFonts w:eastAsia="Times New Roman"/>
              </w:rPr>
              <w:t>anufacturing</w:t>
            </w:r>
          </w:p>
        </w:tc>
        <w:tc>
          <w:tcPr>
            <w:tcW w:w="1224" w:type="pct"/>
            <w:shd w:val="clear" w:color="auto" w:fill="EDEDED"/>
            <w:noWrap/>
            <w:vAlign w:val="bottom"/>
            <w:hideMark/>
          </w:tcPr>
          <w:p w14:paraId="426D4CD3" w14:textId="77777777" w:rsidR="0017018E" w:rsidRPr="00D0010D" w:rsidRDefault="0017018E" w:rsidP="00D64017">
            <w:pPr>
              <w:pStyle w:val="TableText"/>
              <w:jc w:val="center"/>
              <w:rPr>
                <w:rFonts w:eastAsia="Times New Roman"/>
              </w:rPr>
            </w:pPr>
            <w:r w:rsidRPr="00D0010D">
              <w:rPr>
                <w:rFonts w:eastAsia="Times New Roman"/>
              </w:rPr>
              <w:t>665</w:t>
            </w:r>
          </w:p>
        </w:tc>
        <w:tc>
          <w:tcPr>
            <w:tcW w:w="901" w:type="pct"/>
            <w:shd w:val="clear" w:color="auto" w:fill="EDEDED"/>
            <w:vAlign w:val="bottom"/>
          </w:tcPr>
          <w:p w14:paraId="76290521" w14:textId="77777777" w:rsidR="0017018E" w:rsidRPr="00D0010D" w:rsidRDefault="0017018E" w:rsidP="00D64017">
            <w:pPr>
              <w:pStyle w:val="TableText"/>
              <w:jc w:val="center"/>
              <w:rPr>
                <w:rFonts w:eastAsia="Times New Roman"/>
              </w:rPr>
            </w:pPr>
            <w:r w:rsidRPr="00D0010D">
              <w:rPr>
                <w:rFonts w:eastAsia="Times New Roman"/>
              </w:rPr>
              <w:t>13.60%</w:t>
            </w:r>
          </w:p>
        </w:tc>
      </w:tr>
      <w:tr w:rsidR="0017018E" w:rsidRPr="00E00B97" w14:paraId="617D3209" w14:textId="77777777" w:rsidTr="00D64017">
        <w:trPr>
          <w:trHeight w:val="300"/>
        </w:trPr>
        <w:tc>
          <w:tcPr>
            <w:tcW w:w="2875" w:type="pct"/>
            <w:tcBorders>
              <w:bottom w:val="single" w:sz="4" w:space="0" w:color="auto"/>
            </w:tcBorders>
            <w:shd w:val="clear" w:color="auto" w:fill="auto"/>
            <w:noWrap/>
            <w:vAlign w:val="bottom"/>
            <w:hideMark/>
          </w:tcPr>
          <w:p w14:paraId="61D5DE4A" w14:textId="712BE666" w:rsidR="0017018E" w:rsidRPr="00D64017" w:rsidRDefault="006B1DD2" w:rsidP="00D64017">
            <w:pPr>
              <w:pStyle w:val="TableText"/>
              <w:rPr>
                <w:rFonts w:eastAsia="Times New Roman"/>
                <w:b/>
                <w:bCs/>
              </w:rPr>
            </w:pPr>
            <w:r w:rsidRPr="00D64017">
              <w:rPr>
                <w:rFonts w:eastAsia="Times New Roman"/>
                <w:b/>
                <w:bCs/>
              </w:rPr>
              <w:t>Manufacturing subtotal</w:t>
            </w:r>
          </w:p>
        </w:tc>
        <w:tc>
          <w:tcPr>
            <w:tcW w:w="1224" w:type="pct"/>
            <w:tcBorders>
              <w:bottom w:val="single" w:sz="4" w:space="0" w:color="auto"/>
            </w:tcBorders>
            <w:shd w:val="clear" w:color="auto" w:fill="auto"/>
            <w:noWrap/>
            <w:vAlign w:val="bottom"/>
            <w:hideMark/>
          </w:tcPr>
          <w:p w14:paraId="64BDB85D" w14:textId="77777777" w:rsidR="0017018E" w:rsidRPr="00D64017" w:rsidRDefault="0017018E" w:rsidP="00D64017">
            <w:pPr>
              <w:pStyle w:val="TableText"/>
              <w:jc w:val="center"/>
              <w:rPr>
                <w:rFonts w:eastAsia="Times New Roman"/>
                <w:b/>
              </w:rPr>
            </w:pPr>
            <w:r w:rsidRPr="00D64017">
              <w:rPr>
                <w:rFonts w:eastAsia="Times New Roman"/>
                <w:b/>
              </w:rPr>
              <w:t>193,824</w:t>
            </w:r>
          </w:p>
        </w:tc>
        <w:tc>
          <w:tcPr>
            <w:tcW w:w="901" w:type="pct"/>
            <w:tcBorders>
              <w:bottom w:val="single" w:sz="4" w:space="0" w:color="auto"/>
            </w:tcBorders>
            <w:vAlign w:val="bottom"/>
          </w:tcPr>
          <w:p w14:paraId="5D56AECF" w14:textId="77777777" w:rsidR="0017018E" w:rsidRPr="00D64017" w:rsidRDefault="0017018E" w:rsidP="00D64017">
            <w:pPr>
              <w:pStyle w:val="TableText"/>
              <w:jc w:val="center"/>
              <w:rPr>
                <w:rFonts w:eastAsia="Times New Roman"/>
                <w:b/>
              </w:rPr>
            </w:pPr>
            <w:r w:rsidRPr="00D64017">
              <w:rPr>
                <w:rFonts w:eastAsia="Times New Roman"/>
                <w:b/>
              </w:rPr>
              <w:t>12.80%</w:t>
            </w:r>
          </w:p>
        </w:tc>
      </w:tr>
      <w:tr w:rsidR="0017018E" w:rsidRPr="00E00B97" w14:paraId="264F15AA" w14:textId="77777777" w:rsidTr="00D64017">
        <w:trPr>
          <w:trHeight w:val="300"/>
        </w:trPr>
        <w:tc>
          <w:tcPr>
            <w:tcW w:w="2875" w:type="pct"/>
            <w:tcBorders>
              <w:top w:val="single" w:sz="4" w:space="0" w:color="auto"/>
            </w:tcBorders>
            <w:shd w:val="clear" w:color="auto" w:fill="EDEDED"/>
            <w:noWrap/>
            <w:vAlign w:val="bottom"/>
            <w:hideMark/>
          </w:tcPr>
          <w:p w14:paraId="1AF56042" w14:textId="099A9FCE" w:rsidR="0017018E" w:rsidRPr="00D64017" w:rsidRDefault="006B1DD2" w:rsidP="006D2E0E">
            <w:pPr>
              <w:pStyle w:val="TableText"/>
              <w:rPr>
                <w:rFonts w:eastAsia="Times New Roman"/>
                <w:b/>
                <w:bCs/>
              </w:rPr>
            </w:pPr>
            <w:r w:rsidRPr="00D64017">
              <w:rPr>
                <w:rFonts w:eastAsia="Times New Roman"/>
                <w:b/>
                <w:bCs/>
              </w:rPr>
              <w:t xml:space="preserve">Water and </w:t>
            </w:r>
            <w:r w:rsidR="006D2E0E">
              <w:rPr>
                <w:rFonts w:eastAsia="Times New Roman"/>
                <w:b/>
                <w:bCs/>
              </w:rPr>
              <w:t>w</w:t>
            </w:r>
            <w:r w:rsidRPr="00D64017">
              <w:rPr>
                <w:rFonts w:eastAsia="Times New Roman"/>
                <w:b/>
                <w:bCs/>
              </w:rPr>
              <w:t xml:space="preserve">aste </w:t>
            </w:r>
            <w:r w:rsidR="006D2E0E">
              <w:rPr>
                <w:rFonts w:eastAsia="Times New Roman"/>
                <w:b/>
                <w:bCs/>
              </w:rPr>
              <w:t>s</w:t>
            </w:r>
            <w:r w:rsidRPr="00D64017">
              <w:rPr>
                <w:rFonts w:eastAsia="Times New Roman"/>
                <w:b/>
                <w:bCs/>
              </w:rPr>
              <w:t>ervices</w:t>
            </w:r>
          </w:p>
        </w:tc>
        <w:tc>
          <w:tcPr>
            <w:tcW w:w="1224" w:type="pct"/>
            <w:tcBorders>
              <w:top w:val="single" w:sz="4" w:space="0" w:color="auto"/>
            </w:tcBorders>
            <w:shd w:val="clear" w:color="auto" w:fill="EDEDED"/>
            <w:noWrap/>
            <w:vAlign w:val="bottom"/>
            <w:hideMark/>
          </w:tcPr>
          <w:p w14:paraId="527A8769" w14:textId="77777777" w:rsidR="0017018E" w:rsidRPr="00D64017" w:rsidRDefault="0017018E" w:rsidP="00D64017">
            <w:pPr>
              <w:pStyle w:val="TableText"/>
              <w:jc w:val="center"/>
              <w:rPr>
                <w:rFonts w:eastAsia="Times New Roman"/>
                <w:b/>
              </w:rPr>
            </w:pPr>
            <w:r w:rsidRPr="00D64017">
              <w:rPr>
                <w:rFonts w:eastAsia="Times New Roman"/>
                <w:b/>
              </w:rPr>
              <w:t>1,017</w:t>
            </w:r>
          </w:p>
        </w:tc>
        <w:tc>
          <w:tcPr>
            <w:tcW w:w="901" w:type="pct"/>
            <w:tcBorders>
              <w:top w:val="single" w:sz="4" w:space="0" w:color="auto"/>
            </w:tcBorders>
            <w:shd w:val="clear" w:color="auto" w:fill="EDEDED"/>
            <w:vAlign w:val="bottom"/>
          </w:tcPr>
          <w:p w14:paraId="41A9B344" w14:textId="77777777" w:rsidR="0017018E" w:rsidRPr="00D64017" w:rsidRDefault="0017018E" w:rsidP="00D64017">
            <w:pPr>
              <w:pStyle w:val="TableText"/>
              <w:jc w:val="center"/>
              <w:rPr>
                <w:rFonts w:eastAsia="Times New Roman"/>
                <w:b/>
              </w:rPr>
            </w:pPr>
            <w:r w:rsidRPr="00D64017">
              <w:rPr>
                <w:rFonts w:eastAsia="Times New Roman"/>
                <w:b/>
              </w:rPr>
              <w:t>4.90%</w:t>
            </w:r>
          </w:p>
        </w:tc>
      </w:tr>
      <w:tr w:rsidR="0017018E" w:rsidRPr="00E00B97" w14:paraId="225ED37A" w14:textId="77777777" w:rsidTr="00D64017">
        <w:trPr>
          <w:trHeight w:val="300"/>
        </w:trPr>
        <w:tc>
          <w:tcPr>
            <w:tcW w:w="2875" w:type="pct"/>
            <w:shd w:val="clear" w:color="auto" w:fill="auto"/>
            <w:noWrap/>
            <w:vAlign w:val="bottom"/>
            <w:hideMark/>
          </w:tcPr>
          <w:p w14:paraId="42FEEC0E" w14:textId="77777777" w:rsidR="0017018E" w:rsidRPr="00D64017" w:rsidRDefault="0017018E" w:rsidP="00D64017">
            <w:pPr>
              <w:pStyle w:val="TableText"/>
              <w:rPr>
                <w:rFonts w:eastAsia="Times New Roman"/>
                <w:b/>
                <w:bCs/>
              </w:rPr>
            </w:pPr>
            <w:r w:rsidRPr="00D64017">
              <w:rPr>
                <w:rFonts w:eastAsia="Times New Roman"/>
                <w:b/>
                <w:bCs/>
              </w:rPr>
              <w:t xml:space="preserve">Construction      </w:t>
            </w:r>
          </w:p>
        </w:tc>
        <w:tc>
          <w:tcPr>
            <w:tcW w:w="1224" w:type="pct"/>
            <w:shd w:val="clear" w:color="auto" w:fill="auto"/>
            <w:noWrap/>
            <w:vAlign w:val="bottom"/>
            <w:hideMark/>
          </w:tcPr>
          <w:p w14:paraId="48B2B1FF" w14:textId="77777777" w:rsidR="0017018E" w:rsidRPr="00D64017" w:rsidRDefault="0017018E" w:rsidP="00D64017">
            <w:pPr>
              <w:pStyle w:val="TableText"/>
              <w:jc w:val="center"/>
              <w:rPr>
                <w:rFonts w:eastAsia="Times New Roman"/>
                <w:b/>
              </w:rPr>
            </w:pPr>
            <w:r w:rsidRPr="00D64017">
              <w:rPr>
                <w:rFonts w:eastAsia="Times New Roman"/>
                <w:b/>
              </w:rPr>
              <w:t>1,080</w:t>
            </w:r>
          </w:p>
        </w:tc>
        <w:tc>
          <w:tcPr>
            <w:tcW w:w="901" w:type="pct"/>
            <w:vAlign w:val="bottom"/>
          </w:tcPr>
          <w:p w14:paraId="0A636679" w14:textId="77777777" w:rsidR="0017018E" w:rsidRPr="00D64017" w:rsidRDefault="0017018E" w:rsidP="00D64017">
            <w:pPr>
              <w:pStyle w:val="TableText"/>
              <w:jc w:val="center"/>
              <w:rPr>
                <w:rFonts w:eastAsia="Times New Roman"/>
                <w:b/>
              </w:rPr>
            </w:pPr>
            <w:r w:rsidRPr="00D64017">
              <w:rPr>
                <w:rFonts w:eastAsia="Times New Roman"/>
                <w:b/>
              </w:rPr>
              <w:t>7.30%</w:t>
            </w:r>
          </w:p>
        </w:tc>
      </w:tr>
      <w:tr w:rsidR="0017018E" w:rsidRPr="00E00B97" w14:paraId="66DA73CC" w14:textId="77777777" w:rsidTr="00D64017">
        <w:trPr>
          <w:trHeight w:val="300"/>
        </w:trPr>
        <w:tc>
          <w:tcPr>
            <w:tcW w:w="2875" w:type="pct"/>
            <w:tcBorders>
              <w:bottom w:val="single" w:sz="4" w:space="0" w:color="auto"/>
            </w:tcBorders>
            <w:shd w:val="clear" w:color="auto" w:fill="EDEDED"/>
            <w:noWrap/>
            <w:vAlign w:val="bottom"/>
            <w:hideMark/>
          </w:tcPr>
          <w:p w14:paraId="2AE3A68B" w14:textId="77777777" w:rsidR="0017018E" w:rsidRPr="00D64017" w:rsidRDefault="0017018E" w:rsidP="00D64017">
            <w:pPr>
              <w:pStyle w:val="TableText"/>
              <w:rPr>
                <w:rFonts w:eastAsia="Times New Roman"/>
                <w:b/>
                <w:bCs/>
              </w:rPr>
            </w:pPr>
            <w:r w:rsidRPr="00D64017">
              <w:rPr>
                <w:rFonts w:eastAsia="Times New Roman"/>
                <w:b/>
                <w:bCs/>
              </w:rPr>
              <w:t xml:space="preserve">Transport      </w:t>
            </w:r>
          </w:p>
        </w:tc>
        <w:tc>
          <w:tcPr>
            <w:tcW w:w="1224" w:type="pct"/>
            <w:tcBorders>
              <w:bottom w:val="single" w:sz="4" w:space="0" w:color="auto"/>
            </w:tcBorders>
            <w:shd w:val="clear" w:color="auto" w:fill="EDEDED"/>
            <w:noWrap/>
            <w:vAlign w:val="bottom"/>
            <w:hideMark/>
          </w:tcPr>
          <w:p w14:paraId="7A78F750" w14:textId="77777777" w:rsidR="0017018E" w:rsidRPr="00D64017" w:rsidRDefault="0017018E" w:rsidP="00D64017">
            <w:pPr>
              <w:pStyle w:val="TableText"/>
              <w:jc w:val="center"/>
              <w:rPr>
                <w:rFonts w:eastAsia="Times New Roman"/>
                <w:b/>
              </w:rPr>
            </w:pPr>
            <w:r w:rsidRPr="00D64017">
              <w:rPr>
                <w:rFonts w:eastAsia="Times New Roman"/>
                <w:b/>
              </w:rPr>
              <w:t>27,842</w:t>
            </w:r>
          </w:p>
        </w:tc>
        <w:tc>
          <w:tcPr>
            <w:tcW w:w="901" w:type="pct"/>
            <w:tcBorders>
              <w:bottom w:val="single" w:sz="4" w:space="0" w:color="auto"/>
            </w:tcBorders>
            <w:shd w:val="clear" w:color="auto" w:fill="EDEDED"/>
            <w:vAlign w:val="bottom"/>
          </w:tcPr>
          <w:p w14:paraId="0DB4A995" w14:textId="77777777" w:rsidR="0017018E" w:rsidRPr="00D64017" w:rsidRDefault="0017018E" w:rsidP="00D64017">
            <w:pPr>
              <w:pStyle w:val="TableText"/>
              <w:jc w:val="center"/>
              <w:rPr>
                <w:rFonts w:eastAsia="Times New Roman"/>
                <w:b/>
              </w:rPr>
            </w:pPr>
            <w:r w:rsidRPr="00D64017">
              <w:rPr>
                <w:rFonts w:eastAsia="Times New Roman"/>
                <w:b/>
              </w:rPr>
              <w:t>11.20%</w:t>
            </w:r>
          </w:p>
        </w:tc>
      </w:tr>
      <w:tr w:rsidR="0017018E" w:rsidRPr="00E00B97" w14:paraId="5F8A19AA" w14:textId="77777777" w:rsidTr="00D64017">
        <w:trPr>
          <w:trHeight w:val="300"/>
        </w:trPr>
        <w:tc>
          <w:tcPr>
            <w:tcW w:w="2875" w:type="pct"/>
            <w:tcBorders>
              <w:top w:val="single" w:sz="4" w:space="0" w:color="auto"/>
              <w:bottom w:val="single" w:sz="4" w:space="0" w:color="auto"/>
            </w:tcBorders>
            <w:shd w:val="clear" w:color="auto" w:fill="auto"/>
            <w:noWrap/>
            <w:vAlign w:val="bottom"/>
            <w:hideMark/>
          </w:tcPr>
          <w:p w14:paraId="65993B90" w14:textId="77777777" w:rsidR="0017018E" w:rsidRPr="00D64017" w:rsidRDefault="0017018E" w:rsidP="00D64017">
            <w:pPr>
              <w:pStyle w:val="TableText"/>
              <w:rPr>
                <w:rFonts w:eastAsia="Times New Roman"/>
                <w:b/>
              </w:rPr>
            </w:pPr>
            <w:r w:rsidRPr="00D64017">
              <w:rPr>
                <w:rFonts w:eastAsia="Times New Roman"/>
                <w:b/>
              </w:rPr>
              <w:t xml:space="preserve">TOTAL      </w:t>
            </w:r>
          </w:p>
        </w:tc>
        <w:tc>
          <w:tcPr>
            <w:tcW w:w="1224" w:type="pct"/>
            <w:tcBorders>
              <w:top w:val="single" w:sz="4" w:space="0" w:color="auto"/>
              <w:bottom w:val="single" w:sz="4" w:space="0" w:color="auto"/>
            </w:tcBorders>
            <w:shd w:val="clear" w:color="auto" w:fill="auto"/>
            <w:noWrap/>
            <w:vAlign w:val="bottom"/>
            <w:hideMark/>
          </w:tcPr>
          <w:p w14:paraId="428EF714" w14:textId="77777777" w:rsidR="0017018E" w:rsidRPr="00D64017" w:rsidRDefault="0017018E" w:rsidP="00D64017">
            <w:pPr>
              <w:pStyle w:val="TableText"/>
              <w:jc w:val="center"/>
              <w:rPr>
                <w:rFonts w:eastAsia="Times New Roman"/>
                <w:b/>
              </w:rPr>
            </w:pPr>
            <w:r w:rsidRPr="00D64017">
              <w:rPr>
                <w:rFonts w:eastAsia="Times New Roman"/>
                <w:b/>
              </w:rPr>
              <w:t>296,625</w:t>
            </w:r>
          </w:p>
        </w:tc>
        <w:tc>
          <w:tcPr>
            <w:tcW w:w="901" w:type="pct"/>
            <w:tcBorders>
              <w:top w:val="single" w:sz="4" w:space="0" w:color="auto"/>
              <w:bottom w:val="single" w:sz="4" w:space="0" w:color="auto"/>
            </w:tcBorders>
            <w:vAlign w:val="bottom"/>
          </w:tcPr>
          <w:p w14:paraId="01A98619" w14:textId="77777777" w:rsidR="0017018E" w:rsidRPr="00D64017" w:rsidRDefault="0017018E" w:rsidP="00D64017">
            <w:pPr>
              <w:pStyle w:val="TableText"/>
              <w:jc w:val="center"/>
              <w:rPr>
                <w:rFonts w:eastAsia="Times New Roman"/>
                <w:b/>
              </w:rPr>
            </w:pPr>
            <w:r w:rsidRPr="00D64017">
              <w:rPr>
                <w:rFonts w:eastAsia="Times New Roman"/>
                <w:b/>
              </w:rPr>
              <w:t>11.10%</w:t>
            </w:r>
          </w:p>
        </w:tc>
      </w:tr>
    </w:tbl>
    <w:p w14:paraId="50076B85" w14:textId="77777777" w:rsidR="0017018E" w:rsidRDefault="0017018E" w:rsidP="0017018E">
      <w:bookmarkStart w:id="71" w:name="_Toc359911310"/>
    </w:p>
    <w:p w14:paraId="47B4ADAD" w14:textId="5DC5B333" w:rsidR="0017018E" w:rsidRDefault="0017018E" w:rsidP="0017018E">
      <w:r>
        <w:t xml:space="preserve">The Step </w:t>
      </w:r>
      <w:r w:rsidR="00CA0FAD">
        <w:t>C</w:t>
      </w:r>
      <w:r>
        <w:t xml:space="preserve">hange for the Residential sector also assumes a progressive transition to 6 star homes (a 40% reduction on the current average) and also assumes that the trend of increasing dwelling floor space ceases at 2015 and the floor area of new dwellings, of all types, is frozen at that level until the end of simulation. The proportions of dwellings, of different types, transitions to approximately those observed in </w:t>
      </w:r>
      <w:r w:rsidR="00242609">
        <w:t>the Australian city with the highest incidence of apartment living (</w:t>
      </w:r>
      <w:r>
        <w:t>Sydney</w:t>
      </w:r>
      <w:r w:rsidR="00242609">
        <w:t>),</w:t>
      </w:r>
      <w:r>
        <w:t xml:space="preserve"> currently: 60% of separate dwellings: 20% semi-detached: 20% apartments – see p 42 of </w:t>
      </w:r>
      <w:r w:rsidRPr="00DA561A">
        <w:rPr>
          <w:i/>
        </w:rPr>
        <w:t>State of Australian Cities</w:t>
      </w:r>
      <w:r w:rsidR="009D7ED6">
        <w:rPr>
          <w:i/>
        </w:rPr>
        <w:t xml:space="preserve"> 2010</w:t>
      </w:r>
      <w:r>
        <w:t xml:space="preserve"> </w:t>
      </w:r>
      <w:r>
        <w:fldChar w:fldCharType="begin"/>
      </w:r>
      <w:r w:rsidR="00D04510">
        <w:instrText xml:space="preserve"> ADDIN EN.CITE &lt;EndNote&gt;&lt;Cite&gt;&lt;Author&gt;Infrastructure Australia&lt;/Author&gt;&lt;Year&gt;2010&lt;/Year&gt;&lt;RecNum&gt;561&lt;/RecNum&gt;&lt;DisplayText&gt;(Infrastructure Australia, 2010)&lt;/DisplayText&gt;&lt;record&gt;&lt;rec-number&gt;561&lt;/rec-number&gt;&lt;foreign-keys&gt;&lt;key app="EN" db-id="t55vefr95ws0pgeffdlvtde0tdta909p2zv9"&gt;561&lt;/key&gt;&lt;/foreign-keys&gt;&lt;ref-type name="Report"&gt;27&lt;/ref-type&gt;&lt;contributors&gt;&lt;authors&gt;&lt;author&gt;Infrastructure Australia,&lt;/author&gt;&lt;/authors&gt;&lt;/contributors&gt;&lt;titles&gt;&lt;title&gt;State of Australian Cities 2010&lt;/title&gt;&lt;/titles&gt;&lt;keywords&gt;&lt;keyword&gt;^^&lt;/keyword&gt;&lt;/keywords&gt;&lt;dates&gt;&lt;year&gt;2010&lt;/year&gt;&lt;/dates&gt;&lt;pub-location&gt;Canberra&lt;/pub-location&gt;&lt;publisher&gt;Commonwealth of Australia, Infrastructure Australia, Major Cities Unit&lt;/publisher&gt;&lt;urls&gt;&lt;related-urls&gt;&lt;url&gt;http://www.infrastructureaustralia.gov.au/publications/files/MCU_SOAC.pdf&lt;/url&gt;&lt;/related-urls&gt;&lt;/urls&gt;&lt;/record&gt;&lt;/Cite&gt;&lt;/EndNote&gt;</w:instrText>
      </w:r>
      <w:r>
        <w:fldChar w:fldCharType="separate"/>
      </w:r>
      <w:r w:rsidR="00D04510">
        <w:rPr>
          <w:noProof/>
        </w:rPr>
        <w:t>(</w:t>
      </w:r>
      <w:hyperlink w:anchor="_ENREF_16" w:tooltip="Infrastructure Australia, 2010 #561" w:history="1">
        <w:r w:rsidR="00D04510">
          <w:rPr>
            <w:noProof/>
          </w:rPr>
          <w:t>Infrastructure Australia, 2010</w:t>
        </w:r>
      </w:hyperlink>
      <w:r w:rsidR="00D04510">
        <w:rPr>
          <w:noProof/>
        </w:rPr>
        <w:t>)</w:t>
      </w:r>
      <w:r>
        <w:fldChar w:fldCharType="end"/>
      </w:r>
      <w:r>
        <w:t>.</w:t>
      </w:r>
    </w:p>
    <w:p w14:paraId="79778FF3" w14:textId="15042AEE" w:rsidR="0017018E" w:rsidRPr="00DB5EB8" w:rsidRDefault="0017018E" w:rsidP="0017018E">
      <w:pPr>
        <w:pStyle w:val="Title"/>
        <w:rPr>
          <w:rFonts w:eastAsia="Calibri"/>
          <w:color w:val="00A9CE" w:themeColor="accent1"/>
          <w:kern w:val="0"/>
          <w:sz w:val="20"/>
          <w:szCs w:val="18"/>
          <w:lang w:eastAsia="en-AU"/>
        </w:rPr>
      </w:pPr>
      <w:bookmarkStart w:id="72" w:name="_Toc433977523"/>
      <w:r w:rsidRPr="00DB5EB8">
        <w:rPr>
          <w:rFonts w:eastAsia="Calibri"/>
          <w:color w:val="00A9CE" w:themeColor="accent1"/>
          <w:kern w:val="0"/>
          <w:sz w:val="20"/>
          <w:szCs w:val="18"/>
          <w:lang w:eastAsia="en-AU"/>
        </w:rPr>
        <w:t xml:space="preserve">Table </w:t>
      </w:r>
      <w:r w:rsidR="00447CD6" w:rsidRPr="00DB5EB8">
        <w:rPr>
          <w:rFonts w:eastAsia="Calibri"/>
          <w:color w:val="00A9CE" w:themeColor="accent1"/>
          <w:kern w:val="0"/>
          <w:sz w:val="20"/>
          <w:szCs w:val="18"/>
          <w:lang w:eastAsia="en-AU"/>
        </w:rPr>
        <w:fldChar w:fldCharType="begin"/>
      </w:r>
      <w:r w:rsidR="00447CD6" w:rsidRPr="00DB5EB8">
        <w:rPr>
          <w:rFonts w:eastAsia="Calibri"/>
          <w:color w:val="00A9CE" w:themeColor="accent1"/>
          <w:kern w:val="0"/>
          <w:sz w:val="20"/>
          <w:szCs w:val="18"/>
          <w:lang w:eastAsia="en-AU"/>
        </w:rPr>
        <w:instrText xml:space="preserve"> SEQ Table \* ARABIC </w:instrText>
      </w:r>
      <w:r w:rsidR="00447CD6" w:rsidRPr="00DB5EB8">
        <w:rPr>
          <w:rFonts w:eastAsia="Calibri"/>
          <w:color w:val="00A9CE" w:themeColor="accent1"/>
          <w:kern w:val="0"/>
          <w:sz w:val="20"/>
          <w:szCs w:val="18"/>
          <w:lang w:eastAsia="en-AU"/>
        </w:rPr>
        <w:fldChar w:fldCharType="separate"/>
      </w:r>
      <w:r w:rsidR="0048332C">
        <w:rPr>
          <w:rFonts w:eastAsia="Calibri"/>
          <w:noProof/>
          <w:color w:val="00A9CE" w:themeColor="accent1"/>
          <w:kern w:val="0"/>
          <w:sz w:val="20"/>
          <w:szCs w:val="18"/>
          <w:lang w:eastAsia="en-AU"/>
        </w:rPr>
        <w:t>6</w:t>
      </w:r>
      <w:r w:rsidR="00447CD6" w:rsidRPr="00DB5EB8">
        <w:rPr>
          <w:rFonts w:eastAsia="Calibri"/>
          <w:color w:val="00A9CE" w:themeColor="accent1"/>
          <w:kern w:val="0"/>
          <w:sz w:val="20"/>
          <w:szCs w:val="18"/>
          <w:lang w:eastAsia="en-AU"/>
        </w:rPr>
        <w:fldChar w:fldCharType="end"/>
      </w:r>
      <w:r w:rsidRPr="00DB5EB8">
        <w:rPr>
          <w:rFonts w:eastAsia="Calibri"/>
          <w:color w:val="00A9CE" w:themeColor="accent1"/>
          <w:kern w:val="0"/>
          <w:sz w:val="20"/>
          <w:szCs w:val="18"/>
          <w:lang w:eastAsia="en-AU"/>
        </w:rPr>
        <w:t>: Assumptions of residential dwelling type mix and floor space in the Step Change scenario.</w:t>
      </w:r>
      <w:bookmarkEnd w:id="71"/>
      <w:bookmarkEnd w:id="72"/>
    </w:p>
    <w:tbl>
      <w:tblPr>
        <w:tblW w:w="5000" w:type="pct"/>
        <w:tblLook w:val="04A0" w:firstRow="1" w:lastRow="0" w:firstColumn="1" w:lastColumn="0" w:noHBand="0" w:noVBand="1"/>
        <w:tblCaption w:val="Assumptions of residential dwelling type mix and floor space in the Step Change scenario"/>
        <w:tblDescription w:val="Table six provides the proportion of all dwelling types and floor space of new dwellings for the time periods of two thousand and twelve and two thousand and fifty in the Step Change scenario. Dwelling types are noted as separate house, semi detached, and apartment.  Proportion of all dwelling types are denoted as percentages. Floor space of new dwellings is presented as meters squared. "/>
      </w:tblPr>
      <w:tblGrid>
        <w:gridCol w:w="1904"/>
        <w:gridCol w:w="1937"/>
        <w:gridCol w:w="1937"/>
        <w:gridCol w:w="1930"/>
        <w:gridCol w:w="1930"/>
      </w:tblGrid>
      <w:tr w:rsidR="0017018E" w14:paraId="36CC945D" w14:textId="77777777" w:rsidTr="00D64017">
        <w:tc>
          <w:tcPr>
            <w:tcW w:w="988" w:type="pct"/>
            <w:shd w:val="clear" w:color="auto" w:fill="000000" w:themeFill="text1"/>
          </w:tcPr>
          <w:p w14:paraId="24330106" w14:textId="77777777" w:rsidR="0017018E" w:rsidRDefault="0017018E" w:rsidP="00D64017">
            <w:pPr>
              <w:pStyle w:val="ColumnHeading"/>
              <w:spacing w:before="120" w:after="60"/>
            </w:pPr>
          </w:p>
        </w:tc>
        <w:tc>
          <w:tcPr>
            <w:tcW w:w="2010" w:type="pct"/>
            <w:gridSpan w:val="2"/>
            <w:shd w:val="clear" w:color="auto" w:fill="000000" w:themeFill="text1"/>
            <w:vAlign w:val="center"/>
          </w:tcPr>
          <w:p w14:paraId="4A4FB1C4" w14:textId="77777777" w:rsidR="0017018E" w:rsidRPr="002001D9" w:rsidRDefault="0017018E" w:rsidP="00D64017">
            <w:pPr>
              <w:pStyle w:val="ColumnHeading"/>
              <w:spacing w:before="120" w:after="60"/>
              <w:jc w:val="center"/>
              <w:rPr>
                <w:color w:val="FFFFFF" w:themeColor="background1"/>
              </w:rPr>
            </w:pPr>
            <w:r w:rsidRPr="002001D9">
              <w:rPr>
                <w:color w:val="FFFFFF" w:themeColor="background1"/>
              </w:rPr>
              <w:t>Proportion of all dwelling types</w:t>
            </w:r>
          </w:p>
        </w:tc>
        <w:tc>
          <w:tcPr>
            <w:tcW w:w="2001" w:type="pct"/>
            <w:gridSpan w:val="2"/>
            <w:shd w:val="clear" w:color="auto" w:fill="000000" w:themeFill="text1"/>
          </w:tcPr>
          <w:p w14:paraId="7CF75032" w14:textId="77777777" w:rsidR="0017018E" w:rsidRPr="002001D9" w:rsidRDefault="0017018E" w:rsidP="00D64017">
            <w:pPr>
              <w:pStyle w:val="ColumnHeading"/>
              <w:spacing w:before="120" w:after="60"/>
              <w:jc w:val="center"/>
              <w:rPr>
                <w:color w:val="FFFFFF" w:themeColor="background1"/>
              </w:rPr>
            </w:pPr>
            <w:r w:rsidRPr="002001D9">
              <w:rPr>
                <w:color w:val="FFFFFF" w:themeColor="background1"/>
              </w:rPr>
              <w:t>Floor Space of New Dwelling (m</w:t>
            </w:r>
            <w:r w:rsidRPr="002001D9">
              <w:rPr>
                <w:color w:val="FFFFFF" w:themeColor="background1"/>
                <w:vertAlign w:val="superscript"/>
              </w:rPr>
              <w:t>2</w:t>
            </w:r>
            <w:r w:rsidRPr="002001D9">
              <w:rPr>
                <w:color w:val="FFFFFF" w:themeColor="background1"/>
              </w:rPr>
              <w:t>)</w:t>
            </w:r>
          </w:p>
        </w:tc>
      </w:tr>
      <w:tr w:rsidR="00E00B97" w:rsidRPr="00C10B42" w14:paraId="57319EB0" w14:textId="77777777" w:rsidTr="00D64017">
        <w:tc>
          <w:tcPr>
            <w:tcW w:w="988" w:type="pct"/>
            <w:shd w:val="clear" w:color="auto" w:fill="auto"/>
          </w:tcPr>
          <w:p w14:paraId="6164738C" w14:textId="77777777" w:rsidR="0017018E" w:rsidRPr="00E00B97" w:rsidRDefault="0017018E" w:rsidP="00D64017">
            <w:pPr>
              <w:pStyle w:val="RowHeading"/>
              <w:jc w:val="center"/>
            </w:pPr>
          </w:p>
        </w:tc>
        <w:tc>
          <w:tcPr>
            <w:tcW w:w="1005" w:type="pct"/>
            <w:shd w:val="clear" w:color="auto" w:fill="auto"/>
          </w:tcPr>
          <w:p w14:paraId="65B1B1CD" w14:textId="77777777" w:rsidR="0017018E" w:rsidRPr="00E00B97" w:rsidRDefault="0017018E" w:rsidP="00D64017">
            <w:pPr>
              <w:pStyle w:val="RowHeading"/>
              <w:jc w:val="center"/>
            </w:pPr>
            <w:r w:rsidRPr="00E00B97">
              <w:t>2012</w:t>
            </w:r>
          </w:p>
        </w:tc>
        <w:tc>
          <w:tcPr>
            <w:tcW w:w="1005" w:type="pct"/>
            <w:shd w:val="clear" w:color="auto" w:fill="auto"/>
          </w:tcPr>
          <w:p w14:paraId="6CFEED8C" w14:textId="77777777" w:rsidR="0017018E" w:rsidRPr="00E00B97" w:rsidRDefault="0017018E" w:rsidP="00D64017">
            <w:pPr>
              <w:pStyle w:val="RowHeading"/>
              <w:jc w:val="center"/>
            </w:pPr>
            <w:r w:rsidRPr="00E00B97">
              <w:t>2050</w:t>
            </w:r>
          </w:p>
        </w:tc>
        <w:tc>
          <w:tcPr>
            <w:tcW w:w="1001" w:type="pct"/>
            <w:shd w:val="clear" w:color="auto" w:fill="auto"/>
          </w:tcPr>
          <w:p w14:paraId="0AEBF92A" w14:textId="77777777" w:rsidR="0017018E" w:rsidRPr="00C10B42" w:rsidRDefault="0017018E" w:rsidP="00D64017">
            <w:pPr>
              <w:pStyle w:val="RowHeading"/>
              <w:jc w:val="center"/>
            </w:pPr>
            <w:r w:rsidRPr="00C10B42">
              <w:t>2012</w:t>
            </w:r>
          </w:p>
        </w:tc>
        <w:tc>
          <w:tcPr>
            <w:tcW w:w="1001" w:type="pct"/>
            <w:shd w:val="clear" w:color="auto" w:fill="auto"/>
          </w:tcPr>
          <w:p w14:paraId="19C289EA" w14:textId="77777777" w:rsidR="0017018E" w:rsidRPr="00C10B42" w:rsidRDefault="0017018E" w:rsidP="00D64017">
            <w:pPr>
              <w:pStyle w:val="RowHeading"/>
              <w:jc w:val="center"/>
            </w:pPr>
            <w:r w:rsidRPr="00C10B42">
              <w:t>2050</w:t>
            </w:r>
          </w:p>
        </w:tc>
      </w:tr>
      <w:tr w:rsidR="0017018E" w14:paraId="3CBAA111" w14:textId="77777777" w:rsidTr="00D64017">
        <w:tc>
          <w:tcPr>
            <w:tcW w:w="988" w:type="pct"/>
            <w:shd w:val="clear" w:color="auto" w:fill="EDEDED"/>
          </w:tcPr>
          <w:p w14:paraId="25A1A71F" w14:textId="0D822F40" w:rsidR="0017018E" w:rsidRPr="00D64017" w:rsidRDefault="0017018E" w:rsidP="00D64017">
            <w:pPr>
              <w:pStyle w:val="TableText"/>
            </w:pPr>
            <w:r w:rsidRPr="00D64017">
              <w:t xml:space="preserve">Separate </w:t>
            </w:r>
            <w:r w:rsidR="00F57920">
              <w:t>h</w:t>
            </w:r>
            <w:r w:rsidRPr="00D64017">
              <w:t>ouse</w:t>
            </w:r>
          </w:p>
        </w:tc>
        <w:tc>
          <w:tcPr>
            <w:tcW w:w="1005" w:type="pct"/>
            <w:shd w:val="clear" w:color="auto" w:fill="EDEDED"/>
            <w:vAlign w:val="bottom"/>
          </w:tcPr>
          <w:p w14:paraId="45951A4A" w14:textId="77777777" w:rsidR="0017018E" w:rsidRDefault="0017018E" w:rsidP="00D64017">
            <w:pPr>
              <w:pStyle w:val="TableText"/>
              <w:jc w:val="center"/>
            </w:pPr>
            <w:r>
              <w:t>78.8%</w:t>
            </w:r>
          </w:p>
        </w:tc>
        <w:tc>
          <w:tcPr>
            <w:tcW w:w="1005" w:type="pct"/>
            <w:shd w:val="clear" w:color="auto" w:fill="EDEDED"/>
            <w:vAlign w:val="bottom"/>
          </w:tcPr>
          <w:p w14:paraId="041E7469" w14:textId="77777777" w:rsidR="0017018E" w:rsidRDefault="0017018E" w:rsidP="00D64017">
            <w:pPr>
              <w:pStyle w:val="TableText"/>
              <w:jc w:val="center"/>
            </w:pPr>
            <w:r>
              <w:t>60.0%</w:t>
            </w:r>
          </w:p>
        </w:tc>
        <w:tc>
          <w:tcPr>
            <w:tcW w:w="1001" w:type="pct"/>
            <w:shd w:val="clear" w:color="auto" w:fill="EDEDED"/>
          </w:tcPr>
          <w:p w14:paraId="1F64865C" w14:textId="77777777" w:rsidR="0017018E" w:rsidRDefault="0017018E" w:rsidP="00D64017">
            <w:pPr>
              <w:pStyle w:val="TableText"/>
              <w:jc w:val="center"/>
            </w:pPr>
            <w:r>
              <w:t>257</w:t>
            </w:r>
          </w:p>
        </w:tc>
        <w:tc>
          <w:tcPr>
            <w:tcW w:w="1001" w:type="pct"/>
            <w:shd w:val="clear" w:color="auto" w:fill="EDEDED"/>
            <w:vAlign w:val="bottom"/>
          </w:tcPr>
          <w:p w14:paraId="6E834352" w14:textId="77777777" w:rsidR="0017018E" w:rsidRDefault="0017018E" w:rsidP="00D64017">
            <w:pPr>
              <w:pStyle w:val="TableText"/>
              <w:jc w:val="center"/>
            </w:pPr>
            <w:r>
              <w:t>268</w:t>
            </w:r>
          </w:p>
        </w:tc>
      </w:tr>
      <w:tr w:rsidR="0017018E" w14:paraId="43E5E134" w14:textId="77777777" w:rsidTr="00D64017">
        <w:tc>
          <w:tcPr>
            <w:tcW w:w="988" w:type="pct"/>
            <w:shd w:val="clear" w:color="auto" w:fill="auto"/>
          </w:tcPr>
          <w:p w14:paraId="5EC1E1D0" w14:textId="77777777" w:rsidR="0017018E" w:rsidRPr="00D64017" w:rsidRDefault="0017018E" w:rsidP="00D64017">
            <w:pPr>
              <w:pStyle w:val="TableText"/>
            </w:pPr>
            <w:r w:rsidRPr="00D64017">
              <w:t>Semi-detached</w:t>
            </w:r>
          </w:p>
        </w:tc>
        <w:tc>
          <w:tcPr>
            <w:tcW w:w="1005" w:type="pct"/>
            <w:shd w:val="clear" w:color="auto" w:fill="auto"/>
            <w:vAlign w:val="bottom"/>
          </w:tcPr>
          <w:p w14:paraId="4F00E432" w14:textId="77777777" w:rsidR="0017018E" w:rsidRDefault="0017018E" w:rsidP="00D64017">
            <w:pPr>
              <w:pStyle w:val="TableText"/>
              <w:jc w:val="center"/>
            </w:pPr>
            <w:r>
              <w:t>9.6%</w:t>
            </w:r>
          </w:p>
        </w:tc>
        <w:tc>
          <w:tcPr>
            <w:tcW w:w="1005" w:type="pct"/>
            <w:shd w:val="clear" w:color="auto" w:fill="auto"/>
            <w:vAlign w:val="bottom"/>
          </w:tcPr>
          <w:p w14:paraId="703F20C3" w14:textId="77777777" w:rsidR="0017018E" w:rsidRDefault="0017018E" w:rsidP="00D64017">
            <w:pPr>
              <w:pStyle w:val="TableText"/>
              <w:jc w:val="center"/>
            </w:pPr>
            <w:r>
              <w:t>20.0%</w:t>
            </w:r>
          </w:p>
        </w:tc>
        <w:tc>
          <w:tcPr>
            <w:tcW w:w="1001" w:type="pct"/>
            <w:shd w:val="clear" w:color="auto" w:fill="auto"/>
          </w:tcPr>
          <w:p w14:paraId="40D8C76F" w14:textId="77777777" w:rsidR="0017018E" w:rsidRDefault="0017018E" w:rsidP="00D64017">
            <w:pPr>
              <w:pStyle w:val="TableText"/>
              <w:jc w:val="center"/>
            </w:pPr>
            <w:r>
              <w:t>157</w:t>
            </w:r>
          </w:p>
        </w:tc>
        <w:tc>
          <w:tcPr>
            <w:tcW w:w="1001" w:type="pct"/>
            <w:shd w:val="clear" w:color="auto" w:fill="auto"/>
            <w:vAlign w:val="bottom"/>
          </w:tcPr>
          <w:p w14:paraId="5767CB0F" w14:textId="77777777" w:rsidR="0017018E" w:rsidRDefault="0017018E" w:rsidP="00D64017">
            <w:pPr>
              <w:pStyle w:val="TableText"/>
              <w:jc w:val="center"/>
            </w:pPr>
            <w:r>
              <w:t>164</w:t>
            </w:r>
          </w:p>
        </w:tc>
      </w:tr>
      <w:tr w:rsidR="0017018E" w14:paraId="1A18A83E" w14:textId="77777777" w:rsidTr="00D64017">
        <w:tc>
          <w:tcPr>
            <w:tcW w:w="988" w:type="pct"/>
            <w:tcBorders>
              <w:bottom w:val="single" w:sz="4" w:space="0" w:color="auto"/>
            </w:tcBorders>
            <w:shd w:val="clear" w:color="auto" w:fill="EDEDED"/>
          </w:tcPr>
          <w:p w14:paraId="64FD712A" w14:textId="77777777" w:rsidR="0017018E" w:rsidRPr="00D64017" w:rsidRDefault="0017018E" w:rsidP="00D64017">
            <w:pPr>
              <w:pStyle w:val="TableText"/>
            </w:pPr>
            <w:r w:rsidRPr="00D64017">
              <w:t>Apartment</w:t>
            </w:r>
          </w:p>
        </w:tc>
        <w:tc>
          <w:tcPr>
            <w:tcW w:w="1005" w:type="pct"/>
            <w:tcBorders>
              <w:bottom w:val="single" w:sz="4" w:space="0" w:color="auto"/>
            </w:tcBorders>
            <w:shd w:val="clear" w:color="auto" w:fill="EDEDED"/>
            <w:vAlign w:val="bottom"/>
          </w:tcPr>
          <w:p w14:paraId="69EB39F6" w14:textId="77777777" w:rsidR="0017018E" w:rsidRDefault="0017018E" w:rsidP="00D64017">
            <w:pPr>
              <w:pStyle w:val="TableText"/>
              <w:jc w:val="center"/>
            </w:pPr>
            <w:r>
              <w:t>11.6%</w:t>
            </w:r>
          </w:p>
        </w:tc>
        <w:tc>
          <w:tcPr>
            <w:tcW w:w="1005" w:type="pct"/>
            <w:tcBorders>
              <w:bottom w:val="single" w:sz="4" w:space="0" w:color="auto"/>
            </w:tcBorders>
            <w:shd w:val="clear" w:color="auto" w:fill="EDEDED"/>
            <w:vAlign w:val="bottom"/>
          </w:tcPr>
          <w:p w14:paraId="001B8D2E" w14:textId="77777777" w:rsidR="0017018E" w:rsidRDefault="0017018E" w:rsidP="00D64017">
            <w:pPr>
              <w:pStyle w:val="TableText"/>
              <w:jc w:val="center"/>
            </w:pPr>
            <w:r>
              <w:t>20.0%</w:t>
            </w:r>
          </w:p>
        </w:tc>
        <w:tc>
          <w:tcPr>
            <w:tcW w:w="1001" w:type="pct"/>
            <w:tcBorders>
              <w:bottom w:val="single" w:sz="4" w:space="0" w:color="auto"/>
            </w:tcBorders>
            <w:shd w:val="clear" w:color="auto" w:fill="EDEDED"/>
          </w:tcPr>
          <w:p w14:paraId="3C03C606" w14:textId="77777777" w:rsidR="0017018E" w:rsidRDefault="0017018E" w:rsidP="00D64017">
            <w:pPr>
              <w:pStyle w:val="TableText"/>
              <w:jc w:val="center"/>
            </w:pPr>
            <w:r>
              <w:t>157</w:t>
            </w:r>
          </w:p>
        </w:tc>
        <w:tc>
          <w:tcPr>
            <w:tcW w:w="1001" w:type="pct"/>
            <w:tcBorders>
              <w:bottom w:val="single" w:sz="4" w:space="0" w:color="auto"/>
            </w:tcBorders>
            <w:shd w:val="clear" w:color="auto" w:fill="EDEDED"/>
            <w:vAlign w:val="bottom"/>
          </w:tcPr>
          <w:p w14:paraId="77D0A361" w14:textId="77777777" w:rsidR="0017018E" w:rsidRDefault="0017018E" w:rsidP="00D64017">
            <w:pPr>
              <w:pStyle w:val="TableText"/>
              <w:jc w:val="center"/>
            </w:pPr>
            <w:r>
              <w:t>164</w:t>
            </w:r>
          </w:p>
        </w:tc>
      </w:tr>
    </w:tbl>
    <w:p w14:paraId="5C4B481F" w14:textId="77777777" w:rsidR="00242609" w:rsidRDefault="00242609" w:rsidP="0017018E">
      <w:pPr>
        <w:jc w:val="center"/>
      </w:pPr>
    </w:p>
    <w:p w14:paraId="76BB1AD9" w14:textId="35158E0D" w:rsidR="002F47F3" w:rsidRDefault="002F47F3">
      <w:pPr>
        <w:spacing w:after="0"/>
      </w:pPr>
    </w:p>
    <w:p w14:paraId="16F75D05" w14:textId="77777777" w:rsidR="005758A8" w:rsidRDefault="005758A8">
      <w:pPr>
        <w:spacing w:after="0"/>
      </w:pPr>
    </w:p>
    <w:p w14:paraId="2AB8498E" w14:textId="77777777" w:rsidR="005758A8" w:rsidRDefault="005758A8">
      <w:pPr>
        <w:spacing w:after="0"/>
      </w:pPr>
    </w:p>
    <w:p w14:paraId="7AEAA406" w14:textId="77777777" w:rsidR="005758A8" w:rsidRDefault="005758A8">
      <w:pPr>
        <w:spacing w:after="0"/>
      </w:pPr>
    </w:p>
    <w:p w14:paraId="4F1ABB68" w14:textId="53AE8230" w:rsidR="00242609" w:rsidRDefault="004B2661" w:rsidP="00242609">
      <w:pPr>
        <w:rPr>
          <w:color w:val="auto"/>
        </w:rPr>
      </w:pPr>
      <w:r>
        <w:lastRenderedPageBreak/>
        <w:t xml:space="preserve">Using all the assumptions, methods and estimations </w:t>
      </w:r>
      <w:r w:rsidRPr="00D64017">
        <w:rPr>
          <w:color w:val="auto"/>
        </w:rPr>
        <w:t xml:space="preserve">referred to above, </w:t>
      </w:r>
      <w:r w:rsidR="006906D2" w:rsidRPr="00D64017">
        <w:rPr>
          <w:color w:val="auto"/>
        </w:rPr>
        <w:fldChar w:fldCharType="begin"/>
      </w:r>
      <w:r w:rsidR="006906D2" w:rsidRPr="00D64017">
        <w:rPr>
          <w:color w:val="auto"/>
        </w:rPr>
        <w:instrText xml:space="preserve"> REF _Ref299026109 </w:instrText>
      </w:r>
      <w:r w:rsidR="0086541B">
        <w:rPr>
          <w:color w:val="auto"/>
        </w:rPr>
        <w:instrText xml:space="preserve"> \* MERGEFORMAT </w:instrText>
      </w:r>
      <w:r w:rsidR="006906D2" w:rsidRPr="00D64017">
        <w:rPr>
          <w:color w:val="auto"/>
        </w:rPr>
        <w:fldChar w:fldCharType="separate"/>
      </w:r>
      <w:r w:rsidR="00AA7076" w:rsidRPr="00D64017">
        <w:rPr>
          <w:color w:val="auto"/>
        </w:rPr>
        <w:t xml:space="preserve">Figure </w:t>
      </w:r>
      <w:r w:rsidR="00AA7076" w:rsidRPr="00D64017">
        <w:rPr>
          <w:noProof/>
          <w:color w:val="auto"/>
        </w:rPr>
        <w:t>6</w:t>
      </w:r>
      <w:r w:rsidR="006906D2" w:rsidRPr="00D64017">
        <w:rPr>
          <w:noProof/>
          <w:color w:val="auto"/>
        </w:rPr>
        <w:fldChar w:fldCharType="end"/>
      </w:r>
      <w:r w:rsidR="00AA7076" w:rsidRPr="00D64017">
        <w:rPr>
          <w:color w:val="auto"/>
        </w:rPr>
        <w:t xml:space="preserve"> </w:t>
      </w:r>
      <w:r w:rsidRPr="00D64017">
        <w:rPr>
          <w:color w:val="auto"/>
        </w:rPr>
        <w:t xml:space="preserve">shows the projected change in energy </w:t>
      </w:r>
      <w:r w:rsidRPr="00A22132">
        <w:rPr>
          <w:color w:val="auto"/>
        </w:rPr>
        <w:t>intensity (PJ/</w:t>
      </w:r>
      <w:r w:rsidR="00A22132" w:rsidRPr="00A22132">
        <w:rPr>
          <w:color w:val="auto"/>
        </w:rPr>
        <w:t>AUD</w:t>
      </w:r>
      <w:r w:rsidRPr="00A22132">
        <w:rPr>
          <w:color w:val="auto"/>
        </w:rPr>
        <w:t>$</w:t>
      </w:r>
      <w:r w:rsidR="00A22132" w:rsidRPr="00A22132">
        <w:rPr>
          <w:color w:val="auto"/>
        </w:rPr>
        <w:t xml:space="preserve"> </w:t>
      </w:r>
      <w:r w:rsidR="00773C15">
        <w:rPr>
          <w:color w:val="auto"/>
        </w:rPr>
        <w:t>B</w:t>
      </w:r>
      <w:r w:rsidRPr="00A22132">
        <w:rPr>
          <w:color w:val="auto"/>
        </w:rPr>
        <w:t>illion GVA) for the</w:t>
      </w:r>
      <w:r w:rsidRPr="00D64017">
        <w:rPr>
          <w:color w:val="auto"/>
        </w:rPr>
        <w:t xml:space="preserve"> Step Change scenario across 7 non-agricultural sectors of the Australian economy referred to in the</w:t>
      </w:r>
      <w:r w:rsidR="00ED0F1A">
        <w:rPr>
          <w:color w:val="auto"/>
        </w:rPr>
        <w:t xml:space="preserve"> Introduction.</w:t>
      </w:r>
    </w:p>
    <w:p w14:paraId="2D719050" w14:textId="77777777" w:rsidR="00F67540" w:rsidRDefault="00F67540" w:rsidP="00242609">
      <w:pPr>
        <w:rPr>
          <w:color w:val="auto"/>
        </w:rPr>
      </w:pPr>
    </w:p>
    <w:p w14:paraId="58021F6D" w14:textId="76F9045D" w:rsidR="006D2E0E" w:rsidRDefault="002E1A2B" w:rsidP="00242609">
      <w:r>
        <w:rPr>
          <w:noProof/>
        </w:rPr>
        <w:drawing>
          <wp:inline distT="0" distB="0" distL="0" distR="0" wp14:anchorId="4A295E98" wp14:editId="6B1BFC73">
            <wp:extent cx="5516880" cy="3688605"/>
            <wp:effectExtent l="0" t="0" r="7620" b="7620"/>
            <wp:docPr id="30" name="Picture 30" descr="Figure six is a line graph. The Y axis data points range from zero rising in increments of five to thirty-five representing energy intensity in petajoules per billion dollar value add. Data points on the X axis appear in increments of ten years from nineteen eighty to two thousand and fifty. The graph applies a coloured legend to seven aggregate sectors of the Australian economy, mining, manufacturing, construction, transport, commercial and services, residential, and water supply and waste services. Trends show step change energy intensity for transport begin just below thirty-five around nineteen eighty-seven reducing to around twenty-two in two thousand and ten before reducing again to around eighteen between two thousand and twenty-five and remaining constant to two thousand and fifty, all other sectors fluctuate slightly to two thousand and ten before trending constant to two thousand and fifty. Manufactory sits between ten and fifteen trending close to ten from two thousand and thirty onward, all other sectors sit between zero and five on the Y axis." title="Estimations of Step Change in energy intensity for 7 aggregate sectors of the Australian economy to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igure 6 Estimations of Step Change in energy intensity for 7 aggregate sectors.png"/>
                    <pic:cNvPicPr/>
                  </pic:nvPicPr>
                  <pic:blipFill>
                    <a:blip r:embed="rId16">
                      <a:extLst>
                        <a:ext uri="{28A0092B-C50C-407E-A947-70E740481C1C}">
                          <a14:useLocalDpi xmlns:a14="http://schemas.microsoft.com/office/drawing/2010/main" val="0"/>
                        </a:ext>
                      </a:extLst>
                    </a:blip>
                    <a:stretch>
                      <a:fillRect/>
                    </a:stretch>
                  </pic:blipFill>
                  <pic:spPr>
                    <a:xfrm>
                      <a:off x="0" y="0"/>
                      <a:ext cx="5522603" cy="3692432"/>
                    </a:xfrm>
                    <a:prstGeom prst="rect">
                      <a:avLst/>
                    </a:prstGeom>
                  </pic:spPr>
                </pic:pic>
              </a:graphicData>
            </a:graphic>
          </wp:inline>
        </w:drawing>
      </w:r>
    </w:p>
    <w:p w14:paraId="3055A392" w14:textId="07BE6B64" w:rsidR="008F696F" w:rsidRPr="008F696F" w:rsidRDefault="00DE705D" w:rsidP="005B4C09">
      <w:pPr>
        <w:pStyle w:val="Title"/>
      </w:pPr>
      <w:bookmarkStart w:id="73" w:name="_Ref299026109"/>
      <w:bookmarkStart w:id="74" w:name="_Toc359885784"/>
      <w:bookmarkStart w:id="75" w:name="_Toc433972611"/>
      <w:r w:rsidRPr="00DB5EB8">
        <w:rPr>
          <w:rFonts w:eastAsia="Calibri"/>
          <w:color w:val="00A9CE" w:themeColor="accent1"/>
          <w:kern w:val="0"/>
          <w:sz w:val="20"/>
          <w:szCs w:val="18"/>
          <w:lang w:eastAsia="en-AU"/>
        </w:rPr>
        <w:t xml:space="preserve">Figure </w:t>
      </w:r>
      <w:r w:rsidR="00447CD6" w:rsidRPr="00DB5EB8">
        <w:rPr>
          <w:rFonts w:eastAsia="Calibri"/>
          <w:color w:val="00A9CE" w:themeColor="accent1"/>
          <w:kern w:val="0"/>
          <w:sz w:val="20"/>
          <w:szCs w:val="18"/>
          <w:lang w:eastAsia="en-AU"/>
        </w:rPr>
        <w:fldChar w:fldCharType="begin"/>
      </w:r>
      <w:r w:rsidR="00447CD6" w:rsidRPr="00DB5EB8">
        <w:rPr>
          <w:rFonts w:eastAsia="Calibri"/>
          <w:color w:val="00A9CE" w:themeColor="accent1"/>
          <w:kern w:val="0"/>
          <w:sz w:val="20"/>
          <w:szCs w:val="18"/>
          <w:lang w:eastAsia="en-AU"/>
        </w:rPr>
        <w:instrText xml:space="preserve"> SEQ Figure \* ARABIC </w:instrText>
      </w:r>
      <w:r w:rsidR="00447CD6" w:rsidRPr="00DB5EB8">
        <w:rPr>
          <w:rFonts w:eastAsia="Calibri"/>
          <w:color w:val="00A9CE" w:themeColor="accent1"/>
          <w:kern w:val="0"/>
          <w:sz w:val="20"/>
          <w:szCs w:val="18"/>
          <w:lang w:eastAsia="en-AU"/>
        </w:rPr>
        <w:fldChar w:fldCharType="separate"/>
      </w:r>
      <w:r w:rsidR="00165FBD">
        <w:rPr>
          <w:rFonts w:eastAsia="Calibri"/>
          <w:noProof/>
          <w:color w:val="00A9CE" w:themeColor="accent1"/>
          <w:kern w:val="0"/>
          <w:sz w:val="20"/>
          <w:szCs w:val="18"/>
          <w:lang w:eastAsia="en-AU"/>
        </w:rPr>
        <w:t>6</w:t>
      </w:r>
      <w:r w:rsidR="00447CD6" w:rsidRPr="00DB5EB8">
        <w:rPr>
          <w:rFonts w:eastAsia="Calibri"/>
          <w:color w:val="00A9CE" w:themeColor="accent1"/>
          <w:kern w:val="0"/>
          <w:sz w:val="20"/>
          <w:szCs w:val="18"/>
          <w:lang w:eastAsia="en-AU"/>
        </w:rPr>
        <w:fldChar w:fldCharType="end"/>
      </w:r>
      <w:bookmarkEnd w:id="73"/>
      <w:r w:rsidRPr="00DB5EB8">
        <w:rPr>
          <w:rFonts w:eastAsia="Calibri"/>
          <w:color w:val="00A9CE" w:themeColor="accent1"/>
          <w:kern w:val="0"/>
          <w:sz w:val="20"/>
          <w:szCs w:val="18"/>
          <w:lang w:eastAsia="en-AU"/>
        </w:rPr>
        <w:t>: Estimations of Step Change in energy intensity for 7 aggregate sectors of the Australian economy to 2050.</w:t>
      </w:r>
      <w:bookmarkEnd w:id="74"/>
      <w:bookmarkEnd w:id="75"/>
      <w:r w:rsidRPr="00DB5EB8">
        <w:rPr>
          <w:rFonts w:eastAsia="Calibri"/>
          <w:color w:val="00A9CE" w:themeColor="accent1"/>
          <w:kern w:val="0"/>
          <w:sz w:val="20"/>
          <w:szCs w:val="18"/>
          <w:lang w:eastAsia="en-AU"/>
        </w:rPr>
        <w:t xml:space="preserve"> </w:t>
      </w:r>
    </w:p>
    <w:p w14:paraId="6341ECDB" w14:textId="77777777" w:rsidR="008F696F" w:rsidRPr="008F696F" w:rsidRDefault="008F696F" w:rsidP="008F696F"/>
    <w:p w14:paraId="714CD7A1" w14:textId="77777777" w:rsidR="008F696F" w:rsidRPr="008F696F" w:rsidRDefault="008F696F" w:rsidP="008F696F"/>
    <w:p w14:paraId="0F51F6A5" w14:textId="77777777" w:rsidR="008F696F" w:rsidRPr="008F696F" w:rsidRDefault="008F696F" w:rsidP="008F696F"/>
    <w:p w14:paraId="1823CD55" w14:textId="77777777" w:rsidR="008F696F" w:rsidRPr="008F696F" w:rsidRDefault="008F696F" w:rsidP="008F696F"/>
    <w:p w14:paraId="11DCDDAB" w14:textId="77777777" w:rsidR="008F696F" w:rsidRPr="008F696F" w:rsidRDefault="008F696F" w:rsidP="008F696F"/>
    <w:p w14:paraId="24D9DE61" w14:textId="77777777" w:rsidR="008F696F" w:rsidRPr="008F696F" w:rsidRDefault="008F696F" w:rsidP="008F696F"/>
    <w:p w14:paraId="6D0388F2" w14:textId="77777777" w:rsidR="008F696F" w:rsidRPr="008F696F" w:rsidRDefault="008F696F" w:rsidP="008F696F"/>
    <w:p w14:paraId="75F7FB55" w14:textId="77777777" w:rsidR="008F696F" w:rsidRPr="008F696F" w:rsidRDefault="008F696F" w:rsidP="008F696F"/>
    <w:p w14:paraId="3B8C7535" w14:textId="77777777" w:rsidR="008F696F" w:rsidRPr="008F696F" w:rsidRDefault="008F696F" w:rsidP="008F696F"/>
    <w:p w14:paraId="42E54EDF" w14:textId="77777777" w:rsidR="008F696F" w:rsidRPr="008F696F" w:rsidRDefault="008F696F" w:rsidP="008F696F"/>
    <w:p w14:paraId="5978689A" w14:textId="77777777" w:rsidR="008F696F" w:rsidRPr="008F696F" w:rsidRDefault="008F696F" w:rsidP="008F696F"/>
    <w:p w14:paraId="1992887B" w14:textId="7B51C3DE" w:rsidR="008F696F" w:rsidRDefault="008F696F" w:rsidP="008F696F"/>
    <w:p w14:paraId="0AD41962" w14:textId="29280153" w:rsidR="00DE705D" w:rsidRPr="008F696F" w:rsidRDefault="00DE705D" w:rsidP="008F696F">
      <w:pPr>
        <w:tabs>
          <w:tab w:val="left" w:pos="5835"/>
        </w:tabs>
      </w:pPr>
    </w:p>
    <w:p w14:paraId="65A725C4" w14:textId="77777777" w:rsidR="0017018E" w:rsidRPr="006D07FA" w:rsidRDefault="0017018E" w:rsidP="006D07FA">
      <w:pPr>
        <w:pStyle w:val="Heading1"/>
        <w:numPr>
          <w:ilvl w:val="0"/>
          <w:numId w:val="13"/>
        </w:numPr>
        <w:tabs>
          <w:tab w:val="clear" w:pos="1134"/>
          <w:tab w:val="left" w:pos="851"/>
        </w:tabs>
        <w:spacing w:after="1080"/>
        <w:rPr>
          <w:color w:val="00A9CE" w:themeColor="accent1"/>
        </w:rPr>
      </w:pPr>
      <w:bookmarkStart w:id="76" w:name="_Toc359885773"/>
      <w:bookmarkStart w:id="77" w:name="_Toc433975084"/>
      <w:r w:rsidRPr="006D07FA">
        <w:rPr>
          <w:color w:val="00A9CE" w:themeColor="accent1"/>
        </w:rPr>
        <w:lastRenderedPageBreak/>
        <w:t>Water</w:t>
      </w:r>
      <w:bookmarkEnd w:id="76"/>
      <w:bookmarkEnd w:id="77"/>
    </w:p>
    <w:p w14:paraId="5860AED6" w14:textId="542879ED" w:rsidR="0017018E" w:rsidRPr="001B3113" w:rsidRDefault="0017018E" w:rsidP="008F696F">
      <w:pPr>
        <w:pStyle w:val="Heading2"/>
        <w:numPr>
          <w:ilvl w:val="1"/>
          <w:numId w:val="13"/>
        </w:numPr>
        <w:rPr>
          <w:color w:val="00A9CE" w:themeColor="accent1"/>
          <w:szCs w:val="32"/>
        </w:rPr>
      </w:pPr>
      <w:bookmarkStart w:id="78" w:name="_Toc359885774"/>
      <w:bookmarkStart w:id="79" w:name="_Toc433975085"/>
      <w:r w:rsidRPr="001B3113">
        <w:rPr>
          <w:color w:val="00A9CE" w:themeColor="accent1"/>
          <w:szCs w:val="32"/>
        </w:rPr>
        <w:t>Historical data</w:t>
      </w:r>
      <w:bookmarkEnd w:id="78"/>
      <w:bookmarkEnd w:id="79"/>
    </w:p>
    <w:p w14:paraId="10203165" w14:textId="6B57F540" w:rsidR="0017018E" w:rsidRDefault="0017018E" w:rsidP="0017018E">
      <w:r>
        <w:t>Historical data was collected from the ABS Water Accounts Cat 4610.0</w:t>
      </w:r>
      <w:r>
        <w:rPr>
          <w:rStyle w:val="FootnoteReference"/>
        </w:rPr>
        <w:footnoteReference w:id="7"/>
      </w:r>
      <w:r>
        <w:t xml:space="preserve"> </w:t>
      </w:r>
      <w:r>
        <w:fldChar w:fldCharType="begin">
          <w:fldData xml:space="preserve">PEVuZE5vdGU+PENpdGU+PEF1dGhvcj5BQlM8L0F1dGhvcj48WWVhcj4yMDA0PC9ZZWFyPjxSZWNO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</w:fldData>
        </w:fldChar>
      </w:r>
      <w:r w:rsidR="00D04510">
        <w:instrText xml:space="preserve"> ADDIN EN.CITE </w:instrText>
      </w:r>
      <w:r w:rsidR="00D04510">
        <w:fldChar w:fldCharType="begin">
          <w:fldData xml:space="preserve">PEVuZE5vdGU+PENpdGU+PEF1dGhvcj5BQlM8L0F1dGhvcj48WWVhcj4yMDA0PC9ZZWFyPjxSZWNO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</w:fldData>
        </w:fldChar>
      </w:r>
      <w:r w:rsidR="00D04510">
        <w:instrText xml:space="preserve"> ADDIN EN.CITE.DATA </w:instrText>
      </w:r>
      <w:r w:rsidR="00D04510">
        <w:fldChar w:fldCharType="end"/>
      </w:r>
      <w:r>
        <w:fldChar w:fldCharType="separate"/>
      </w:r>
      <w:r w:rsidR="00D04510">
        <w:rPr>
          <w:noProof/>
        </w:rPr>
        <w:t>(</w:t>
      </w:r>
      <w:hyperlink w:anchor="_ENREF_7" w:tooltip="ABS, 2000 #21" w:history="1">
        <w:r w:rsidR="00D04510">
          <w:rPr>
            <w:noProof/>
          </w:rPr>
          <w:t>ABS, 2000</w:t>
        </w:r>
      </w:hyperlink>
      <w:r w:rsidR="00B01CFC">
        <w:rPr>
          <w:noProof/>
        </w:rPr>
        <w:t>;</w:t>
      </w:r>
      <w:r w:rsidR="00D04510">
        <w:rPr>
          <w:noProof/>
        </w:rPr>
        <w:t xml:space="preserve"> </w:t>
      </w:r>
      <w:hyperlink w:anchor="_ENREF_3" w:tooltip="ABS, 2004 #29" w:history="1">
        <w:r w:rsidR="00D04510">
          <w:rPr>
            <w:noProof/>
          </w:rPr>
          <w:t>2004</w:t>
        </w:r>
      </w:hyperlink>
      <w:r w:rsidR="00B01CFC">
        <w:rPr>
          <w:noProof/>
        </w:rPr>
        <w:t>;</w:t>
      </w:r>
      <w:r w:rsidR="00D04510">
        <w:rPr>
          <w:noProof/>
        </w:rPr>
        <w:t xml:space="preserve"> </w:t>
      </w:r>
      <w:hyperlink w:anchor="_ENREF_4" w:tooltip="ABS, 2006 #34" w:history="1">
        <w:r w:rsidR="00D04510">
          <w:rPr>
            <w:noProof/>
          </w:rPr>
          <w:t>2006</w:t>
        </w:r>
      </w:hyperlink>
      <w:r w:rsidR="00B01CFC">
        <w:rPr>
          <w:noProof/>
        </w:rPr>
        <w:t>;</w:t>
      </w:r>
      <w:r w:rsidR="00D04510">
        <w:rPr>
          <w:noProof/>
        </w:rPr>
        <w:t xml:space="preserve"> </w:t>
      </w:r>
      <w:hyperlink w:anchor="_ENREF_5" w:tooltip="ABS, 2009 #44" w:history="1">
        <w:r w:rsidR="00D04510">
          <w:rPr>
            <w:noProof/>
          </w:rPr>
          <w:t>2009</w:t>
        </w:r>
      </w:hyperlink>
      <w:r w:rsidR="00B01CFC">
        <w:rPr>
          <w:noProof/>
        </w:rPr>
        <w:t>;</w:t>
      </w:r>
      <w:r w:rsidR="00BB3D2F">
        <w:rPr>
          <w:noProof/>
        </w:rPr>
        <w:t xml:space="preserve"> </w:t>
      </w:r>
      <w:hyperlink w:anchor="_ENREF_6" w:tooltip="ABS, 2011 #46" w:history="1">
        <w:r w:rsidR="00D04510">
          <w:rPr>
            <w:noProof/>
          </w:rPr>
          <w:t>2011</w:t>
        </w:r>
      </w:hyperlink>
      <w:r w:rsidR="00D04510">
        <w:rPr>
          <w:noProof/>
        </w:rPr>
        <w:t>)</w:t>
      </w:r>
      <w:r>
        <w:fldChar w:fldCharType="end"/>
      </w:r>
      <w:r>
        <w:t>. These do not provide a continuous time series and some interpolation was required between the years 1998</w:t>
      </w:r>
      <w:r w:rsidR="00B01CFC">
        <w:t>–</w:t>
      </w:r>
      <w:r>
        <w:t>2001 and 2006</w:t>
      </w:r>
      <w:r w:rsidR="00B01CFC">
        <w:t>–</w:t>
      </w:r>
      <w:r>
        <w:t>2009.</w:t>
      </w:r>
    </w:p>
    <w:p w14:paraId="3E13A783" w14:textId="77777777" w:rsidR="0017018E" w:rsidRPr="001B3113" w:rsidRDefault="0017018E" w:rsidP="008F696F">
      <w:pPr>
        <w:pStyle w:val="Heading2"/>
        <w:numPr>
          <w:ilvl w:val="1"/>
          <w:numId w:val="13"/>
        </w:numPr>
        <w:rPr>
          <w:color w:val="00A9CE" w:themeColor="accent1"/>
          <w:szCs w:val="32"/>
        </w:rPr>
      </w:pPr>
      <w:bookmarkStart w:id="80" w:name="_Toc359885775"/>
      <w:bookmarkStart w:id="81" w:name="_Toc433975086"/>
      <w:r w:rsidRPr="001B3113">
        <w:rPr>
          <w:color w:val="00A9CE" w:themeColor="accent1"/>
          <w:szCs w:val="32"/>
        </w:rPr>
        <w:t>Current Trends</w:t>
      </w:r>
      <w:bookmarkEnd w:id="80"/>
      <w:bookmarkEnd w:id="81"/>
    </w:p>
    <w:p w14:paraId="130E32CC" w14:textId="0A07126D" w:rsidR="0017018E" w:rsidRPr="00D64017" w:rsidRDefault="0017018E" w:rsidP="0017018E">
      <w:pPr>
        <w:rPr>
          <w:color w:val="auto"/>
        </w:rPr>
      </w:pPr>
      <w:r>
        <w:t xml:space="preserve">In the absence of stock data on the water intensity of different stock used by industry, this series of estimations relied on regression fitting to historical trends as discussed in Section </w:t>
      </w:r>
      <w:r>
        <w:fldChar w:fldCharType="begin"/>
      </w:r>
      <w:r>
        <w:instrText xml:space="preserve"> REF _Ref359842758 \n \h </w:instrText>
      </w:r>
      <w:r>
        <w:fldChar w:fldCharType="separate"/>
      </w:r>
      <w:r w:rsidR="004A26FB">
        <w:t>2.4</w:t>
      </w:r>
      <w:r>
        <w:fldChar w:fldCharType="end"/>
      </w:r>
      <w:r>
        <w:t>. The resulting values for future change in water intensity (measured as GL/</w:t>
      </w:r>
      <w:r w:rsidR="00A22132">
        <w:t>AUD</w:t>
      </w:r>
      <w:r>
        <w:t>$</w:t>
      </w:r>
      <w:r w:rsidR="00A22132">
        <w:t xml:space="preserve"> </w:t>
      </w:r>
      <w:r>
        <w:t xml:space="preserve">billion gross value add) are shown </w:t>
      </w:r>
      <w:r w:rsidRPr="00D64017">
        <w:rPr>
          <w:color w:val="auto"/>
        </w:rPr>
        <w:t xml:space="preserve">in </w:t>
      </w:r>
      <w:r w:rsidR="00ED0F1A">
        <w:rPr>
          <w:color w:val="auto"/>
        </w:rPr>
        <w:t>Table 7</w:t>
      </w:r>
      <w:r w:rsidRPr="00D64017">
        <w:rPr>
          <w:color w:val="auto"/>
        </w:rPr>
        <w:t xml:space="preserve"> and the graph of simulated future transitions is in</w:t>
      </w:r>
      <w:r w:rsidR="00ED0F1A">
        <w:rPr>
          <w:color w:val="auto"/>
        </w:rPr>
        <w:t xml:space="preserve"> Figure 6</w:t>
      </w:r>
      <w:r w:rsidRPr="00D64017">
        <w:rPr>
          <w:color w:val="auto"/>
        </w:rPr>
        <w:t>.</w:t>
      </w:r>
    </w:p>
    <w:p w14:paraId="22BF664C" w14:textId="6197AC18" w:rsidR="0017018E" w:rsidRPr="00D64017" w:rsidRDefault="0017018E" w:rsidP="0017018E">
      <w:pPr>
        <w:rPr>
          <w:color w:val="auto"/>
        </w:rPr>
      </w:pPr>
      <w:r w:rsidRPr="00D64017">
        <w:rPr>
          <w:color w:val="auto"/>
        </w:rPr>
        <w:t>Residential water efficiency in this scenario was paired with assumptions that the current mix of dwelling types (separate house, semi-detached, apartment) remains until 2050 as in</w:t>
      </w:r>
      <w:r w:rsidR="00ED0F1A">
        <w:rPr>
          <w:color w:val="auto"/>
        </w:rPr>
        <w:t xml:space="preserve"> Table 4</w:t>
      </w:r>
      <w:r w:rsidRPr="00D64017">
        <w:rPr>
          <w:color w:val="auto"/>
        </w:rPr>
        <w:t>.</w:t>
      </w:r>
    </w:p>
    <w:p w14:paraId="23C42F34" w14:textId="77777777" w:rsidR="0017018E" w:rsidRDefault="0017018E" w:rsidP="0017018E">
      <w:r>
        <w:t>An implicit assumption behind the Electricity Generation water intensity for Current Trends is a continuation of the use of existing generation technologies. In future work this would be an opportune place to couple MEFISTO with outputs from the ESM to guide the water intensity of the sector with respect to new or alternative technologies.</w:t>
      </w:r>
    </w:p>
    <w:p w14:paraId="38539D35" w14:textId="22A6FCB0" w:rsidR="0017018E" w:rsidRPr="00DB5EB8" w:rsidRDefault="0017018E" w:rsidP="0017018E">
      <w:pPr>
        <w:pStyle w:val="Title"/>
        <w:rPr>
          <w:rFonts w:eastAsia="Calibri"/>
          <w:color w:val="00A9CE" w:themeColor="accent1"/>
          <w:kern w:val="0"/>
          <w:sz w:val="20"/>
          <w:szCs w:val="18"/>
          <w:lang w:eastAsia="en-AU"/>
        </w:rPr>
      </w:pPr>
      <w:bookmarkStart w:id="82" w:name="_Ref359862451"/>
      <w:bookmarkStart w:id="83" w:name="_Toc433977524"/>
      <w:bookmarkStart w:id="84" w:name="_Toc359911311"/>
      <w:r w:rsidRPr="00DB5EB8">
        <w:rPr>
          <w:rFonts w:eastAsia="Calibri"/>
          <w:color w:val="00A9CE" w:themeColor="accent1"/>
          <w:kern w:val="0"/>
          <w:sz w:val="20"/>
          <w:szCs w:val="18"/>
          <w:lang w:eastAsia="en-AU"/>
        </w:rPr>
        <w:t xml:space="preserve">Table </w:t>
      </w:r>
      <w:r w:rsidR="00447CD6" w:rsidRPr="00DB5EB8">
        <w:rPr>
          <w:rFonts w:eastAsia="Calibri"/>
          <w:color w:val="00A9CE" w:themeColor="accent1"/>
          <w:kern w:val="0"/>
          <w:sz w:val="20"/>
          <w:szCs w:val="18"/>
          <w:lang w:eastAsia="en-AU"/>
        </w:rPr>
        <w:fldChar w:fldCharType="begin"/>
      </w:r>
      <w:r w:rsidR="00447CD6" w:rsidRPr="00DB5EB8">
        <w:rPr>
          <w:rFonts w:eastAsia="Calibri"/>
          <w:color w:val="00A9CE" w:themeColor="accent1"/>
          <w:kern w:val="0"/>
          <w:sz w:val="20"/>
          <w:szCs w:val="18"/>
          <w:lang w:eastAsia="en-AU"/>
        </w:rPr>
        <w:instrText xml:space="preserve"> SEQ Table \* ARABIC </w:instrText>
      </w:r>
      <w:r w:rsidR="00447CD6" w:rsidRPr="00DB5EB8">
        <w:rPr>
          <w:rFonts w:eastAsia="Calibri"/>
          <w:color w:val="00A9CE" w:themeColor="accent1"/>
          <w:kern w:val="0"/>
          <w:sz w:val="20"/>
          <w:szCs w:val="18"/>
          <w:lang w:eastAsia="en-AU"/>
        </w:rPr>
        <w:fldChar w:fldCharType="separate"/>
      </w:r>
      <w:r w:rsidR="0048332C">
        <w:rPr>
          <w:rFonts w:eastAsia="Calibri"/>
          <w:noProof/>
          <w:color w:val="00A9CE" w:themeColor="accent1"/>
          <w:kern w:val="0"/>
          <w:sz w:val="20"/>
          <w:szCs w:val="18"/>
          <w:lang w:eastAsia="en-AU"/>
        </w:rPr>
        <w:t>7</w:t>
      </w:r>
      <w:r w:rsidR="00447CD6" w:rsidRPr="00DB5EB8">
        <w:rPr>
          <w:rFonts w:eastAsia="Calibri"/>
          <w:color w:val="00A9CE" w:themeColor="accent1"/>
          <w:kern w:val="0"/>
          <w:sz w:val="20"/>
          <w:szCs w:val="18"/>
          <w:lang w:eastAsia="en-AU"/>
        </w:rPr>
        <w:fldChar w:fldCharType="end"/>
      </w:r>
      <w:bookmarkEnd w:id="82"/>
      <w:r w:rsidRPr="00DB5EB8">
        <w:rPr>
          <w:rFonts w:eastAsia="Calibri"/>
          <w:color w:val="00A9CE" w:themeColor="accent1"/>
          <w:kern w:val="0"/>
          <w:sz w:val="20"/>
          <w:szCs w:val="18"/>
          <w:lang w:eastAsia="en-AU"/>
        </w:rPr>
        <w:t xml:space="preserve">: Percentage </w:t>
      </w:r>
      <w:r w:rsidR="00001199">
        <w:rPr>
          <w:rFonts w:eastAsia="Calibri"/>
          <w:color w:val="00A9CE" w:themeColor="accent1"/>
          <w:kern w:val="0"/>
          <w:sz w:val="20"/>
          <w:szCs w:val="18"/>
          <w:lang w:eastAsia="en-AU"/>
        </w:rPr>
        <w:t>change</w:t>
      </w:r>
      <w:r w:rsidRPr="00DB5EB8">
        <w:rPr>
          <w:rFonts w:eastAsia="Calibri"/>
          <w:color w:val="00A9CE" w:themeColor="accent1"/>
          <w:kern w:val="0"/>
          <w:sz w:val="20"/>
          <w:szCs w:val="18"/>
          <w:lang w:eastAsia="en-AU"/>
        </w:rPr>
        <w:t xml:space="preserve"> in water efficiency (GL/</w:t>
      </w:r>
      <w:r w:rsidR="00631BB9">
        <w:rPr>
          <w:rFonts w:eastAsia="Calibri"/>
          <w:color w:val="00A9CE" w:themeColor="accent1"/>
          <w:kern w:val="0"/>
          <w:sz w:val="20"/>
          <w:szCs w:val="18"/>
          <w:lang w:eastAsia="en-AU"/>
        </w:rPr>
        <w:t>AUD</w:t>
      </w:r>
      <w:r w:rsidRPr="00DB5EB8">
        <w:rPr>
          <w:rFonts w:eastAsia="Calibri"/>
          <w:color w:val="00A9CE" w:themeColor="accent1"/>
          <w:kern w:val="0"/>
          <w:sz w:val="20"/>
          <w:szCs w:val="18"/>
          <w:lang w:eastAsia="en-AU"/>
        </w:rPr>
        <w:t>$</w:t>
      </w:r>
      <w:r w:rsidR="00631BB9">
        <w:rPr>
          <w:rFonts w:eastAsia="Calibri"/>
          <w:color w:val="00A9CE" w:themeColor="accent1"/>
          <w:kern w:val="0"/>
          <w:sz w:val="20"/>
          <w:szCs w:val="18"/>
          <w:lang w:eastAsia="en-AU"/>
        </w:rPr>
        <w:t xml:space="preserve"> B</w:t>
      </w:r>
      <w:r w:rsidRPr="00DB5EB8">
        <w:rPr>
          <w:rFonts w:eastAsia="Calibri"/>
          <w:color w:val="00A9CE" w:themeColor="accent1"/>
          <w:kern w:val="0"/>
          <w:sz w:val="20"/>
          <w:szCs w:val="18"/>
          <w:lang w:eastAsia="en-AU"/>
        </w:rPr>
        <w:t>illion value add) expected by 2050 under the Current Trends scenario.</w:t>
      </w:r>
      <w:bookmarkEnd w:id="83"/>
      <w:r w:rsidRPr="00DB5EB8">
        <w:rPr>
          <w:rFonts w:eastAsia="Calibri"/>
          <w:color w:val="00A9CE" w:themeColor="accent1"/>
          <w:kern w:val="0"/>
          <w:sz w:val="20"/>
          <w:szCs w:val="18"/>
          <w:lang w:eastAsia="en-AU"/>
        </w:rPr>
        <w:t xml:space="preserve"> </w:t>
      </w:r>
      <w:bookmarkEnd w:id="84"/>
    </w:p>
    <w:tbl>
      <w:tblPr>
        <w:tblW w:w="0" w:type="auto"/>
        <w:tblLayout w:type="fixed"/>
        <w:tblLook w:val="04A0" w:firstRow="1" w:lastRow="0" w:firstColumn="1" w:lastColumn="0" w:noHBand="0" w:noVBand="1"/>
        <w:tblCaption w:val="Percentage change in water efficiency expected by 2050 under the Current Trends scenario."/>
        <w:tblDescription w:val="Table seven provides Current Trend scenario's percent change in water efficiency in gigalitres per billion dollar value add. Industries sectors are listed under a heading of two thousand and fifty Projected Water Intensity Decrease for Current Trends, while corresponding percentage changes are listed under Current Trends perntage change. Note negative efficiency changes represent an increase in water intensity, for example, for mining and manufacturing which have minus one percent and minus ten percent respectively. "/>
      </w:tblPr>
      <w:tblGrid>
        <w:gridCol w:w="4986"/>
        <w:gridCol w:w="1701"/>
      </w:tblGrid>
      <w:tr w:rsidR="0017018E" w:rsidRPr="00D22554" w14:paraId="7E129A9C" w14:textId="77777777" w:rsidTr="00D64017">
        <w:trPr>
          <w:trHeight w:val="300"/>
        </w:trPr>
        <w:tc>
          <w:tcPr>
            <w:tcW w:w="4986" w:type="dxa"/>
            <w:shd w:val="clear" w:color="auto" w:fill="000000" w:themeFill="text1"/>
            <w:noWrap/>
            <w:vAlign w:val="center"/>
            <w:hideMark/>
          </w:tcPr>
          <w:p w14:paraId="1C5B7068" w14:textId="77777777" w:rsidR="0017018E" w:rsidRPr="002001D9" w:rsidRDefault="0017018E" w:rsidP="00D64017">
            <w:pPr>
              <w:pStyle w:val="ColumnHeading"/>
              <w:spacing w:before="120" w:after="60"/>
              <w:jc w:val="both"/>
            </w:pPr>
            <w:r w:rsidRPr="002001D9">
              <w:t>2050 Projected Water Intensity Decrease for Current Trends</w:t>
            </w:r>
          </w:p>
        </w:tc>
        <w:tc>
          <w:tcPr>
            <w:tcW w:w="1701" w:type="dxa"/>
            <w:shd w:val="clear" w:color="auto" w:fill="000000" w:themeFill="text1"/>
            <w:noWrap/>
            <w:vAlign w:val="bottom"/>
            <w:hideMark/>
          </w:tcPr>
          <w:p w14:paraId="7AF4028B" w14:textId="306C7B13" w:rsidR="0017018E" w:rsidRPr="002001D9" w:rsidRDefault="0017018E" w:rsidP="00D64017">
            <w:pPr>
              <w:pStyle w:val="ColumnHeading"/>
              <w:spacing w:before="120" w:after="60"/>
              <w:jc w:val="center"/>
            </w:pPr>
            <w:r w:rsidRPr="002001D9">
              <w:t>Current Trends</w:t>
            </w:r>
            <w:r w:rsidR="00C10B42">
              <w:br/>
            </w:r>
            <w:r w:rsidRPr="002001D9">
              <w:t>% Change</w:t>
            </w:r>
          </w:p>
        </w:tc>
      </w:tr>
      <w:tr w:rsidR="0017018E" w:rsidRPr="00D22554" w14:paraId="368460FD" w14:textId="77777777" w:rsidTr="00D64017">
        <w:trPr>
          <w:trHeight w:val="300"/>
        </w:trPr>
        <w:tc>
          <w:tcPr>
            <w:tcW w:w="4986" w:type="dxa"/>
            <w:shd w:val="clear" w:color="auto" w:fill="EDEDED"/>
            <w:noWrap/>
            <w:vAlign w:val="bottom"/>
            <w:hideMark/>
          </w:tcPr>
          <w:p w14:paraId="2AC2464A" w14:textId="77777777" w:rsidR="0017018E" w:rsidRPr="002001D9" w:rsidRDefault="0017018E" w:rsidP="00D64017">
            <w:pPr>
              <w:pStyle w:val="TableText"/>
            </w:pPr>
            <w:r w:rsidRPr="002001D9">
              <w:t>Mining</w:t>
            </w:r>
          </w:p>
        </w:tc>
        <w:tc>
          <w:tcPr>
            <w:tcW w:w="1701" w:type="dxa"/>
            <w:shd w:val="clear" w:color="auto" w:fill="EDEDED"/>
            <w:noWrap/>
            <w:vAlign w:val="bottom"/>
            <w:hideMark/>
          </w:tcPr>
          <w:p w14:paraId="7A0F42D8" w14:textId="77777777" w:rsidR="0017018E" w:rsidRDefault="0017018E" w:rsidP="00D64017">
            <w:pPr>
              <w:pStyle w:val="TableText"/>
              <w:jc w:val="center"/>
            </w:pPr>
            <w:r>
              <w:t>-1%</w:t>
            </w:r>
          </w:p>
        </w:tc>
      </w:tr>
      <w:tr w:rsidR="0017018E" w:rsidRPr="00D22554" w14:paraId="3C70F140" w14:textId="77777777" w:rsidTr="00D64017">
        <w:trPr>
          <w:trHeight w:val="300"/>
        </w:trPr>
        <w:tc>
          <w:tcPr>
            <w:tcW w:w="4986" w:type="dxa"/>
            <w:shd w:val="clear" w:color="auto" w:fill="auto"/>
            <w:noWrap/>
            <w:vAlign w:val="bottom"/>
            <w:hideMark/>
          </w:tcPr>
          <w:p w14:paraId="0F89A1F4" w14:textId="77777777" w:rsidR="0017018E" w:rsidRPr="002001D9" w:rsidRDefault="0017018E" w:rsidP="00D64017">
            <w:pPr>
              <w:pStyle w:val="TableText"/>
            </w:pPr>
            <w:r w:rsidRPr="002001D9">
              <w:t>Manufacturing</w:t>
            </w:r>
          </w:p>
        </w:tc>
        <w:tc>
          <w:tcPr>
            <w:tcW w:w="1701" w:type="dxa"/>
            <w:shd w:val="clear" w:color="auto" w:fill="auto"/>
            <w:noWrap/>
            <w:vAlign w:val="bottom"/>
            <w:hideMark/>
          </w:tcPr>
          <w:p w14:paraId="2E16D187" w14:textId="77777777" w:rsidR="0017018E" w:rsidRDefault="0017018E" w:rsidP="00D64017">
            <w:pPr>
              <w:pStyle w:val="TableText"/>
              <w:jc w:val="center"/>
            </w:pPr>
            <w:r>
              <w:t>-10%</w:t>
            </w:r>
          </w:p>
        </w:tc>
      </w:tr>
      <w:tr w:rsidR="0017018E" w:rsidRPr="00D22554" w14:paraId="16F34801" w14:textId="77777777" w:rsidTr="00D64017">
        <w:trPr>
          <w:trHeight w:val="300"/>
        </w:trPr>
        <w:tc>
          <w:tcPr>
            <w:tcW w:w="4986" w:type="dxa"/>
            <w:shd w:val="clear" w:color="auto" w:fill="EDEDED"/>
            <w:noWrap/>
            <w:vAlign w:val="bottom"/>
            <w:hideMark/>
          </w:tcPr>
          <w:p w14:paraId="53E3E97C" w14:textId="77777777" w:rsidR="0017018E" w:rsidRPr="002001D9" w:rsidRDefault="0017018E" w:rsidP="00D64017">
            <w:pPr>
              <w:pStyle w:val="TableText"/>
            </w:pPr>
            <w:r w:rsidRPr="002001D9">
              <w:t>Construction</w:t>
            </w:r>
          </w:p>
        </w:tc>
        <w:tc>
          <w:tcPr>
            <w:tcW w:w="1701" w:type="dxa"/>
            <w:shd w:val="clear" w:color="auto" w:fill="EDEDED"/>
            <w:noWrap/>
            <w:vAlign w:val="bottom"/>
            <w:hideMark/>
          </w:tcPr>
          <w:p w14:paraId="69810D97" w14:textId="77777777" w:rsidR="0017018E" w:rsidRDefault="0017018E" w:rsidP="00D64017">
            <w:pPr>
              <w:pStyle w:val="TableText"/>
              <w:jc w:val="center"/>
            </w:pPr>
            <w:r>
              <w:t>28%</w:t>
            </w:r>
          </w:p>
        </w:tc>
      </w:tr>
      <w:tr w:rsidR="0017018E" w:rsidRPr="00D22554" w14:paraId="3ACF3507" w14:textId="77777777" w:rsidTr="00D64017">
        <w:trPr>
          <w:trHeight w:val="300"/>
        </w:trPr>
        <w:tc>
          <w:tcPr>
            <w:tcW w:w="4986" w:type="dxa"/>
            <w:shd w:val="clear" w:color="auto" w:fill="auto"/>
            <w:noWrap/>
            <w:vAlign w:val="bottom"/>
            <w:hideMark/>
          </w:tcPr>
          <w:p w14:paraId="0E1E024B" w14:textId="77777777" w:rsidR="0017018E" w:rsidRPr="002001D9" w:rsidRDefault="0017018E" w:rsidP="00D64017">
            <w:pPr>
              <w:pStyle w:val="TableText"/>
            </w:pPr>
            <w:r w:rsidRPr="002001D9">
              <w:t>Transport</w:t>
            </w:r>
          </w:p>
        </w:tc>
        <w:tc>
          <w:tcPr>
            <w:tcW w:w="1701" w:type="dxa"/>
            <w:shd w:val="clear" w:color="auto" w:fill="auto"/>
            <w:noWrap/>
            <w:vAlign w:val="bottom"/>
            <w:hideMark/>
          </w:tcPr>
          <w:p w14:paraId="304AA601" w14:textId="77777777" w:rsidR="0017018E" w:rsidRDefault="0017018E" w:rsidP="00D64017">
            <w:pPr>
              <w:pStyle w:val="TableText"/>
              <w:jc w:val="center"/>
            </w:pPr>
            <w:r>
              <w:t>0%</w:t>
            </w:r>
          </w:p>
        </w:tc>
      </w:tr>
      <w:tr w:rsidR="0017018E" w:rsidRPr="00D22554" w14:paraId="02051E7E" w14:textId="77777777" w:rsidTr="00D64017">
        <w:trPr>
          <w:trHeight w:val="300"/>
        </w:trPr>
        <w:tc>
          <w:tcPr>
            <w:tcW w:w="4986" w:type="dxa"/>
            <w:shd w:val="clear" w:color="auto" w:fill="EDEDED"/>
            <w:noWrap/>
            <w:vAlign w:val="bottom"/>
            <w:hideMark/>
          </w:tcPr>
          <w:p w14:paraId="3A321E04" w14:textId="0C9DF18E" w:rsidR="0017018E" w:rsidRPr="002001D9" w:rsidRDefault="0017018E" w:rsidP="00D64017">
            <w:pPr>
              <w:pStyle w:val="TableText"/>
            </w:pPr>
            <w:r w:rsidRPr="002001D9">
              <w:t xml:space="preserve">Commercial and </w:t>
            </w:r>
            <w:r w:rsidR="00D66E56">
              <w:t>s</w:t>
            </w:r>
            <w:r w:rsidRPr="002001D9">
              <w:t>ervices</w:t>
            </w:r>
          </w:p>
        </w:tc>
        <w:tc>
          <w:tcPr>
            <w:tcW w:w="1701" w:type="dxa"/>
            <w:shd w:val="clear" w:color="auto" w:fill="EDEDED"/>
            <w:noWrap/>
            <w:vAlign w:val="bottom"/>
            <w:hideMark/>
          </w:tcPr>
          <w:p w14:paraId="2FB65C71" w14:textId="77777777" w:rsidR="0017018E" w:rsidRDefault="0017018E" w:rsidP="00D64017">
            <w:pPr>
              <w:pStyle w:val="TableText"/>
              <w:jc w:val="center"/>
            </w:pPr>
            <w:r>
              <w:t>11%</w:t>
            </w:r>
          </w:p>
        </w:tc>
      </w:tr>
      <w:tr w:rsidR="0017018E" w:rsidRPr="00D22554" w14:paraId="5F63CE6D" w14:textId="77777777" w:rsidTr="00D64017">
        <w:trPr>
          <w:trHeight w:val="300"/>
        </w:trPr>
        <w:tc>
          <w:tcPr>
            <w:tcW w:w="4986" w:type="dxa"/>
            <w:shd w:val="clear" w:color="auto" w:fill="auto"/>
            <w:noWrap/>
            <w:vAlign w:val="bottom"/>
            <w:hideMark/>
          </w:tcPr>
          <w:p w14:paraId="196F672C" w14:textId="77777777" w:rsidR="0017018E" w:rsidRPr="002001D9" w:rsidRDefault="0017018E" w:rsidP="00D64017">
            <w:pPr>
              <w:pStyle w:val="TableText"/>
            </w:pPr>
            <w:r w:rsidRPr="002001D9">
              <w:t>Residential</w:t>
            </w:r>
          </w:p>
        </w:tc>
        <w:tc>
          <w:tcPr>
            <w:tcW w:w="1701" w:type="dxa"/>
            <w:shd w:val="clear" w:color="auto" w:fill="auto"/>
            <w:noWrap/>
            <w:vAlign w:val="bottom"/>
            <w:hideMark/>
          </w:tcPr>
          <w:p w14:paraId="61D5BA95" w14:textId="77777777" w:rsidR="0017018E" w:rsidRDefault="0017018E" w:rsidP="00D64017">
            <w:pPr>
              <w:pStyle w:val="TableText"/>
              <w:jc w:val="center"/>
            </w:pPr>
            <w:r>
              <w:t>38%</w:t>
            </w:r>
          </w:p>
        </w:tc>
      </w:tr>
      <w:tr w:rsidR="0017018E" w:rsidRPr="00D22554" w14:paraId="770A3293" w14:textId="77777777" w:rsidTr="00D64017">
        <w:trPr>
          <w:trHeight w:val="300"/>
        </w:trPr>
        <w:tc>
          <w:tcPr>
            <w:tcW w:w="4986" w:type="dxa"/>
            <w:shd w:val="clear" w:color="auto" w:fill="EDEDED"/>
            <w:noWrap/>
            <w:vAlign w:val="bottom"/>
            <w:hideMark/>
          </w:tcPr>
          <w:p w14:paraId="12F325CF" w14:textId="77777777" w:rsidR="0017018E" w:rsidRPr="002001D9" w:rsidRDefault="0017018E" w:rsidP="00D64017">
            <w:pPr>
              <w:pStyle w:val="TableText"/>
            </w:pPr>
            <w:r w:rsidRPr="002001D9">
              <w:t>Water supply and waste services</w:t>
            </w:r>
          </w:p>
        </w:tc>
        <w:tc>
          <w:tcPr>
            <w:tcW w:w="1701" w:type="dxa"/>
            <w:shd w:val="clear" w:color="auto" w:fill="EDEDED"/>
            <w:noWrap/>
            <w:vAlign w:val="bottom"/>
            <w:hideMark/>
          </w:tcPr>
          <w:p w14:paraId="14FE337E" w14:textId="77777777" w:rsidR="0017018E" w:rsidRDefault="0017018E" w:rsidP="00D64017">
            <w:pPr>
              <w:pStyle w:val="TableText"/>
              <w:jc w:val="center"/>
            </w:pPr>
            <w:r>
              <w:t>33%</w:t>
            </w:r>
          </w:p>
        </w:tc>
      </w:tr>
      <w:tr w:rsidR="0017018E" w:rsidRPr="00D22554" w14:paraId="2F072547" w14:textId="77777777" w:rsidTr="00D64017">
        <w:trPr>
          <w:trHeight w:val="300"/>
        </w:trPr>
        <w:tc>
          <w:tcPr>
            <w:tcW w:w="4986" w:type="dxa"/>
            <w:shd w:val="clear" w:color="auto" w:fill="auto"/>
            <w:noWrap/>
            <w:vAlign w:val="bottom"/>
            <w:hideMark/>
          </w:tcPr>
          <w:p w14:paraId="5D432E62" w14:textId="77777777" w:rsidR="0017018E" w:rsidRPr="002001D9" w:rsidRDefault="0017018E" w:rsidP="00D64017">
            <w:pPr>
              <w:pStyle w:val="TableText"/>
            </w:pPr>
            <w:r w:rsidRPr="002001D9">
              <w:t>Electricity generation</w:t>
            </w:r>
          </w:p>
        </w:tc>
        <w:tc>
          <w:tcPr>
            <w:tcW w:w="1701" w:type="dxa"/>
            <w:shd w:val="clear" w:color="auto" w:fill="auto"/>
            <w:noWrap/>
            <w:vAlign w:val="bottom"/>
            <w:hideMark/>
          </w:tcPr>
          <w:p w14:paraId="75573E8A" w14:textId="77777777" w:rsidR="0017018E" w:rsidRDefault="0017018E" w:rsidP="00D64017">
            <w:pPr>
              <w:pStyle w:val="TableText"/>
              <w:jc w:val="center"/>
            </w:pPr>
            <w:r>
              <w:t>5%</w:t>
            </w:r>
          </w:p>
        </w:tc>
      </w:tr>
      <w:tr w:rsidR="0017018E" w:rsidRPr="00D22554" w14:paraId="52B84C4E" w14:textId="77777777" w:rsidTr="00D64017">
        <w:trPr>
          <w:trHeight w:val="300"/>
        </w:trPr>
        <w:tc>
          <w:tcPr>
            <w:tcW w:w="4986" w:type="dxa"/>
            <w:tcBorders>
              <w:bottom w:val="single" w:sz="4" w:space="0" w:color="auto"/>
            </w:tcBorders>
            <w:shd w:val="clear" w:color="auto" w:fill="EDEDED"/>
            <w:noWrap/>
            <w:vAlign w:val="bottom"/>
            <w:hideMark/>
          </w:tcPr>
          <w:p w14:paraId="402DD30F" w14:textId="77777777" w:rsidR="0017018E" w:rsidRPr="002001D9" w:rsidRDefault="0017018E" w:rsidP="00D64017">
            <w:pPr>
              <w:pStyle w:val="TableText"/>
            </w:pPr>
            <w:r w:rsidRPr="002001D9">
              <w:t>Gas supply</w:t>
            </w:r>
          </w:p>
        </w:tc>
        <w:tc>
          <w:tcPr>
            <w:tcW w:w="1701" w:type="dxa"/>
            <w:tcBorders>
              <w:bottom w:val="single" w:sz="4" w:space="0" w:color="auto"/>
            </w:tcBorders>
            <w:shd w:val="clear" w:color="auto" w:fill="EDEDED"/>
            <w:noWrap/>
            <w:vAlign w:val="bottom"/>
            <w:hideMark/>
          </w:tcPr>
          <w:p w14:paraId="3906BE1E" w14:textId="77777777" w:rsidR="0017018E" w:rsidRDefault="0017018E" w:rsidP="00D64017">
            <w:pPr>
              <w:pStyle w:val="TableText"/>
              <w:jc w:val="center"/>
            </w:pPr>
            <w:r>
              <w:t>0%</w:t>
            </w:r>
          </w:p>
        </w:tc>
      </w:tr>
    </w:tbl>
    <w:p w14:paraId="7ADD27EC" w14:textId="6BCFEC3E" w:rsidR="008C78E2" w:rsidRPr="00DB5EB8" w:rsidRDefault="008C78E2" w:rsidP="008C78E2">
      <w:pPr>
        <w:pStyle w:val="Source"/>
      </w:pPr>
      <w:r>
        <w:t>NOTE: A</w:t>
      </w:r>
      <w:r w:rsidRPr="00DB5EB8">
        <w:t xml:space="preserve"> negative efficiency change is an </w:t>
      </w:r>
      <w:r w:rsidRPr="00242609">
        <w:rPr>
          <w:i/>
        </w:rPr>
        <w:t>increase</w:t>
      </w:r>
      <w:r w:rsidRPr="00DB5EB8">
        <w:t xml:space="preserve"> in water intensity e.g.</w:t>
      </w:r>
      <w:r>
        <w:t>,</w:t>
      </w:r>
      <w:r w:rsidRPr="00DB5EB8">
        <w:t xml:space="preserve"> for Mining and Manufacturing.</w:t>
      </w:r>
    </w:p>
    <w:p w14:paraId="03542A26" w14:textId="77777777" w:rsidR="0017018E" w:rsidRDefault="0017018E" w:rsidP="0017018E"/>
    <w:p w14:paraId="4EE1B72A" w14:textId="342253F5" w:rsidR="0017018E" w:rsidRDefault="0017018E" w:rsidP="0017018E">
      <w:pPr>
        <w:pStyle w:val="Caption"/>
      </w:pPr>
    </w:p>
    <w:p w14:paraId="3B6D399D" w14:textId="6525CADE" w:rsidR="00F67540" w:rsidRDefault="00F67540" w:rsidP="00F67540">
      <w:pPr>
        <w:pStyle w:val="BodyText"/>
      </w:pPr>
    </w:p>
    <w:p w14:paraId="7412569B" w14:textId="77777777" w:rsidR="00B73C6E" w:rsidRDefault="00B73C6E" w:rsidP="00F67540">
      <w:pPr>
        <w:pStyle w:val="BodyText"/>
      </w:pPr>
    </w:p>
    <w:p w14:paraId="4BF7862C" w14:textId="77777777" w:rsidR="00B73C6E" w:rsidRDefault="00B73C6E" w:rsidP="00F67540">
      <w:pPr>
        <w:pStyle w:val="BodyText"/>
      </w:pPr>
    </w:p>
    <w:p w14:paraId="68481AAB" w14:textId="4BCFB7C7" w:rsidR="00F67540" w:rsidRPr="00F67540" w:rsidRDefault="00C116B4" w:rsidP="00F67540">
      <w:pPr>
        <w:pStyle w:val="BodyText"/>
      </w:pPr>
      <w:r>
        <w:rPr>
          <w:noProof/>
        </w:rPr>
        <w:drawing>
          <wp:inline distT="0" distB="0" distL="0" distR="0" wp14:anchorId="1B375B50" wp14:editId="7166D0F0">
            <wp:extent cx="5427283" cy="3223260"/>
            <wp:effectExtent l="0" t="0" r="2540" b="0"/>
            <wp:docPr id="32" name="Picture 32" descr="Figure seven is a line graph. The Y axis data points range from zero rising in increments of two to eighteen representing water intensity in gigalitres per billion dollar value add. Data points on the X axis appear in increments of ten years from nineteen nighty to two thousand and fifty. The graph applies a coloured legend to seven aggregate sectors of the Australian economy, mining, manufacturing, construction, transport, commercial and services, electricity generation, and gas supply. Trends show water intensity for all sectors fluctuate from around nineteen nighty-four, settling in two thousand and ten then remaining constant to two thousand and fifty. Electricity generation sits between fourteen and seventeen during this period dropping to fourteen in two thousand and ten, manufacturing ranges from eight to five settling at six, mining from eight to four where it remains, all other sectors sit within the zero to two Y axis data points. " title="Industrial water intensity under Current Tr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igure 7 Industrial water intensity under Current Trends.png"/>
                    <pic:cNvPicPr/>
                  </pic:nvPicPr>
                  <pic:blipFill>
                    <a:blip r:embed="rId17">
                      <a:extLst>
                        <a:ext uri="{28A0092B-C50C-407E-A947-70E740481C1C}">
                          <a14:useLocalDpi xmlns:a14="http://schemas.microsoft.com/office/drawing/2010/main" val="0"/>
                        </a:ext>
                      </a:extLst>
                    </a:blip>
                    <a:stretch>
                      <a:fillRect/>
                    </a:stretch>
                  </pic:blipFill>
                  <pic:spPr>
                    <a:xfrm>
                      <a:off x="0" y="0"/>
                      <a:ext cx="5439583" cy="3230565"/>
                    </a:xfrm>
                    <a:prstGeom prst="rect">
                      <a:avLst/>
                    </a:prstGeom>
                  </pic:spPr>
                </pic:pic>
              </a:graphicData>
            </a:graphic>
          </wp:inline>
        </w:drawing>
      </w:r>
    </w:p>
    <w:p w14:paraId="5BD4A8D3" w14:textId="77777777" w:rsidR="00D132F6" w:rsidRDefault="00DE705D" w:rsidP="00DE705D">
      <w:pPr>
        <w:pStyle w:val="Title"/>
        <w:rPr>
          <w:rFonts w:eastAsia="Calibri"/>
          <w:color w:val="00A9CE" w:themeColor="accent1"/>
          <w:kern w:val="0"/>
          <w:sz w:val="20"/>
          <w:szCs w:val="18"/>
          <w:lang w:eastAsia="en-AU"/>
        </w:rPr>
      </w:pPr>
      <w:bookmarkStart w:id="85" w:name="_Ref359881579"/>
      <w:bookmarkStart w:id="86" w:name="_Toc433972612"/>
      <w:bookmarkStart w:id="87" w:name="_Toc359885785"/>
      <w:r w:rsidRPr="00DB5EB8">
        <w:rPr>
          <w:rFonts w:eastAsia="Calibri"/>
          <w:color w:val="00A9CE" w:themeColor="accent1"/>
          <w:kern w:val="0"/>
          <w:sz w:val="20"/>
          <w:szCs w:val="18"/>
          <w:lang w:eastAsia="en-AU"/>
        </w:rPr>
        <w:t xml:space="preserve">Figure </w:t>
      </w:r>
      <w:r w:rsidR="00447CD6" w:rsidRPr="00DB5EB8">
        <w:rPr>
          <w:rFonts w:eastAsia="Calibri"/>
          <w:color w:val="00A9CE" w:themeColor="accent1"/>
          <w:kern w:val="0"/>
          <w:sz w:val="20"/>
          <w:szCs w:val="18"/>
          <w:lang w:eastAsia="en-AU"/>
        </w:rPr>
        <w:fldChar w:fldCharType="begin"/>
      </w:r>
      <w:r w:rsidR="00447CD6" w:rsidRPr="00DB5EB8">
        <w:rPr>
          <w:rFonts w:eastAsia="Calibri"/>
          <w:color w:val="00A9CE" w:themeColor="accent1"/>
          <w:kern w:val="0"/>
          <w:sz w:val="20"/>
          <w:szCs w:val="18"/>
          <w:lang w:eastAsia="en-AU"/>
        </w:rPr>
        <w:instrText xml:space="preserve"> SEQ Figure \* ARABIC </w:instrText>
      </w:r>
      <w:r w:rsidR="00447CD6" w:rsidRPr="00DB5EB8">
        <w:rPr>
          <w:rFonts w:eastAsia="Calibri"/>
          <w:color w:val="00A9CE" w:themeColor="accent1"/>
          <w:kern w:val="0"/>
          <w:sz w:val="20"/>
          <w:szCs w:val="18"/>
          <w:lang w:eastAsia="en-AU"/>
        </w:rPr>
        <w:fldChar w:fldCharType="separate"/>
      </w:r>
      <w:r w:rsidR="00165FBD">
        <w:rPr>
          <w:rFonts w:eastAsia="Calibri"/>
          <w:noProof/>
          <w:color w:val="00A9CE" w:themeColor="accent1"/>
          <w:kern w:val="0"/>
          <w:sz w:val="20"/>
          <w:szCs w:val="18"/>
          <w:lang w:eastAsia="en-AU"/>
        </w:rPr>
        <w:t>7</w:t>
      </w:r>
      <w:r w:rsidR="00447CD6" w:rsidRPr="00DB5EB8">
        <w:rPr>
          <w:rFonts w:eastAsia="Calibri"/>
          <w:color w:val="00A9CE" w:themeColor="accent1"/>
          <w:kern w:val="0"/>
          <w:sz w:val="20"/>
          <w:szCs w:val="18"/>
          <w:lang w:eastAsia="en-AU"/>
        </w:rPr>
        <w:fldChar w:fldCharType="end"/>
      </w:r>
      <w:bookmarkEnd w:id="85"/>
      <w:r w:rsidRPr="00DB5EB8">
        <w:rPr>
          <w:rFonts w:eastAsia="Calibri"/>
          <w:color w:val="00A9CE" w:themeColor="accent1"/>
          <w:kern w:val="0"/>
          <w:sz w:val="20"/>
          <w:szCs w:val="18"/>
          <w:lang w:eastAsia="en-AU"/>
        </w:rPr>
        <w:t>: Industrial water intensity under Current Trends.</w:t>
      </w:r>
      <w:bookmarkEnd w:id="86"/>
      <w:r w:rsidRPr="00DB5EB8">
        <w:rPr>
          <w:rFonts w:eastAsia="Calibri"/>
          <w:color w:val="00A9CE" w:themeColor="accent1"/>
          <w:kern w:val="0"/>
          <w:sz w:val="20"/>
          <w:szCs w:val="18"/>
          <w:lang w:eastAsia="en-AU"/>
        </w:rPr>
        <w:t xml:space="preserve"> </w:t>
      </w:r>
    </w:p>
    <w:p w14:paraId="443CAB6A" w14:textId="42420823" w:rsidR="00DE705D" w:rsidRPr="00DB5EB8" w:rsidRDefault="00D132F6" w:rsidP="00D132F6">
      <w:pPr>
        <w:pStyle w:val="Source"/>
        <w:tabs>
          <w:tab w:val="clear" w:pos="539"/>
        </w:tabs>
        <w:ind w:left="0" w:firstLine="0"/>
      </w:pPr>
      <w:r>
        <w:t>NOTE:</w:t>
      </w:r>
      <w:r w:rsidR="00DE705D" w:rsidRPr="00DB5EB8">
        <w:t xml:space="preserve"> </w:t>
      </w:r>
      <w:r>
        <w:t>T</w:t>
      </w:r>
      <w:r w:rsidR="00DE705D" w:rsidRPr="00DB5EB8">
        <w:t>here is only reliable data for Electricity Generation after 2005 and the water intensity of both the Water Supply and Residential sectors is an order of magnitude greater than the results and is not shown</w:t>
      </w:r>
      <w:bookmarkEnd w:id="87"/>
    </w:p>
    <w:p w14:paraId="6688D43A" w14:textId="77777777" w:rsidR="0017018E" w:rsidRPr="001B3113" w:rsidRDefault="0017018E" w:rsidP="006F7682">
      <w:pPr>
        <w:pStyle w:val="Heading2"/>
        <w:numPr>
          <w:ilvl w:val="1"/>
          <w:numId w:val="13"/>
        </w:numPr>
        <w:rPr>
          <w:color w:val="00A9CE" w:themeColor="accent1"/>
          <w:szCs w:val="32"/>
        </w:rPr>
      </w:pPr>
      <w:bookmarkStart w:id="88" w:name="_Toc359885776"/>
      <w:bookmarkStart w:id="89" w:name="_Toc433975087"/>
      <w:r w:rsidRPr="001B3113">
        <w:rPr>
          <w:color w:val="00A9CE" w:themeColor="accent1"/>
          <w:szCs w:val="32"/>
        </w:rPr>
        <w:t>Step Change</w:t>
      </w:r>
      <w:bookmarkEnd w:id="88"/>
      <w:bookmarkEnd w:id="89"/>
    </w:p>
    <w:p w14:paraId="2A42A34B" w14:textId="6831C492" w:rsidR="0017018E" w:rsidRDefault="0017018E" w:rsidP="0017018E">
      <w:r>
        <w:t xml:space="preserve">Data on potential industrial water efficiency gains are </w:t>
      </w:r>
      <w:r w:rsidR="00001199">
        <w:t>rare and we sourced some input</w:t>
      </w:r>
      <w:r>
        <w:t xml:space="preserve"> from technical appendices of the report </w:t>
      </w:r>
      <w:r>
        <w:rPr>
          <w:i/>
        </w:rPr>
        <w:t xml:space="preserve">Waste Not, </w:t>
      </w:r>
      <w:r w:rsidRPr="00F50D45">
        <w:rPr>
          <w:i/>
        </w:rPr>
        <w:t>Want Not: The Potential for Urban Water Conservation in California</w:t>
      </w:r>
      <w:r>
        <w:t>.</w:t>
      </w:r>
      <w:r w:rsidRPr="00F50D45">
        <w:t xml:space="preserve"> </w:t>
      </w:r>
      <w:r>
        <w:t>(</w:t>
      </w:r>
      <w:r w:rsidRPr="00F50D45">
        <w:t>Gleick</w:t>
      </w:r>
      <w:r w:rsidR="005B5A3B">
        <w:t xml:space="preserve"> </w:t>
      </w:r>
      <w:r>
        <w:t>et al</w:t>
      </w:r>
      <w:r w:rsidR="005B5A3B">
        <w:t>.,</w:t>
      </w:r>
      <w:r>
        <w:t xml:space="preserve"> 2003)</w:t>
      </w:r>
      <w:r>
        <w:rPr>
          <w:rStyle w:val="FootnoteReference"/>
        </w:rPr>
        <w:footnoteReference w:id="8"/>
      </w:r>
      <w:r>
        <w:t>. As some years have passed since the publication of this work, it is certainly possible that efficiency standards have already been raised and implemented, it does, however, provide order-of-magnitude estimates on technically feasible water efficiency improvements.</w:t>
      </w:r>
    </w:p>
    <w:p w14:paraId="597F2F23" w14:textId="6AD53560" w:rsidR="0017018E" w:rsidRDefault="0017018E" w:rsidP="0017018E">
      <w:r>
        <w:t xml:space="preserve">There is some information on the improvements to water intensity in Australia during the last drought. From Chapter 2 of the </w:t>
      </w:r>
      <w:r w:rsidRPr="00980109">
        <w:rPr>
          <w:i/>
        </w:rPr>
        <w:t>Information Paper: Towards the Australian Environmental-Economic Accounts</w:t>
      </w:r>
      <w:r>
        <w:t xml:space="preserve">  </w:t>
      </w:r>
      <w:r>
        <w:fldChar w:fldCharType="begin"/>
      </w:r>
      <w:r w:rsidR="00D04510">
        <w:instrText xml:space="preserve"> ADDIN EN.CITE &lt;EndNote&gt;&lt;Cite&gt;&lt;Author&gt;ABS&lt;/Author&gt;&lt;Year&gt;2013&lt;/Year&gt;&lt;RecNum&gt;49&lt;/RecNum&gt;&lt;DisplayText&gt;(ABS, 2013b)&lt;/DisplayText&gt;&lt;record&gt;&lt;rec-number&gt;49&lt;/rec-number&gt;&lt;foreign-keys&gt;&lt;key app="EN" db-id="t55vefr95ws0pgeffdlvtde0tdta909p2zv9"&gt;49&lt;/key&gt;&lt;/foreign-keys&gt;&lt;ref-type name="Book"&gt;6&lt;/ref-type&gt;&lt;contributors&gt;&lt;authors&gt;&lt;author&gt;ABS&lt;/author&gt;&lt;/authors&gt;&lt;/contributors&gt;&lt;titles&gt;&lt;title&gt;Information Paper: Towards the Australian Environmental-Economic Accounts Cat # 4655.0.55.002&lt;/title&gt;&lt;/titles&gt;&lt;dates&gt;&lt;year&gt;2013&lt;/year&gt;&lt;/dates&gt;&lt;pub-location&gt;Canberra&lt;/pub-location&gt;&lt;publisher&gt;Australian Bureau of Statistics&lt;/publisher&gt;&lt;urls&gt;&lt;related-urls&gt;&lt;url&gt;http://www.abs.gov.au/ausstats/abs@.nsf/mf/4655.0.55.002?OpenDocument&lt;/url&gt;&lt;/related-urls&gt;&lt;/urls&gt;&lt;/record&gt;&lt;/Cite&gt;&lt;/EndNote&gt;</w:instrText>
      </w:r>
      <w:r>
        <w:fldChar w:fldCharType="separate"/>
      </w:r>
      <w:r w:rsidR="00D04510">
        <w:rPr>
          <w:noProof/>
        </w:rPr>
        <w:t>(</w:t>
      </w:r>
      <w:hyperlink w:anchor="_ENREF_2" w:tooltip="ABS, 2013 #49" w:history="1">
        <w:r w:rsidR="00D04510">
          <w:rPr>
            <w:noProof/>
          </w:rPr>
          <w:t>ABS, 2013b</w:t>
        </w:r>
      </w:hyperlink>
      <w:r w:rsidR="00D04510">
        <w:rPr>
          <w:noProof/>
        </w:rPr>
        <w:t>)</w:t>
      </w:r>
      <w:r>
        <w:fldChar w:fldCharType="end"/>
      </w:r>
      <w:r w:rsidR="00001199">
        <w:t xml:space="preserve"> we know</w:t>
      </w:r>
      <w:r w:rsidRPr="00980109">
        <w:rPr>
          <w:i/>
        </w:rPr>
        <w:t xml:space="preserve"> </w:t>
      </w:r>
      <w:r w:rsidR="00001199">
        <w:rPr>
          <w:i/>
        </w:rPr>
        <w:t>“</w:t>
      </w:r>
      <w:r w:rsidRPr="00980109">
        <w:rPr>
          <w:i/>
        </w:rPr>
        <w:t>the water supply, sewerage and drainage industry has decreased its water intensity by 53% from 2008</w:t>
      </w:r>
      <w:r w:rsidR="0086541B">
        <w:rPr>
          <w:i/>
        </w:rPr>
        <w:t>–</w:t>
      </w:r>
      <w:r w:rsidRPr="00980109">
        <w:rPr>
          <w:i/>
        </w:rPr>
        <w:t>09 to 2010</w:t>
      </w:r>
      <w:r w:rsidR="0086541B">
        <w:rPr>
          <w:i/>
        </w:rPr>
        <w:t>–</w:t>
      </w:r>
      <w:r w:rsidRPr="00980109">
        <w:rPr>
          <w:i/>
        </w:rPr>
        <w:t>11 by consuming 32% less water while increasing its GVA by over 40%</w:t>
      </w:r>
      <w:r w:rsidRPr="00980109">
        <w:t>.”</w:t>
      </w:r>
      <w:r>
        <w:t xml:space="preserve"> We suggest that this could be further improved by another 50% reduction on 2011 water intensity by 2050.</w:t>
      </w:r>
    </w:p>
    <w:p w14:paraId="0EBB0641" w14:textId="12B2099C" w:rsidR="005B4C09" w:rsidRDefault="0017018E" w:rsidP="00ED0F1A">
      <w:r>
        <w:t>Water intensity for the C</w:t>
      </w:r>
      <w:r w:rsidR="00001199">
        <w:t>ommercial and Services sector is</w:t>
      </w:r>
      <w:r>
        <w:t xml:space="preserve"> assumed to be</w:t>
      </w:r>
      <w:r w:rsidR="00001199">
        <w:t xml:space="preserve"> an attribute of</w:t>
      </w:r>
      <w:r>
        <w:t xml:space="preserve"> commercial and institutional buildings and hotels. Of these types of buildings reported in The NABERS</w:t>
      </w:r>
      <w:r>
        <w:rPr>
          <w:rStyle w:val="FootnoteReference"/>
        </w:rPr>
        <w:footnoteReference w:id="9"/>
      </w:r>
      <w:r w:rsidR="00001199">
        <w:t xml:space="preserve"> data</w:t>
      </w:r>
      <w:r>
        <w:t>base, the average water consumption is 0.85</w:t>
      </w:r>
      <w:r w:rsidRPr="007E51F0">
        <w:t>kL/m²</w:t>
      </w:r>
      <w:r>
        <w:t xml:space="preserve"> (~3.5-star rating</w:t>
      </w:r>
      <w:r w:rsidRPr="007E51F0">
        <w:t>)</w:t>
      </w:r>
      <w:r>
        <w:t>. The Step Change scenario assumes that by 2050 all buildings in the Commercial and Services sector can be built or renovated to a 6-Star water rating standard or ~0.12</w:t>
      </w:r>
      <w:r w:rsidRPr="008D3451">
        <w:t xml:space="preserve"> </w:t>
      </w:r>
      <w:r w:rsidRPr="007E51F0">
        <w:t>kL/m²</w:t>
      </w:r>
      <w:r>
        <w:t xml:space="preserve"> (averaging over existing 6 star buildings). This represents a dramatic simulated 85% decrease in water intensity</w:t>
      </w:r>
      <w:r w:rsidR="00001199">
        <w:t>,</w:t>
      </w:r>
      <w:r>
        <w:t xml:space="preserve"> which may in reality be limited by legacy infrastructure in older buildings. </w:t>
      </w:r>
    </w:p>
    <w:p w14:paraId="6040454D" w14:textId="7BC9C259" w:rsidR="0017018E" w:rsidRDefault="0017018E" w:rsidP="0017018E">
      <w:r>
        <w:t>Residential water efficiency in this scenario was paired with assumptions that the proportional mix of dwelling types (separate house, semi-detached, apartments) transition</w:t>
      </w:r>
      <w:r w:rsidR="00001199">
        <w:t>s from a national average of 78.</w:t>
      </w:r>
      <w:r>
        <w:t xml:space="preserve">8 : 9.6 : 11.6 to 60 : 20 : 20. Research on areas of different dwelling types has found that per-dwelling use in high and medium density areas is approximately 57% of the water used in areas where there are entirely </w:t>
      </w:r>
      <w:r>
        <w:lastRenderedPageBreak/>
        <w:t>separate houses</w:t>
      </w:r>
      <w:r w:rsidR="0048332C">
        <w:t xml:space="preserve"> </w:t>
      </w:r>
      <w:r>
        <w:fldChar w:fldCharType="begin"/>
      </w:r>
      <w:r w:rsidR="00D04510">
        <w:instrText xml:space="preserve"> ADDIN EN.CITE &lt;EndNote&gt;&lt;Cite&gt;&lt;Author&gt;Troy&lt;/Author&gt;&lt;Year&gt;2005&lt;/Year&gt;&lt;RecNum&gt;951&lt;/RecNum&gt;&lt;DisplayText&gt;(Troy et al., 2005)&lt;/DisplayText&gt;&lt;record&gt;&lt;rec-number&gt;951&lt;/rec-number&gt;&lt;foreign-keys&gt;&lt;key app="EN" db-id="t55vefr95ws0pgeffdlvtde0tdta909p2zv9"&gt;951&lt;/key&gt;&lt;/foreign-keys&gt;&lt;ref-type name="Book"&gt;6&lt;/ref-type&gt;&lt;contributors&gt;&lt;authors&gt;&lt;author&gt;Troy, Patrick&lt;/author&gt;&lt;author&gt;Holloway, Darren&lt;/author&gt;&lt;author&gt;Randolph, Bill&lt;/author&gt;&lt;/authors&gt;&lt;/contributors&gt;&lt;auth-address&gt;City Future Research Centre&amp;#xD;Faculty of the Built Environment&amp;#xD;University of New South Wales&amp;#xD;Kensington, NSW 2052&lt;/auth-address&gt;&lt;titles&gt;&lt;title&gt;Water Use and the Built Environment: Patterns of Water Consumption in Sydney.&lt;/title&gt;&lt;/titles&gt;&lt;dates&gt;&lt;year&gt;2005&lt;/year&gt;&lt;/dates&gt;&lt;pub-location&gt;Sydney&lt;/pub-location&gt;&lt;publisher&gt;City Futures Research Centre, University of New South Wales&lt;/publisher&gt;&lt;isbn&gt;1 74044 019 6&lt;/isbn&gt;&lt;urls&gt;&lt;/urls&gt;&lt;/record&gt;&lt;/Cite&gt;&lt;/EndNote&gt;</w:instrText>
      </w:r>
      <w:r>
        <w:fldChar w:fldCharType="separate"/>
      </w:r>
      <w:r w:rsidR="00D04510">
        <w:rPr>
          <w:noProof/>
        </w:rPr>
        <w:t>(</w:t>
      </w:r>
      <w:hyperlink w:anchor="_ENREF_23" w:tooltip="Troy, 2005 #951" w:history="1">
        <w:r w:rsidR="00D04510">
          <w:rPr>
            <w:noProof/>
          </w:rPr>
          <w:t>Troy et al., 2005</w:t>
        </w:r>
      </w:hyperlink>
      <w:r w:rsidR="00D04510">
        <w:rPr>
          <w:noProof/>
        </w:rPr>
        <w:t>)</w:t>
      </w:r>
      <w:r>
        <w:fldChar w:fldCharType="end"/>
      </w:r>
      <w:r>
        <w:t xml:space="preserve">. We attribute this saving to the semi-detached and apartment dwelling categories. As such, the future mix of dwelling types has an effect on residential water use. </w:t>
      </w:r>
    </w:p>
    <w:p w14:paraId="1CAF8E4A" w14:textId="320B7686" w:rsidR="0017018E" w:rsidRDefault="0017018E" w:rsidP="0017018E">
      <w:r>
        <w:t xml:space="preserve">The transition to the </w:t>
      </w:r>
      <w:r w:rsidR="00CA0FAD">
        <w:t>S</w:t>
      </w:r>
      <w:r>
        <w:t xml:space="preserve">tep </w:t>
      </w:r>
      <w:r w:rsidR="00CA0FAD">
        <w:t>C</w:t>
      </w:r>
      <w:r>
        <w:t xml:space="preserve">hanges </w:t>
      </w:r>
      <w:r w:rsidRPr="00D64017">
        <w:rPr>
          <w:color w:val="auto"/>
        </w:rPr>
        <w:t xml:space="preserve">shown in </w:t>
      </w:r>
      <w:r w:rsidRPr="00D64017">
        <w:rPr>
          <w:color w:val="auto"/>
        </w:rPr>
        <w:fldChar w:fldCharType="begin"/>
      </w:r>
      <w:r w:rsidRPr="00D64017">
        <w:rPr>
          <w:color w:val="auto"/>
        </w:rPr>
        <w:instrText xml:space="preserve"> REF _Ref359885227 \h </w:instrText>
      </w:r>
      <w:r w:rsidRPr="00D64017">
        <w:rPr>
          <w:color w:val="auto"/>
        </w:rPr>
      </w:r>
      <w:r w:rsidRPr="00D64017">
        <w:rPr>
          <w:color w:val="auto"/>
        </w:rPr>
        <w:fldChar w:fldCharType="separate"/>
      </w:r>
      <w:r w:rsidR="004A26FB" w:rsidRPr="00D64017">
        <w:rPr>
          <w:color w:val="auto"/>
          <w:sz w:val="20"/>
          <w:szCs w:val="18"/>
        </w:rPr>
        <w:t xml:space="preserve">Table </w:t>
      </w:r>
      <w:r w:rsidR="004A26FB" w:rsidRPr="00D64017">
        <w:rPr>
          <w:noProof/>
          <w:color w:val="auto"/>
          <w:sz w:val="20"/>
          <w:szCs w:val="18"/>
        </w:rPr>
        <w:t>8</w:t>
      </w:r>
      <w:r w:rsidRPr="00D64017">
        <w:rPr>
          <w:color w:val="auto"/>
        </w:rPr>
        <w:fldChar w:fldCharType="end"/>
      </w:r>
      <w:r w:rsidRPr="00D64017">
        <w:rPr>
          <w:color w:val="auto"/>
        </w:rPr>
        <w:t xml:space="preserve"> were </w:t>
      </w:r>
      <w:r>
        <w:t xml:space="preserve">simulated using the logistic function (Section </w:t>
      </w:r>
      <w:r>
        <w:fldChar w:fldCharType="begin"/>
      </w:r>
      <w:r>
        <w:instrText xml:space="preserve"> REF _Ref359885256 \n \h </w:instrText>
      </w:r>
      <w:r>
        <w:fldChar w:fldCharType="separate"/>
      </w:r>
      <w:r w:rsidR="004A26FB">
        <w:t>2.3</w:t>
      </w:r>
      <w:r>
        <w:fldChar w:fldCharType="end"/>
      </w:r>
      <w:r>
        <w:t>)</w:t>
      </w:r>
    </w:p>
    <w:p w14:paraId="15F27544" w14:textId="25F50655" w:rsidR="0017018E" w:rsidRPr="00DB5EB8" w:rsidRDefault="0017018E" w:rsidP="0017018E">
      <w:pPr>
        <w:pStyle w:val="Title"/>
        <w:rPr>
          <w:rFonts w:eastAsia="Calibri"/>
          <w:color w:val="00A9CE" w:themeColor="accent1"/>
          <w:kern w:val="0"/>
          <w:sz w:val="20"/>
          <w:szCs w:val="18"/>
          <w:lang w:eastAsia="en-AU"/>
        </w:rPr>
      </w:pPr>
      <w:bookmarkStart w:id="90" w:name="_Ref359885227"/>
      <w:bookmarkStart w:id="91" w:name="_Toc433977525"/>
      <w:bookmarkStart w:id="92" w:name="_Toc359911312"/>
      <w:r w:rsidRPr="00DB5EB8">
        <w:rPr>
          <w:rFonts w:eastAsia="Calibri"/>
          <w:color w:val="00A9CE" w:themeColor="accent1"/>
          <w:kern w:val="0"/>
          <w:sz w:val="20"/>
          <w:szCs w:val="18"/>
          <w:lang w:eastAsia="en-AU"/>
        </w:rPr>
        <w:t xml:space="preserve">Table </w:t>
      </w:r>
      <w:r w:rsidR="00447CD6" w:rsidRPr="00DB5EB8">
        <w:rPr>
          <w:rFonts w:eastAsia="Calibri"/>
          <w:color w:val="00A9CE" w:themeColor="accent1"/>
          <w:kern w:val="0"/>
          <w:sz w:val="20"/>
          <w:szCs w:val="18"/>
          <w:lang w:eastAsia="en-AU"/>
        </w:rPr>
        <w:fldChar w:fldCharType="begin"/>
      </w:r>
      <w:r w:rsidR="00447CD6" w:rsidRPr="00DB5EB8">
        <w:rPr>
          <w:rFonts w:eastAsia="Calibri"/>
          <w:color w:val="00A9CE" w:themeColor="accent1"/>
          <w:kern w:val="0"/>
          <w:sz w:val="20"/>
          <w:szCs w:val="18"/>
          <w:lang w:eastAsia="en-AU"/>
        </w:rPr>
        <w:instrText xml:space="preserve"> SEQ Table \* ARABIC </w:instrText>
      </w:r>
      <w:r w:rsidR="00447CD6" w:rsidRPr="00DB5EB8">
        <w:rPr>
          <w:rFonts w:eastAsia="Calibri"/>
          <w:color w:val="00A9CE" w:themeColor="accent1"/>
          <w:kern w:val="0"/>
          <w:sz w:val="20"/>
          <w:szCs w:val="18"/>
          <w:lang w:eastAsia="en-AU"/>
        </w:rPr>
        <w:fldChar w:fldCharType="separate"/>
      </w:r>
      <w:r w:rsidR="0048332C">
        <w:rPr>
          <w:rFonts w:eastAsia="Calibri"/>
          <w:noProof/>
          <w:color w:val="00A9CE" w:themeColor="accent1"/>
          <w:kern w:val="0"/>
          <w:sz w:val="20"/>
          <w:szCs w:val="18"/>
          <w:lang w:eastAsia="en-AU"/>
        </w:rPr>
        <w:t>8</w:t>
      </w:r>
      <w:r w:rsidR="00447CD6" w:rsidRPr="00DB5EB8">
        <w:rPr>
          <w:rFonts w:eastAsia="Calibri"/>
          <w:color w:val="00A9CE" w:themeColor="accent1"/>
          <w:kern w:val="0"/>
          <w:sz w:val="20"/>
          <w:szCs w:val="18"/>
          <w:lang w:eastAsia="en-AU"/>
        </w:rPr>
        <w:fldChar w:fldCharType="end"/>
      </w:r>
      <w:bookmarkEnd w:id="90"/>
      <w:r w:rsidRPr="00DB5EB8">
        <w:rPr>
          <w:rFonts w:eastAsia="Calibri"/>
          <w:color w:val="00A9CE" w:themeColor="accent1"/>
          <w:kern w:val="0"/>
          <w:sz w:val="20"/>
          <w:szCs w:val="18"/>
          <w:lang w:eastAsia="en-AU"/>
        </w:rPr>
        <w:t>: Percentage improvements in water efficiency (</w:t>
      </w:r>
      <w:r w:rsidRPr="00773C15">
        <w:rPr>
          <w:rFonts w:eastAsia="Calibri"/>
          <w:color w:val="00A9CE" w:themeColor="accent1"/>
          <w:kern w:val="0"/>
          <w:sz w:val="20"/>
          <w:szCs w:val="18"/>
          <w:lang w:eastAsia="en-AU"/>
        </w:rPr>
        <w:t>GL/</w:t>
      </w:r>
      <w:r w:rsidR="00631BB9" w:rsidRPr="00773C15">
        <w:rPr>
          <w:rFonts w:eastAsia="Calibri"/>
          <w:color w:val="00A9CE" w:themeColor="accent1"/>
          <w:kern w:val="0"/>
          <w:sz w:val="20"/>
          <w:szCs w:val="18"/>
          <w:lang w:eastAsia="en-AU"/>
        </w:rPr>
        <w:t>AUD</w:t>
      </w:r>
      <w:r w:rsidRPr="00773C15">
        <w:rPr>
          <w:rFonts w:eastAsia="Calibri"/>
          <w:color w:val="00A9CE" w:themeColor="accent1"/>
          <w:kern w:val="0"/>
          <w:sz w:val="20"/>
          <w:szCs w:val="18"/>
          <w:lang w:eastAsia="en-AU"/>
        </w:rPr>
        <w:t>$</w:t>
      </w:r>
      <w:r w:rsidR="00D64017" w:rsidRPr="00773C15">
        <w:rPr>
          <w:rFonts w:eastAsia="Calibri"/>
          <w:color w:val="00A9CE" w:themeColor="accent1"/>
          <w:kern w:val="0"/>
          <w:sz w:val="20"/>
          <w:szCs w:val="18"/>
          <w:lang w:eastAsia="en-AU"/>
        </w:rPr>
        <w:t xml:space="preserve"> </w:t>
      </w:r>
      <w:r w:rsidR="00631BB9" w:rsidRPr="00773C15">
        <w:rPr>
          <w:rFonts w:eastAsia="Calibri"/>
          <w:color w:val="00A9CE" w:themeColor="accent1"/>
          <w:kern w:val="0"/>
          <w:sz w:val="20"/>
          <w:szCs w:val="18"/>
          <w:lang w:eastAsia="en-AU"/>
        </w:rPr>
        <w:t>B</w:t>
      </w:r>
      <w:r w:rsidRPr="00773C15">
        <w:rPr>
          <w:rFonts w:eastAsia="Calibri"/>
          <w:color w:val="00A9CE" w:themeColor="accent1"/>
          <w:kern w:val="0"/>
          <w:sz w:val="20"/>
          <w:szCs w:val="18"/>
          <w:lang w:eastAsia="en-AU"/>
        </w:rPr>
        <w:t>illion value</w:t>
      </w:r>
      <w:r w:rsidRPr="00DB5EB8">
        <w:rPr>
          <w:rFonts w:eastAsia="Calibri"/>
          <w:color w:val="00A9CE" w:themeColor="accent1"/>
          <w:kern w:val="0"/>
          <w:sz w:val="20"/>
          <w:szCs w:val="18"/>
          <w:lang w:eastAsia="en-AU"/>
        </w:rPr>
        <w:t xml:space="preserve"> add) expected by 2050.</w:t>
      </w:r>
      <w:bookmarkEnd w:id="91"/>
      <w:r w:rsidRPr="00DB5EB8">
        <w:rPr>
          <w:rFonts w:eastAsia="Calibri"/>
          <w:color w:val="00A9CE" w:themeColor="accent1"/>
          <w:kern w:val="0"/>
          <w:sz w:val="20"/>
          <w:szCs w:val="18"/>
          <w:lang w:eastAsia="en-AU"/>
        </w:rPr>
        <w:t xml:space="preserve"> </w:t>
      </w:r>
      <w:bookmarkEnd w:id="92"/>
    </w:p>
    <w:tbl>
      <w:tblPr>
        <w:tblW w:w="0" w:type="auto"/>
        <w:tblLayout w:type="fixed"/>
        <w:tblLook w:val="04A0" w:firstRow="1" w:lastRow="0" w:firstColumn="1" w:lastColumn="0" w:noHBand="0" w:noVBand="1"/>
        <w:tblCaption w:val="Percentage improvements in water efficiency (GL/$billion value add) expected by 2050"/>
        <w:tblDescription w:val="Table eight provides two thousand and fifty projected water intensity decrease for step change information for nine industry sectors, mining, manufacturing, construction, transport, commercial and services, residential, water supply and waste services, electricity generation and gas supply. Step change data is provided as percentages. Step change is provided as percentages, except for electricity generation which is noted to be dependent on technology output from the energy sector model."/>
      </w:tblPr>
      <w:tblGrid>
        <w:gridCol w:w="4981"/>
        <w:gridCol w:w="2126"/>
      </w:tblGrid>
      <w:tr w:rsidR="00C10B42" w:rsidRPr="00C10B42" w14:paraId="22C4B5C2" w14:textId="77777777" w:rsidTr="00D64017">
        <w:trPr>
          <w:trHeight w:val="300"/>
        </w:trPr>
        <w:tc>
          <w:tcPr>
            <w:tcW w:w="4981" w:type="dxa"/>
            <w:shd w:val="clear" w:color="auto" w:fill="000000" w:themeFill="text1"/>
            <w:noWrap/>
            <w:vAlign w:val="center"/>
            <w:hideMark/>
          </w:tcPr>
          <w:p w14:paraId="61A7889A" w14:textId="77777777" w:rsidR="0017018E" w:rsidRPr="00C10B42" w:rsidRDefault="0017018E" w:rsidP="00D64017">
            <w:pPr>
              <w:pStyle w:val="ColumnHeading"/>
              <w:spacing w:before="120" w:after="60"/>
            </w:pPr>
            <w:r w:rsidRPr="00C10B42">
              <w:t>2050 Projected Water Intensity Decrease for Step Change</w:t>
            </w:r>
          </w:p>
        </w:tc>
        <w:tc>
          <w:tcPr>
            <w:tcW w:w="2126" w:type="dxa"/>
            <w:shd w:val="clear" w:color="auto" w:fill="000000" w:themeFill="text1"/>
            <w:noWrap/>
            <w:vAlign w:val="center"/>
            <w:hideMark/>
          </w:tcPr>
          <w:p w14:paraId="733065F7" w14:textId="77777777" w:rsidR="0017018E" w:rsidRPr="00D64017" w:rsidRDefault="0017018E" w:rsidP="00D64017">
            <w:pPr>
              <w:pStyle w:val="ColumnHeading"/>
              <w:spacing w:before="120" w:after="60"/>
              <w:jc w:val="center"/>
              <w:rPr>
                <w:b w:val="0"/>
              </w:rPr>
            </w:pPr>
            <w:r w:rsidRPr="00D64017">
              <w:t>Step Change %</w:t>
            </w:r>
          </w:p>
        </w:tc>
      </w:tr>
      <w:tr w:rsidR="0017018E" w:rsidRPr="00D22554" w14:paraId="0730C26F" w14:textId="77777777" w:rsidTr="00D64017">
        <w:trPr>
          <w:trHeight w:val="300"/>
        </w:trPr>
        <w:tc>
          <w:tcPr>
            <w:tcW w:w="4981" w:type="dxa"/>
            <w:shd w:val="clear" w:color="auto" w:fill="EDEDED"/>
            <w:noWrap/>
            <w:vAlign w:val="bottom"/>
            <w:hideMark/>
          </w:tcPr>
          <w:p w14:paraId="6F7DA539" w14:textId="77777777" w:rsidR="0017018E" w:rsidRPr="00F02EF9" w:rsidRDefault="0017018E" w:rsidP="00D64017">
            <w:pPr>
              <w:pStyle w:val="TableText"/>
              <w:rPr>
                <w:rFonts w:eastAsia="Times New Roman"/>
                <w:bCs/>
              </w:rPr>
            </w:pPr>
            <w:r w:rsidRPr="00F02EF9">
              <w:rPr>
                <w:rFonts w:eastAsia="Times New Roman"/>
                <w:bCs/>
              </w:rPr>
              <w:t>Mining</w:t>
            </w:r>
          </w:p>
        </w:tc>
        <w:tc>
          <w:tcPr>
            <w:tcW w:w="2126" w:type="dxa"/>
            <w:shd w:val="clear" w:color="auto" w:fill="EDEDED"/>
            <w:noWrap/>
            <w:vAlign w:val="bottom"/>
            <w:hideMark/>
          </w:tcPr>
          <w:p w14:paraId="42385C11" w14:textId="77777777" w:rsidR="0017018E" w:rsidRPr="00D22554" w:rsidRDefault="0017018E" w:rsidP="00D64017">
            <w:pPr>
              <w:pStyle w:val="TableText"/>
              <w:jc w:val="center"/>
              <w:rPr>
                <w:rFonts w:eastAsia="Times New Roman"/>
              </w:rPr>
            </w:pPr>
            <w:r>
              <w:rPr>
                <w:rFonts w:eastAsia="Times New Roman"/>
              </w:rPr>
              <w:t>5%</w:t>
            </w:r>
          </w:p>
        </w:tc>
      </w:tr>
      <w:tr w:rsidR="0017018E" w:rsidRPr="00D22554" w14:paraId="397F4B94" w14:textId="77777777" w:rsidTr="00D64017">
        <w:trPr>
          <w:trHeight w:val="300"/>
        </w:trPr>
        <w:tc>
          <w:tcPr>
            <w:tcW w:w="4981" w:type="dxa"/>
            <w:shd w:val="clear" w:color="auto" w:fill="auto"/>
            <w:noWrap/>
            <w:vAlign w:val="bottom"/>
            <w:hideMark/>
          </w:tcPr>
          <w:p w14:paraId="749FD006" w14:textId="77777777" w:rsidR="0017018E" w:rsidRPr="00F02EF9" w:rsidRDefault="0017018E" w:rsidP="00D64017">
            <w:pPr>
              <w:pStyle w:val="TableText"/>
              <w:rPr>
                <w:rFonts w:eastAsia="Times New Roman"/>
                <w:bCs/>
              </w:rPr>
            </w:pPr>
            <w:r w:rsidRPr="00F02EF9">
              <w:rPr>
                <w:rFonts w:eastAsia="Times New Roman"/>
                <w:bCs/>
              </w:rPr>
              <w:t>Manufacturing</w:t>
            </w:r>
          </w:p>
        </w:tc>
        <w:tc>
          <w:tcPr>
            <w:tcW w:w="2126" w:type="dxa"/>
            <w:shd w:val="clear" w:color="auto" w:fill="auto"/>
            <w:noWrap/>
            <w:vAlign w:val="bottom"/>
            <w:hideMark/>
          </w:tcPr>
          <w:p w14:paraId="31FC5CC2" w14:textId="77777777" w:rsidR="0017018E" w:rsidRPr="00D22554" w:rsidRDefault="0017018E" w:rsidP="00D64017">
            <w:pPr>
              <w:pStyle w:val="TableText"/>
              <w:jc w:val="center"/>
              <w:rPr>
                <w:rFonts w:eastAsia="Times New Roman"/>
              </w:rPr>
            </w:pPr>
            <w:r>
              <w:rPr>
                <w:rFonts w:eastAsia="Times New Roman"/>
              </w:rPr>
              <w:t>37</w:t>
            </w:r>
            <w:r w:rsidRPr="00D22554">
              <w:rPr>
                <w:rFonts w:eastAsia="Times New Roman"/>
              </w:rPr>
              <w:t>%</w:t>
            </w:r>
          </w:p>
        </w:tc>
      </w:tr>
      <w:tr w:rsidR="0017018E" w:rsidRPr="00D22554" w14:paraId="58BEFAB6" w14:textId="77777777" w:rsidTr="00D64017">
        <w:trPr>
          <w:trHeight w:val="300"/>
        </w:trPr>
        <w:tc>
          <w:tcPr>
            <w:tcW w:w="4981" w:type="dxa"/>
            <w:shd w:val="clear" w:color="auto" w:fill="EDEDED"/>
            <w:noWrap/>
            <w:vAlign w:val="bottom"/>
            <w:hideMark/>
          </w:tcPr>
          <w:p w14:paraId="63834315" w14:textId="77777777" w:rsidR="0017018E" w:rsidRPr="00F02EF9" w:rsidRDefault="0017018E" w:rsidP="00D64017">
            <w:pPr>
              <w:pStyle w:val="TableText"/>
              <w:rPr>
                <w:rFonts w:eastAsia="Times New Roman"/>
                <w:bCs/>
              </w:rPr>
            </w:pPr>
            <w:r w:rsidRPr="00F02EF9">
              <w:rPr>
                <w:rFonts w:eastAsia="Times New Roman"/>
                <w:bCs/>
              </w:rPr>
              <w:t>Construction</w:t>
            </w:r>
          </w:p>
        </w:tc>
        <w:tc>
          <w:tcPr>
            <w:tcW w:w="2126" w:type="dxa"/>
            <w:shd w:val="clear" w:color="auto" w:fill="EDEDED"/>
            <w:noWrap/>
            <w:vAlign w:val="bottom"/>
            <w:hideMark/>
          </w:tcPr>
          <w:p w14:paraId="3DB1600F" w14:textId="77777777" w:rsidR="0017018E" w:rsidRPr="00D22554" w:rsidRDefault="0017018E" w:rsidP="00D64017">
            <w:pPr>
              <w:pStyle w:val="TableText"/>
              <w:jc w:val="center"/>
              <w:rPr>
                <w:rFonts w:eastAsia="Times New Roman"/>
              </w:rPr>
            </w:pPr>
            <w:r>
              <w:rPr>
                <w:rFonts w:eastAsia="Times New Roman"/>
              </w:rPr>
              <w:t>0%</w:t>
            </w:r>
          </w:p>
        </w:tc>
      </w:tr>
      <w:tr w:rsidR="0017018E" w:rsidRPr="00D22554" w14:paraId="7351DDE5" w14:textId="77777777" w:rsidTr="00D64017">
        <w:trPr>
          <w:trHeight w:val="300"/>
        </w:trPr>
        <w:tc>
          <w:tcPr>
            <w:tcW w:w="4981" w:type="dxa"/>
            <w:shd w:val="clear" w:color="auto" w:fill="auto"/>
            <w:noWrap/>
            <w:vAlign w:val="bottom"/>
            <w:hideMark/>
          </w:tcPr>
          <w:p w14:paraId="31A4FB19" w14:textId="77777777" w:rsidR="0017018E" w:rsidRPr="00F02EF9" w:rsidRDefault="0017018E" w:rsidP="00D64017">
            <w:pPr>
              <w:pStyle w:val="TableText"/>
              <w:rPr>
                <w:rFonts w:eastAsia="Times New Roman"/>
                <w:bCs/>
              </w:rPr>
            </w:pPr>
            <w:r w:rsidRPr="00F02EF9">
              <w:rPr>
                <w:rFonts w:eastAsia="Times New Roman"/>
                <w:bCs/>
              </w:rPr>
              <w:t>Transport</w:t>
            </w:r>
          </w:p>
        </w:tc>
        <w:tc>
          <w:tcPr>
            <w:tcW w:w="2126" w:type="dxa"/>
            <w:shd w:val="clear" w:color="auto" w:fill="auto"/>
            <w:noWrap/>
            <w:vAlign w:val="bottom"/>
            <w:hideMark/>
          </w:tcPr>
          <w:p w14:paraId="2141C5E6" w14:textId="77777777" w:rsidR="0017018E" w:rsidRPr="00D22554" w:rsidRDefault="0017018E" w:rsidP="00D64017">
            <w:pPr>
              <w:pStyle w:val="TableText"/>
              <w:jc w:val="center"/>
              <w:rPr>
                <w:rFonts w:eastAsia="Times New Roman"/>
              </w:rPr>
            </w:pPr>
            <w:r>
              <w:rPr>
                <w:rFonts w:eastAsia="Times New Roman"/>
              </w:rPr>
              <w:t>0%</w:t>
            </w:r>
          </w:p>
        </w:tc>
      </w:tr>
      <w:tr w:rsidR="0017018E" w:rsidRPr="00D22554" w14:paraId="1F078327" w14:textId="77777777" w:rsidTr="00D64017">
        <w:trPr>
          <w:trHeight w:val="300"/>
        </w:trPr>
        <w:tc>
          <w:tcPr>
            <w:tcW w:w="4981" w:type="dxa"/>
            <w:shd w:val="clear" w:color="auto" w:fill="EDEDED"/>
            <w:noWrap/>
            <w:vAlign w:val="bottom"/>
            <w:hideMark/>
          </w:tcPr>
          <w:p w14:paraId="26BA9620" w14:textId="5B0427CC" w:rsidR="0017018E" w:rsidRPr="00F02EF9" w:rsidRDefault="0017018E" w:rsidP="00D66E56">
            <w:pPr>
              <w:pStyle w:val="TableText"/>
              <w:rPr>
                <w:rFonts w:eastAsia="Times New Roman"/>
                <w:bCs/>
              </w:rPr>
            </w:pPr>
            <w:r w:rsidRPr="00F02EF9">
              <w:rPr>
                <w:rFonts w:eastAsia="Times New Roman"/>
                <w:bCs/>
              </w:rPr>
              <w:t xml:space="preserve">Commercial and </w:t>
            </w:r>
            <w:r w:rsidR="00D66E56">
              <w:rPr>
                <w:rFonts w:eastAsia="Times New Roman"/>
                <w:bCs/>
              </w:rPr>
              <w:t>s</w:t>
            </w:r>
            <w:r w:rsidRPr="00F02EF9">
              <w:rPr>
                <w:rFonts w:eastAsia="Times New Roman"/>
                <w:bCs/>
              </w:rPr>
              <w:t>ervices</w:t>
            </w:r>
          </w:p>
        </w:tc>
        <w:tc>
          <w:tcPr>
            <w:tcW w:w="2126" w:type="dxa"/>
            <w:shd w:val="clear" w:color="auto" w:fill="EDEDED"/>
            <w:noWrap/>
            <w:vAlign w:val="bottom"/>
            <w:hideMark/>
          </w:tcPr>
          <w:p w14:paraId="5F1E0DE2" w14:textId="77777777" w:rsidR="0017018E" w:rsidRPr="00D22554" w:rsidRDefault="0017018E" w:rsidP="00D64017">
            <w:pPr>
              <w:pStyle w:val="TableText"/>
              <w:jc w:val="center"/>
              <w:rPr>
                <w:rFonts w:eastAsia="Times New Roman"/>
              </w:rPr>
            </w:pPr>
            <w:r>
              <w:rPr>
                <w:rFonts w:eastAsia="Times New Roman"/>
              </w:rPr>
              <w:t>8</w:t>
            </w:r>
            <w:r w:rsidRPr="00D22554">
              <w:rPr>
                <w:rFonts w:eastAsia="Times New Roman"/>
              </w:rPr>
              <w:t>5%</w:t>
            </w:r>
          </w:p>
        </w:tc>
      </w:tr>
      <w:tr w:rsidR="0017018E" w:rsidRPr="00D22554" w14:paraId="45A1D994" w14:textId="77777777" w:rsidTr="00D64017">
        <w:trPr>
          <w:trHeight w:val="300"/>
        </w:trPr>
        <w:tc>
          <w:tcPr>
            <w:tcW w:w="4981" w:type="dxa"/>
            <w:shd w:val="clear" w:color="auto" w:fill="auto"/>
            <w:noWrap/>
            <w:vAlign w:val="bottom"/>
            <w:hideMark/>
          </w:tcPr>
          <w:p w14:paraId="7E3F1FCB" w14:textId="77777777" w:rsidR="0017018E" w:rsidRPr="00F02EF9" w:rsidRDefault="0017018E" w:rsidP="00D64017">
            <w:pPr>
              <w:pStyle w:val="TableText"/>
              <w:rPr>
                <w:rFonts w:eastAsia="Times New Roman"/>
                <w:bCs/>
              </w:rPr>
            </w:pPr>
            <w:r w:rsidRPr="00F02EF9">
              <w:rPr>
                <w:rFonts w:eastAsia="Times New Roman"/>
                <w:bCs/>
              </w:rPr>
              <w:t>Residential</w:t>
            </w:r>
          </w:p>
        </w:tc>
        <w:tc>
          <w:tcPr>
            <w:tcW w:w="2126" w:type="dxa"/>
            <w:shd w:val="clear" w:color="auto" w:fill="auto"/>
            <w:noWrap/>
            <w:vAlign w:val="bottom"/>
            <w:hideMark/>
          </w:tcPr>
          <w:p w14:paraId="56B3AA87" w14:textId="77777777" w:rsidR="0017018E" w:rsidRPr="00D22554" w:rsidRDefault="0017018E" w:rsidP="00D64017">
            <w:pPr>
              <w:pStyle w:val="TableText"/>
              <w:jc w:val="center"/>
              <w:rPr>
                <w:rFonts w:eastAsia="Times New Roman"/>
              </w:rPr>
            </w:pPr>
            <w:r>
              <w:rPr>
                <w:rFonts w:eastAsia="Times New Roman"/>
              </w:rPr>
              <w:t>50</w:t>
            </w:r>
            <w:r w:rsidRPr="00D22554">
              <w:rPr>
                <w:rFonts w:eastAsia="Times New Roman"/>
              </w:rPr>
              <w:t>%</w:t>
            </w:r>
          </w:p>
        </w:tc>
      </w:tr>
      <w:tr w:rsidR="0017018E" w:rsidRPr="00D22554" w14:paraId="4D384563" w14:textId="77777777" w:rsidTr="00D64017">
        <w:trPr>
          <w:trHeight w:val="300"/>
        </w:trPr>
        <w:tc>
          <w:tcPr>
            <w:tcW w:w="4981" w:type="dxa"/>
            <w:shd w:val="clear" w:color="auto" w:fill="EDEDED"/>
            <w:noWrap/>
            <w:vAlign w:val="bottom"/>
            <w:hideMark/>
          </w:tcPr>
          <w:p w14:paraId="6D24E91E" w14:textId="77777777" w:rsidR="0017018E" w:rsidRPr="00F02EF9" w:rsidRDefault="0017018E" w:rsidP="00D64017">
            <w:pPr>
              <w:pStyle w:val="TableText"/>
              <w:rPr>
                <w:rFonts w:eastAsia="Times New Roman"/>
                <w:bCs/>
              </w:rPr>
            </w:pPr>
            <w:r w:rsidRPr="00F02EF9">
              <w:rPr>
                <w:rFonts w:eastAsia="Times New Roman"/>
                <w:bCs/>
              </w:rPr>
              <w:t>Water supply and waste services</w:t>
            </w:r>
          </w:p>
        </w:tc>
        <w:tc>
          <w:tcPr>
            <w:tcW w:w="2126" w:type="dxa"/>
            <w:shd w:val="clear" w:color="auto" w:fill="EDEDED"/>
            <w:noWrap/>
            <w:vAlign w:val="bottom"/>
            <w:hideMark/>
          </w:tcPr>
          <w:p w14:paraId="3C100262" w14:textId="77777777" w:rsidR="0017018E" w:rsidRPr="00D22554" w:rsidRDefault="0017018E" w:rsidP="00D64017">
            <w:pPr>
              <w:pStyle w:val="TableText"/>
              <w:jc w:val="center"/>
              <w:rPr>
                <w:rFonts w:eastAsia="Times New Roman"/>
              </w:rPr>
            </w:pPr>
            <w:r>
              <w:rPr>
                <w:rFonts w:eastAsia="Times New Roman"/>
              </w:rPr>
              <w:t>5</w:t>
            </w:r>
            <w:r w:rsidRPr="00D22554">
              <w:rPr>
                <w:rFonts w:eastAsia="Times New Roman"/>
              </w:rPr>
              <w:t>0%</w:t>
            </w:r>
            <w:r>
              <w:rPr>
                <w:rFonts w:eastAsia="Times New Roman"/>
              </w:rPr>
              <w:t>*</w:t>
            </w:r>
          </w:p>
        </w:tc>
      </w:tr>
      <w:tr w:rsidR="0017018E" w:rsidRPr="00D22554" w14:paraId="04D9FA16" w14:textId="77777777" w:rsidTr="00D64017">
        <w:trPr>
          <w:trHeight w:val="300"/>
        </w:trPr>
        <w:tc>
          <w:tcPr>
            <w:tcW w:w="4981" w:type="dxa"/>
            <w:shd w:val="clear" w:color="auto" w:fill="auto"/>
            <w:noWrap/>
            <w:vAlign w:val="bottom"/>
            <w:hideMark/>
          </w:tcPr>
          <w:p w14:paraId="02CAD45D" w14:textId="77777777" w:rsidR="0017018E" w:rsidRPr="00F02EF9" w:rsidRDefault="0017018E" w:rsidP="00D64017">
            <w:pPr>
              <w:pStyle w:val="TableText"/>
              <w:rPr>
                <w:rFonts w:eastAsia="Times New Roman"/>
                <w:bCs/>
              </w:rPr>
            </w:pPr>
            <w:r w:rsidRPr="00F02EF9">
              <w:rPr>
                <w:rFonts w:eastAsia="Times New Roman"/>
                <w:bCs/>
              </w:rPr>
              <w:t>Electricity generation</w:t>
            </w:r>
          </w:p>
        </w:tc>
        <w:tc>
          <w:tcPr>
            <w:tcW w:w="2126" w:type="dxa"/>
            <w:shd w:val="clear" w:color="auto" w:fill="auto"/>
            <w:noWrap/>
            <w:vAlign w:val="bottom"/>
            <w:hideMark/>
          </w:tcPr>
          <w:p w14:paraId="3A41AEC1" w14:textId="0D31425C" w:rsidR="0017018E" w:rsidRPr="00D22554" w:rsidRDefault="001C2CC5" w:rsidP="00D64017">
            <w:pPr>
              <w:pStyle w:val="TableText"/>
              <w:jc w:val="center"/>
              <w:rPr>
                <w:rFonts w:eastAsia="Times New Roman"/>
              </w:rPr>
            </w:pPr>
            <w:r>
              <w:rPr>
                <w:rFonts w:eastAsia="Times New Roman"/>
              </w:rPr>
              <w:t>Depends on technology</w:t>
            </w:r>
            <w:r w:rsidR="00C10B42">
              <w:rPr>
                <w:rFonts w:eastAsia="Times New Roman"/>
              </w:rPr>
              <w:br/>
            </w:r>
            <w:r w:rsidR="0017018E">
              <w:rPr>
                <w:rFonts w:eastAsia="Times New Roman"/>
              </w:rPr>
              <w:t>output from ESM</w:t>
            </w:r>
          </w:p>
        </w:tc>
      </w:tr>
      <w:tr w:rsidR="0017018E" w:rsidRPr="00D22554" w14:paraId="415EEEBB" w14:textId="77777777" w:rsidTr="00D64017">
        <w:trPr>
          <w:trHeight w:val="300"/>
        </w:trPr>
        <w:tc>
          <w:tcPr>
            <w:tcW w:w="4981" w:type="dxa"/>
            <w:tcBorders>
              <w:bottom w:val="single" w:sz="4" w:space="0" w:color="auto"/>
            </w:tcBorders>
            <w:shd w:val="clear" w:color="auto" w:fill="EDEDED"/>
            <w:noWrap/>
            <w:vAlign w:val="bottom"/>
            <w:hideMark/>
          </w:tcPr>
          <w:p w14:paraId="395BCB8D" w14:textId="77777777" w:rsidR="0017018E" w:rsidRPr="00F02EF9" w:rsidRDefault="0017018E" w:rsidP="00D64017">
            <w:pPr>
              <w:pStyle w:val="TableText"/>
              <w:rPr>
                <w:rFonts w:eastAsia="Times New Roman"/>
                <w:bCs/>
              </w:rPr>
            </w:pPr>
            <w:r w:rsidRPr="00F02EF9">
              <w:rPr>
                <w:rFonts w:eastAsia="Times New Roman"/>
                <w:bCs/>
              </w:rPr>
              <w:t>Gas supply</w:t>
            </w:r>
          </w:p>
        </w:tc>
        <w:tc>
          <w:tcPr>
            <w:tcW w:w="2126" w:type="dxa"/>
            <w:tcBorders>
              <w:bottom w:val="single" w:sz="4" w:space="0" w:color="auto"/>
            </w:tcBorders>
            <w:shd w:val="clear" w:color="auto" w:fill="EDEDED"/>
            <w:noWrap/>
            <w:vAlign w:val="bottom"/>
            <w:hideMark/>
          </w:tcPr>
          <w:p w14:paraId="119CA47C" w14:textId="77777777" w:rsidR="0017018E" w:rsidRPr="00D22554" w:rsidRDefault="0017018E" w:rsidP="00D64017">
            <w:pPr>
              <w:pStyle w:val="TableText"/>
              <w:jc w:val="center"/>
              <w:rPr>
                <w:rFonts w:eastAsia="Times New Roman"/>
              </w:rPr>
            </w:pPr>
            <w:r>
              <w:rPr>
                <w:rFonts w:eastAsia="Times New Roman"/>
              </w:rPr>
              <w:t>5%</w:t>
            </w:r>
          </w:p>
        </w:tc>
      </w:tr>
    </w:tbl>
    <w:p w14:paraId="388AA9BA" w14:textId="77777777" w:rsidR="00D15A5D" w:rsidRPr="00DB5EB8" w:rsidRDefault="00D15A5D" w:rsidP="00D15A5D">
      <w:pPr>
        <w:pStyle w:val="Source"/>
        <w:tabs>
          <w:tab w:val="clear" w:pos="539"/>
        </w:tabs>
        <w:ind w:left="0" w:firstLine="0"/>
      </w:pPr>
      <w:r w:rsidRPr="00DB5EB8">
        <w:t>*Note the ambitious 50% improvement in water efficiency for the Water supply and waste services sector rests on the assumption that the difference between water extracted and mains water supplied is reduced by 50%.This takes into account recent water efficiency improvements during the last drought</w:t>
      </w:r>
      <w:r>
        <w:t xml:space="preserve"> (2006–2010)</w:t>
      </w:r>
      <w:r w:rsidRPr="00DB5EB8">
        <w:t xml:space="preserve"> and does not assume the elimination of evaporative losses.</w:t>
      </w:r>
    </w:p>
    <w:p w14:paraId="787BCEC6" w14:textId="40B86EA7" w:rsidR="002A1014" w:rsidRDefault="002A1014" w:rsidP="0017018E">
      <w:r>
        <w:br/>
      </w:r>
    </w:p>
    <w:p w14:paraId="04EF2385" w14:textId="373261B3" w:rsidR="0017018E" w:rsidRDefault="00C10B42" w:rsidP="00773C15">
      <w:r>
        <w:br/>
      </w:r>
      <w:r w:rsidR="002A1014">
        <w:rPr>
          <w:noProof/>
        </w:rPr>
        <w:drawing>
          <wp:inline distT="0" distB="0" distL="0" distR="0" wp14:anchorId="1FF4A207" wp14:editId="29ABDB70">
            <wp:extent cx="5349240" cy="3095321"/>
            <wp:effectExtent l="0" t="0" r="3810" b="0"/>
            <wp:docPr id="33" name="Picture 33" descr="Figure eight is a line graph. The Y axis data points range from zero rising in increments of one to ten representing water intensity under step change in gigalitres per billion dollar value add. Data points on the X axis appear in increments of ten years from nineteen nighty to two thousand and fifty. The graph applies a coloured legend to seven aggregate sectors of the Australian economy, mining, manufacturing, construction, transport, commercial and services, electricity generation, and gas supply. Trends show water intensity for all sectors from around nineteen ninety-four, manufacturing moving down from eight to between five and six around two thousand and five to two thousand and ten rising slightly in a curve to around two thousand and twenty-five before moving down to sit below four from around two thousand and thirty-seven then remaining constant. Mining moves from eight downward to four where it stays mostly constant. All other sectors sit within the zero to two Y axis data points range." title="Industrial water intensity under Step Chan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igure 8 Industrial water intensity under Step Change.png"/>
                    <pic:cNvPicPr/>
                  </pic:nvPicPr>
                  <pic:blipFill>
                    <a:blip r:embed="rId18">
                      <a:extLst>
                        <a:ext uri="{28A0092B-C50C-407E-A947-70E740481C1C}">
                          <a14:useLocalDpi xmlns:a14="http://schemas.microsoft.com/office/drawing/2010/main" val="0"/>
                        </a:ext>
                      </a:extLst>
                    </a:blip>
                    <a:stretch>
                      <a:fillRect/>
                    </a:stretch>
                  </pic:blipFill>
                  <pic:spPr>
                    <a:xfrm>
                      <a:off x="0" y="0"/>
                      <a:ext cx="5357028" cy="3099827"/>
                    </a:xfrm>
                    <a:prstGeom prst="rect">
                      <a:avLst/>
                    </a:prstGeom>
                  </pic:spPr>
                </pic:pic>
              </a:graphicData>
            </a:graphic>
          </wp:inline>
        </w:drawing>
      </w:r>
    </w:p>
    <w:p w14:paraId="7F309D5A" w14:textId="77777777" w:rsidR="00D17E87" w:rsidRDefault="00DE705D" w:rsidP="00DE705D">
      <w:pPr>
        <w:pStyle w:val="Title"/>
        <w:rPr>
          <w:rFonts w:eastAsia="Calibri"/>
          <w:color w:val="00A9CE" w:themeColor="accent1"/>
          <w:kern w:val="0"/>
          <w:sz w:val="20"/>
          <w:szCs w:val="18"/>
          <w:lang w:eastAsia="en-AU"/>
        </w:rPr>
      </w:pPr>
      <w:bookmarkStart w:id="93" w:name="_Toc433972613"/>
      <w:bookmarkStart w:id="94" w:name="_Toc359885786"/>
      <w:r w:rsidRPr="00DB5EB8">
        <w:rPr>
          <w:rFonts w:eastAsia="Calibri"/>
          <w:color w:val="00A9CE" w:themeColor="accent1"/>
          <w:kern w:val="0"/>
          <w:sz w:val="20"/>
          <w:szCs w:val="18"/>
          <w:lang w:eastAsia="en-AU"/>
        </w:rPr>
        <w:t xml:space="preserve">Figure </w:t>
      </w:r>
      <w:r w:rsidR="00447CD6" w:rsidRPr="00DB5EB8">
        <w:rPr>
          <w:rFonts w:eastAsia="Calibri"/>
          <w:color w:val="00A9CE" w:themeColor="accent1"/>
          <w:kern w:val="0"/>
          <w:sz w:val="20"/>
          <w:szCs w:val="18"/>
          <w:lang w:eastAsia="en-AU"/>
        </w:rPr>
        <w:fldChar w:fldCharType="begin"/>
      </w:r>
      <w:r w:rsidR="00447CD6" w:rsidRPr="00DB5EB8">
        <w:rPr>
          <w:rFonts w:eastAsia="Calibri"/>
          <w:color w:val="00A9CE" w:themeColor="accent1"/>
          <w:kern w:val="0"/>
          <w:sz w:val="20"/>
          <w:szCs w:val="18"/>
          <w:lang w:eastAsia="en-AU"/>
        </w:rPr>
        <w:instrText xml:space="preserve"> SEQ Figure \* ARABIC </w:instrText>
      </w:r>
      <w:r w:rsidR="00447CD6" w:rsidRPr="00DB5EB8">
        <w:rPr>
          <w:rFonts w:eastAsia="Calibri"/>
          <w:color w:val="00A9CE" w:themeColor="accent1"/>
          <w:kern w:val="0"/>
          <w:sz w:val="20"/>
          <w:szCs w:val="18"/>
          <w:lang w:eastAsia="en-AU"/>
        </w:rPr>
        <w:fldChar w:fldCharType="separate"/>
      </w:r>
      <w:r w:rsidR="00165FBD">
        <w:rPr>
          <w:rFonts w:eastAsia="Calibri"/>
          <w:noProof/>
          <w:color w:val="00A9CE" w:themeColor="accent1"/>
          <w:kern w:val="0"/>
          <w:sz w:val="20"/>
          <w:szCs w:val="18"/>
          <w:lang w:eastAsia="en-AU"/>
        </w:rPr>
        <w:t>8</w:t>
      </w:r>
      <w:r w:rsidR="00447CD6" w:rsidRPr="00DB5EB8">
        <w:rPr>
          <w:rFonts w:eastAsia="Calibri"/>
          <w:color w:val="00A9CE" w:themeColor="accent1"/>
          <w:kern w:val="0"/>
          <w:sz w:val="20"/>
          <w:szCs w:val="18"/>
          <w:lang w:eastAsia="en-AU"/>
        </w:rPr>
        <w:fldChar w:fldCharType="end"/>
      </w:r>
      <w:r w:rsidRPr="00DB5EB8">
        <w:rPr>
          <w:rFonts w:eastAsia="Calibri"/>
          <w:color w:val="00A9CE" w:themeColor="accent1"/>
          <w:kern w:val="0"/>
          <w:sz w:val="20"/>
          <w:szCs w:val="18"/>
          <w:lang w:eastAsia="en-AU"/>
        </w:rPr>
        <w:t>: Industrial water intensity under Step Change.</w:t>
      </w:r>
      <w:bookmarkEnd w:id="93"/>
      <w:r w:rsidRPr="00DB5EB8">
        <w:rPr>
          <w:rFonts w:eastAsia="Calibri"/>
          <w:color w:val="00A9CE" w:themeColor="accent1"/>
          <w:kern w:val="0"/>
          <w:sz w:val="20"/>
          <w:szCs w:val="18"/>
          <w:lang w:eastAsia="en-AU"/>
        </w:rPr>
        <w:t xml:space="preserve"> </w:t>
      </w:r>
    </w:p>
    <w:p w14:paraId="57ECB0C3" w14:textId="7C0DC277" w:rsidR="00DE705D" w:rsidRDefault="00D17E87" w:rsidP="00D17E87">
      <w:pPr>
        <w:pStyle w:val="Source"/>
      </w:pPr>
      <w:r>
        <w:t xml:space="preserve">NOTE: </w:t>
      </w:r>
      <w:r w:rsidR="00DE705D" w:rsidRPr="00DB5EB8">
        <w:t>Water intensity for the Water supply and waste services sector is an order of magnitude greater than other results and is not shown.</w:t>
      </w:r>
      <w:bookmarkEnd w:id="94"/>
    </w:p>
    <w:p w14:paraId="16A37969" w14:textId="77777777" w:rsidR="005758A8" w:rsidRPr="005758A8" w:rsidRDefault="005758A8" w:rsidP="005758A8"/>
    <w:p w14:paraId="40A8D475" w14:textId="77777777" w:rsidR="00D12D0A" w:rsidRPr="00D12D0A" w:rsidRDefault="00D12D0A" w:rsidP="00D12D0A"/>
    <w:p w14:paraId="6D78308D" w14:textId="77777777" w:rsidR="00980217" w:rsidRDefault="00980217" w:rsidP="006D07FA">
      <w:pPr>
        <w:pStyle w:val="Heading1"/>
        <w:numPr>
          <w:ilvl w:val="0"/>
          <w:numId w:val="13"/>
        </w:numPr>
        <w:tabs>
          <w:tab w:val="clear" w:pos="1134"/>
          <w:tab w:val="left" w:pos="851"/>
        </w:tabs>
        <w:spacing w:after="1080"/>
        <w:rPr>
          <w:color w:val="00A9CE" w:themeColor="accent1"/>
        </w:rPr>
        <w:sectPr w:rsidR="00980217" w:rsidSect="007476AA">
          <w:footerReference w:type="even" r:id="rId19"/>
          <w:footerReference w:type="default" r:id="rId20"/>
          <w:pgSz w:w="11906" w:h="16838" w:code="9"/>
          <w:pgMar w:top="851" w:right="1134" w:bottom="851" w:left="1134" w:header="510" w:footer="624" w:gutter="0"/>
          <w:cols w:space="850"/>
          <w:docGrid w:linePitch="360"/>
        </w:sectPr>
      </w:pPr>
      <w:bookmarkStart w:id="95" w:name="_Ref299017524"/>
    </w:p>
    <w:p w14:paraId="4F93D6DD" w14:textId="5143628E" w:rsidR="0017018E" w:rsidRDefault="0017018E" w:rsidP="006D07FA">
      <w:pPr>
        <w:pStyle w:val="Heading1"/>
        <w:numPr>
          <w:ilvl w:val="0"/>
          <w:numId w:val="13"/>
        </w:numPr>
        <w:tabs>
          <w:tab w:val="clear" w:pos="1134"/>
          <w:tab w:val="left" w:pos="851"/>
        </w:tabs>
        <w:spacing w:after="1080"/>
        <w:rPr>
          <w:color w:val="00A9CE" w:themeColor="accent1"/>
        </w:rPr>
      </w:pPr>
      <w:bookmarkStart w:id="96" w:name="_Toc433975088"/>
      <w:r w:rsidRPr="006D07FA">
        <w:rPr>
          <w:color w:val="00A9CE" w:themeColor="accent1"/>
        </w:rPr>
        <w:lastRenderedPageBreak/>
        <w:t>Supplementary information</w:t>
      </w:r>
      <w:bookmarkEnd w:id="95"/>
      <w:bookmarkEnd w:id="96"/>
    </w:p>
    <w:p w14:paraId="7B7D2446" w14:textId="0F4D885B" w:rsidR="00D4472A" w:rsidRDefault="00D4472A" w:rsidP="00CE5716">
      <w:pPr>
        <w:keepNext/>
        <w:rPr>
          <w:noProof/>
        </w:rPr>
      </w:pPr>
      <w:r>
        <w:rPr>
          <w:noProof/>
        </w:rPr>
        <w:drawing>
          <wp:inline distT="0" distB="0" distL="0" distR="0" wp14:anchorId="2C74BD43" wp14:editId="3667A04A">
            <wp:extent cx="8199120" cy="4571694"/>
            <wp:effectExtent l="0" t="0" r="0" b="635"/>
            <wp:docPr id="27" name="Picture 27" descr="Figure nine is a line graph. Data points on the Y axis range are presented in increments of zero point zero five from zero to zero point five. X axis data points are presented in increments of ten years from zero to sixty years. The graph plots the distribution of the life expectancies of all stock types across the sixty year period indicating the fraction of stock expected to fail and be replaced for each stock type, where data is available. The graph applies a coloured legend to represent each stock plotted. All stock fail and replace ranges present as bell curve distributions, with stock expected to fail over shorter periods achieving higher distribution peaks than those with longer life expectancies. " title="Weibull distributions of life expectancies for all stock types where data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ure 9_Weibull distribution of life expectancies for all stock types.png"/>
                    <pic:cNvPicPr/>
                  </pic:nvPicPr>
                  <pic:blipFill>
                    <a:blip r:embed="rId21">
                      <a:extLst>
                        <a:ext uri="{28A0092B-C50C-407E-A947-70E740481C1C}">
                          <a14:useLocalDpi xmlns:a14="http://schemas.microsoft.com/office/drawing/2010/main" val="0"/>
                        </a:ext>
                      </a:extLst>
                    </a:blip>
                    <a:stretch>
                      <a:fillRect/>
                    </a:stretch>
                  </pic:blipFill>
                  <pic:spPr>
                    <a:xfrm>
                      <a:off x="0" y="0"/>
                      <a:ext cx="8242437" cy="4595847"/>
                    </a:xfrm>
                    <a:prstGeom prst="rect">
                      <a:avLst/>
                    </a:prstGeom>
                  </pic:spPr>
                </pic:pic>
              </a:graphicData>
            </a:graphic>
          </wp:inline>
        </w:drawing>
      </w:r>
    </w:p>
    <w:p w14:paraId="71FA14DA" w14:textId="4001B65E" w:rsidR="00CE5716" w:rsidRDefault="00CE5716" w:rsidP="00CE5716">
      <w:pPr>
        <w:pStyle w:val="Caption"/>
      </w:pPr>
      <w:bookmarkStart w:id="97" w:name="_Ref433370120"/>
      <w:bookmarkStart w:id="98" w:name="_Toc433972614"/>
      <w:r w:rsidRPr="00232736">
        <w:rPr>
          <w:color w:val="00A9CE" w:themeColor="accent1"/>
        </w:rPr>
        <w:t xml:space="preserve">Figure </w:t>
      </w:r>
      <w:r w:rsidRPr="00232736">
        <w:rPr>
          <w:color w:val="00A9CE" w:themeColor="accent1"/>
        </w:rPr>
        <w:fldChar w:fldCharType="begin"/>
      </w:r>
      <w:r w:rsidRPr="00232736">
        <w:rPr>
          <w:color w:val="00A9CE" w:themeColor="accent1"/>
        </w:rPr>
        <w:instrText xml:space="preserve"> SEQ Figure \* ARABIC </w:instrText>
      </w:r>
      <w:r w:rsidRPr="00232736">
        <w:rPr>
          <w:color w:val="00A9CE" w:themeColor="accent1"/>
        </w:rPr>
        <w:fldChar w:fldCharType="separate"/>
      </w:r>
      <w:r w:rsidR="00165FBD" w:rsidRPr="00232736">
        <w:rPr>
          <w:color w:val="00A9CE" w:themeColor="accent1"/>
        </w:rPr>
        <w:t>9</w:t>
      </w:r>
      <w:r w:rsidRPr="00232736">
        <w:rPr>
          <w:color w:val="00A9CE" w:themeColor="accent1"/>
        </w:rPr>
        <w:fldChar w:fldCharType="end"/>
      </w:r>
      <w:bookmarkEnd w:id="97"/>
      <w:r w:rsidRPr="00232736">
        <w:rPr>
          <w:color w:val="00A9CE" w:themeColor="accent1"/>
        </w:rPr>
        <w:t>: Weibull distributions of life expectancies for all stock types where data available</w:t>
      </w:r>
      <w:bookmarkEnd w:id="98"/>
    </w:p>
    <w:p w14:paraId="04E9635A" w14:textId="77777777" w:rsidR="00980217" w:rsidRDefault="00980217">
      <w:pPr>
        <w:spacing w:after="0"/>
        <w:sectPr w:rsidR="00980217" w:rsidSect="00980217">
          <w:pgSz w:w="16838" w:h="11906" w:orient="landscape" w:code="9"/>
          <w:pgMar w:top="1134" w:right="851" w:bottom="1134" w:left="851" w:header="510" w:footer="624" w:gutter="0"/>
          <w:cols w:space="850"/>
          <w:docGrid w:linePitch="360"/>
        </w:sectPr>
      </w:pPr>
    </w:p>
    <w:p w14:paraId="4A9E3DC6" w14:textId="43253134" w:rsidR="0048332C" w:rsidRDefault="0048332C" w:rsidP="005B5A3B">
      <w:pPr>
        <w:pStyle w:val="Caption"/>
        <w:rPr>
          <w:color w:val="00A9CE" w:themeColor="accent1"/>
        </w:rPr>
      </w:pPr>
      <w:bookmarkStart w:id="99" w:name="_Ref433370658"/>
      <w:bookmarkStart w:id="100" w:name="_Toc433977526"/>
      <w:r w:rsidRPr="00232736">
        <w:rPr>
          <w:color w:val="00A9CE" w:themeColor="accent1"/>
        </w:rPr>
        <w:lastRenderedPageBreak/>
        <w:t xml:space="preserve">Table </w:t>
      </w:r>
      <w:r w:rsidR="008F1C69" w:rsidRPr="00232736">
        <w:rPr>
          <w:color w:val="00A9CE" w:themeColor="accent1"/>
        </w:rPr>
        <w:fldChar w:fldCharType="begin"/>
      </w:r>
      <w:r w:rsidR="008F1C69" w:rsidRPr="00232736">
        <w:rPr>
          <w:color w:val="00A9CE" w:themeColor="accent1"/>
        </w:rPr>
        <w:instrText xml:space="preserve"> SEQ Table \* ARABIC </w:instrText>
      </w:r>
      <w:r w:rsidR="008F1C69" w:rsidRPr="00232736">
        <w:rPr>
          <w:color w:val="00A9CE" w:themeColor="accent1"/>
        </w:rPr>
        <w:fldChar w:fldCharType="separate"/>
      </w:r>
      <w:r w:rsidRPr="00232736">
        <w:rPr>
          <w:color w:val="00A9CE" w:themeColor="accent1"/>
        </w:rPr>
        <w:t>9</w:t>
      </w:r>
      <w:r w:rsidR="008F1C69" w:rsidRPr="00232736">
        <w:rPr>
          <w:color w:val="00A9CE" w:themeColor="accent1"/>
        </w:rPr>
        <w:fldChar w:fldCharType="end"/>
      </w:r>
      <w:bookmarkEnd w:id="99"/>
      <w:r w:rsidRPr="00232736">
        <w:rPr>
          <w:color w:val="00A9CE" w:themeColor="accent1"/>
        </w:rPr>
        <w:t xml:space="preserve">: Expected lifetimes of different assets used in productive sectors of the economy. These values were used in </w:t>
      </w:r>
      <w:r w:rsidR="008F1C69">
        <w:rPr>
          <w:color w:val="00A9CE" w:themeColor="accent1"/>
        </w:rPr>
        <w:fldChar w:fldCharType="begin"/>
      </w:r>
      <w:r w:rsidR="008F1C69" w:rsidRPr="00232736">
        <w:rPr>
          <w:color w:val="00A9CE" w:themeColor="accent1"/>
        </w:rPr>
        <w:instrText xml:space="preserve"> REF _Ref358282921 </w:instrText>
      </w:r>
      <w:r w:rsidR="00232736">
        <w:rPr>
          <w:color w:val="00A9CE" w:themeColor="accent1"/>
        </w:rPr>
        <w:instrText xml:space="preserve"> \* MERGEFORMAT </w:instrText>
      </w:r>
      <w:r w:rsidR="008F1C69">
        <w:rPr>
          <w:color w:val="00A9CE" w:themeColor="accent1"/>
        </w:rPr>
        <w:fldChar w:fldCharType="separate"/>
      </w:r>
      <w:r w:rsidRPr="007B0D5A">
        <w:rPr>
          <w:color w:val="00A9CE" w:themeColor="accent1"/>
        </w:rPr>
        <w:t xml:space="preserve">Equation </w:t>
      </w:r>
      <w:r>
        <w:rPr>
          <w:color w:val="00A9CE" w:themeColor="accent1"/>
        </w:rPr>
        <w:t>1</w:t>
      </w:r>
      <w:r w:rsidR="008F1C69">
        <w:rPr>
          <w:color w:val="00A9CE" w:themeColor="accent1"/>
        </w:rPr>
        <w:fldChar w:fldCharType="end"/>
      </w:r>
      <w:r w:rsidRPr="00232736">
        <w:rPr>
          <w:color w:val="00A9CE" w:themeColor="accent1"/>
        </w:rPr>
        <w:t xml:space="preserve"> to produce the distributions in </w:t>
      </w:r>
      <w:r w:rsidR="0069045A" w:rsidRPr="00723DD1">
        <w:rPr>
          <w:color w:val="00A9CE" w:themeColor="accent1"/>
        </w:rPr>
        <w:t>F</w:t>
      </w:r>
      <w:r w:rsidRPr="00723DD1">
        <w:rPr>
          <w:color w:val="00A9CE" w:themeColor="accent1"/>
        </w:rPr>
        <w:t xml:space="preserve">igure </w:t>
      </w:r>
      <w:r w:rsidR="0069045A" w:rsidRPr="00723DD1">
        <w:rPr>
          <w:color w:val="00A9CE" w:themeColor="accent1"/>
        </w:rPr>
        <w:t>9</w:t>
      </w:r>
      <w:r w:rsidRPr="00723DD1">
        <w:rPr>
          <w:color w:val="00A9CE" w:themeColor="accent1"/>
        </w:rPr>
        <w:t>.</w:t>
      </w:r>
      <w:bookmarkEnd w:id="100"/>
    </w:p>
    <w:tbl>
      <w:tblPr>
        <w:tblW w:w="0" w:type="auto"/>
        <w:tblLayout w:type="fixed"/>
        <w:tblLook w:val="04A0" w:firstRow="1" w:lastRow="0" w:firstColumn="1" w:lastColumn="0" w:noHBand="0" w:noVBand="1"/>
        <w:tblCaption w:val="Expected lifetimes of different assets used in productive sectors of the economy"/>
        <w:tblDescription w:val="Table nine provides a list of some forty plus different assets used in productive sectors of the economy. The table provides two columns, the first list the different technology processes, the second details the lifespan of the asset in years.  These values were used in Equation one to produce the distributions in figure nine on the preceding page. "/>
      </w:tblPr>
      <w:tblGrid>
        <w:gridCol w:w="5670"/>
        <w:gridCol w:w="1701"/>
      </w:tblGrid>
      <w:tr w:rsidR="00DB024D" w:rsidRPr="00C10B42" w14:paraId="3073C870" w14:textId="77777777" w:rsidTr="00D64017">
        <w:trPr>
          <w:cantSplit/>
        </w:trPr>
        <w:tc>
          <w:tcPr>
            <w:tcW w:w="5670" w:type="dxa"/>
            <w:shd w:val="clear" w:color="auto" w:fill="000000" w:themeFill="text1"/>
            <w:vAlign w:val="bottom"/>
          </w:tcPr>
          <w:p w14:paraId="3F774837" w14:textId="26B868F0" w:rsidR="00DB024D" w:rsidRPr="00D64017" w:rsidRDefault="00DB024D" w:rsidP="00D64017">
            <w:pPr>
              <w:pStyle w:val="ColumnHeading"/>
              <w:spacing w:before="120" w:after="60"/>
              <w:rPr>
                <w:color w:val="FFFFFF" w:themeColor="background1"/>
              </w:rPr>
            </w:pPr>
            <w:r>
              <w:rPr>
                <w:color w:val="FFFFFF" w:themeColor="background1"/>
              </w:rPr>
              <w:t>Technology process</w:t>
            </w:r>
          </w:p>
        </w:tc>
        <w:tc>
          <w:tcPr>
            <w:tcW w:w="1701" w:type="dxa"/>
            <w:shd w:val="clear" w:color="auto" w:fill="000000" w:themeFill="text1"/>
            <w:vAlign w:val="bottom"/>
          </w:tcPr>
          <w:p w14:paraId="5E1A4271" w14:textId="4C662942" w:rsidR="00DB024D" w:rsidRPr="00D64017" w:rsidRDefault="00DB024D" w:rsidP="00D64017">
            <w:pPr>
              <w:pStyle w:val="ColumnHeading"/>
              <w:spacing w:before="120" w:after="60"/>
              <w:jc w:val="center"/>
              <w:rPr>
                <w:color w:val="FFFFFF" w:themeColor="background1"/>
              </w:rPr>
            </w:pPr>
            <w:r>
              <w:rPr>
                <w:color w:val="FFFFFF" w:themeColor="background1"/>
              </w:rPr>
              <w:t xml:space="preserve">Lifespan </w:t>
            </w:r>
            <w:r w:rsidR="00C10B42">
              <w:rPr>
                <w:color w:val="FFFFFF" w:themeColor="background1"/>
              </w:rPr>
              <w:br/>
            </w:r>
            <w:r>
              <w:rPr>
                <w:color w:val="FFFFFF" w:themeColor="background1"/>
              </w:rPr>
              <w:t>(years)</w:t>
            </w:r>
          </w:p>
        </w:tc>
      </w:tr>
      <w:tr w:rsidR="00DB024D" w14:paraId="392CBB53" w14:textId="5E58602A" w:rsidTr="00D64017">
        <w:trPr>
          <w:cantSplit/>
        </w:trPr>
        <w:tc>
          <w:tcPr>
            <w:tcW w:w="5670" w:type="dxa"/>
            <w:shd w:val="clear" w:color="auto" w:fill="EDEDED"/>
            <w:vAlign w:val="bottom"/>
          </w:tcPr>
          <w:p w14:paraId="27170522" w14:textId="77777777" w:rsidR="00DB024D" w:rsidRDefault="00DB024D" w:rsidP="00D64017">
            <w:pPr>
              <w:pStyle w:val="TableText"/>
              <w:spacing w:before="40" w:after="20"/>
            </w:pPr>
            <w:r>
              <w:t>Blast furnaces</w:t>
            </w:r>
          </w:p>
        </w:tc>
        <w:tc>
          <w:tcPr>
            <w:tcW w:w="1701" w:type="dxa"/>
            <w:shd w:val="clear" w:color="auto" w:fill="EDEDED"/>
            <w:vAlign w:val="bottom"/>
          </w:tcPr>
          <w:p w14:paraId="7F6E19B3" w14:textId="3DDCDE31" w:rsidR="00DB024D" w:rsidRDefault="00DB024D" w:rsidP="00D64017">
            <w:pPr>
              <w:pStyle w:val="TableText"/>
              <w:spacing w:before="40" w:after="20"/>
              <w:jc w:val="center"/>
            </w:pPr>
            <w:r>
              <w:t>40</w:t>
            </w:r>
          </w:p>
        </w:tc>
      </w:tr>
      <w:tr w:rsidR="00DB024D" w14:paraId="21C28CD4" w14:textId="5D44C282" w:rsidTr="00D64017">
        <w:trPr>
          <w:cantSplit/>
        </w:trPr>
        <w:tc>
          <w:tcPr>
            <w:tcW w:w="5670" w:type="dxa"/>
            <w:vAlign w:val="bottom"/>
          </w:tcPr>
          <w:p w14:paraId="041B2E0E" w14:textId="77777777" w:rsidR="00DB024D" w:rsidRDefault="00DB024D" w:rsidP="00D64017">
            <w:pPr>
              <w:pStyle w:val="TableText"/>
              <w:spacing w:before="40" w:after="20"/>
            </w:pPr>
            <w:r>
              <w:t>Boiler systems</w:t>
            </w:r>
          </w:p>
        </w:tc>
        <w:tc>
          <w:tcPr>
            <w:tcW w:w="1701" w:type="dxa"/>
            <w:vAlign w:val="bottom"/>
          </w:tcPr>
          <w:p w14:paraId="31E6E4B9" w14:textId="01E14B7A" w:rsidR="00DB024D" w:rsidRDefault="00DB024D" w:rsidP="00D64017">
            <w:pPr>
              <w:pStyle w:val="TableText"/>
              <w:spacing w:before="40" w:after="20"/>
              <w:jc w:val="center"/>
            </w:pPr>
            <w:r>
              <w:t>20</w:t>
            </w:r>
          </w:p>
        </w:tc>
      </w:tr>
      <w:tr w:rsidR="00DB024D" w14:paraId="2F100AF5" w14:textId="3B1938A0" w:rsidTr="00D64017">
        <w:trPr>
          <w:cantSplit/>
        </w:trPr>
        <w:tc>
          <w:tcPr>
            <w:tcW w:w="5670" w:type="dxa"/>
            <w:shd w:val="clear" w:color="auto" w:fill="EDEDED"/>
            <w:vAlign w:val="bottom"/>
          </w:tcPr>
          <w:p w14:paraId="3FA16E44" w14:textId="657C0453" w:rsidR="00DB024D" w:rsidRDefault="00DB024D" w:rsidP="003F4163">
            <w:pPr>
              <w:pStyle w:val="TableText"/>
              <w:spacing w:before="40" w:after="20"/>
            </w:pPr>
            <w:r>
              <w:t xml:space="preserve">Co-generation or </w:t>
            </w:r>
            <w:r w:rsidR="003F4163">
              <w:t>t</w:t>
            </w:r>
            <w:r>
              <w:t>ri-generation</w:t>
            </w:r>
          </w:p>
        </w:tc>
        <w:tc>
          <w:tcPr>
            <w:tcW w:w="1701" w:type="dxa"/>
            <w:shd w:val="clear" w:color="auto" w:fill="EDEDED"/>
            <w:vAlign w:val="bottom"/>
          </w:tcPr>
          <w:p w14:paraId="519E1989" w14:textId="39466B38" w:rsidR="00DB024D" w:rsidRDefault="00DB024D" w:rsidP="00D64017">
            <w:pPr>
              <w:pStyle w:val="TableText"/>
              <w:spacing w:before="40" w:after="20"/>
              <w:jc w:val="center"/>
            </w:pPr>
            <w:r>
              <w:t>30</w:t>
            </w:r>
          </w:p>
        </w:tc>
      </w:tr>
      <w:tr w:rsidR="00DB024D" w14:paraId="18BC17D1" w14:textId="5D8C2400" w:rsidTr="00D64017">
        <w:trPr>
          <w:cantSplit/>
        </w:trPr>
        <w:tc>
          <w:tcPr>
            <w:tcW w:w="5670" w:type="dxa"/>
            <w:vAlign w:val="bottom"/>
          </w:tcPr>
          <w:p w14:paraId="15813432" w14:textId="77777777" w:rsidR="00DB024D" w:rsidRDefault="00DB024D" w:rsidP="00D64017">
            <w:pPr>
              <w:pStyle w:val="TableText"/>
              <w:spacing w:before="40" w:after="20"/>
            </w:pPr>
            <w:r>
              <w:t>Combustion engines or turbines - non transport</w:t>
            </w:r>
          </w:p>
        </w:tc>
        <w:tc>
          <w:tcPr>
            <w:tcW w:w="1701" w:type="dxa"/>
            <w:vAlign w:val="bottom"/>
          </w:tcPr>
          <w:p w14:paraId="644DF9FA" w14:textId="1E7BCDD4" w:rsidR="00DB024D" w:rsidRDefault="00DB024D" w:rsidP="00D64017">
            <w:pPr>
              <w:pStyle w:val="TableText"/>
              <w:spacing w:before="40" w:after="20"/>
              <w:jc w:val="center"/>
            </w:pPr>
            <w:r>
              <w:t>25</w:t>
            </w:r>
          </w:p>
        </w:tc>
      </w:tr>
      <w:tr w:rsidR="00DB024D" w14:paraId="74D19D77" w14:textId="0E9407F9" w:rsidTr="00D64017">
        <w:trPr>
          <w:cantSplit/>
        </w:trPr>
        <w:tc>
          <w:tcPr>
            <w:tcW w:w="5670" w:type="dxa"/>
            <w:shd w:val="clear" w:color="auto" w:fill="EDEDED"/>
            <w:vAlign w:val="bottom"/>
          </w:tcPr>
          <w:p w14:paraId="02EA6281" w14:textId="77777777" w:rsidR="00DB024D" w:rsidRDefault="00DB024D" w:rsidP="00D64017">
            <w:pPr>
              <w:pStyle w:val="TableText"/>
              <w:spacing w:before="40" w:after="20"/>
            </w:pPr>
            <w:r>
              <w:t>Combustion engines, turbines or electric drive systems-transport</w:t>
            </w:r>
          </w:p>
        </w:tc>
        <w:tc>
          <w:tcPr>
            <w:tcW w:w="1701" w:type="dxa"/>
            <w:shd w:val="clear" w:color="auto" w:fill="EDEDED"/>
            <w:vAlign w:val="bottom"/>
          </w:tcPr>
          <w:p w14:paraId="600299A5" w14:textId="5ECD4600" w:rsidR="00DB024D" w:rsidRDefault="00DB024D" w:rsidP="00D64017">
            <w:pPr>
              <w:pStyle w:val="TableText"/>
              <w:spacing w:before="40" w:after="20"/>
              <w:jc w:val="center"/>
            </w:pPr>
            <w:r>
              <w:t>10</w:t>
            </w:r>
          </w:p>
        </w:tc>
      </w:tr>
      <w:tr w:rsidR="00DB024D" w14:paraId="254F724B" w14:textId="04035FE5" w:rsidTr="00D64017">
        <w:trPr>
          <w:cantSplit/>
        </w:trPr>
        <w:tc>
          <w:tcPr>
            <w:tcW w:w="5670" w:type="dxa"/>
            <w:vAlign w:val="bottom"/>
          </w:tcPr>
          <w:p w14:paraId="2892DDB0" w14:textId="77777777" w:rsidR="00DB024D" w:rsidRDefault="00DB024D" w:rsidP="00D64017">
            <w:pPr>
              <w:pStyle w:val="TableText"/>
              <w:spacing w:before="40" w:after="20"/>
            </w:pPr>
            <w:r>
              <w:t>Comminution (crushing and grinding) and blasting systems</w:t>
            </w:r>
          </w:p>
        </w:tc>
        <w:tc>
          <w:tcPr>
            <w:tcW w:w="1701" w:type="dxa"/>
            <w:vAlign w:val="bottom"/>
          </w:tcPr>
          <w:p w14:paraId="10828B44" w14:textId="7B257695" w:rsidR="00DB024D" w:rsidRDefault="00DB024D" w:rsidP="00D64017">
            <w:pPr>
              <w:pStyle w:val="TableText"/>
              <w:spacing w:before="40" w:after="20"/>
              <w:jc w:val="center"/>
            </w:pPr>
            <w:r>
              <w:t>22.5</w:t>
            </w:r>
          </w:p>
        </w:tc>
      </w:tr>
      <w:tr w:rsidR="00DB024D" w14:paraId="05C5262E" w14:textId="67432BE3" w:rsidTr="00D64017">
        <w:trPr>
          <w:cantSplit/>
        </w:trPr>
        <w:tc>
          <w:tcPr>
            <w:tcW w:w="5670" w:type="dxa"/>
            <w:shd w:val="clear" w:color="auto" w:fill="EDEDED"/>
            <w:vAlign w:val="bottom"/>
          </w:tcPr>
          <w:p w14:paraId="73E07A6A" w14:textId="77777777" w:rsidR="00DB024D" w:rsidRDefault="00DB024D" w:rsidP="00D64017">
            <w:pPr>
              <w:pStyle w:val="TableText"/>
              <w:spacing w:before="40" w:after="20"/>
            </w:pPr>
            <w:r>
              <w:t>Compressed air systems</w:t>
            </w:r>
          </w:p>
        </w:tc>
        <w:tc>
          <w:tcPr>
            <w:tcW w:w="1701" w:type="dxa"/>
            <w:shd w:val="clear" w:color="auto" w:fill="EDEDED"/>
            <w:vAlign w:val="bottom"/>
          </w:tcPr>
          <w:p w14:paraId="16F783C0" w14:textId="30861FE3" w:rsidR="00DB024D" w:rsidRDefault="00DB024D" w:rsidP="00D64017">
            <w:pPr>
              <w:pStyle w:val="TableText"/>
              <w:spacing w:before="40" w:after="20"/>
              <w:jc w:val="center"/>
            </w:pPr>
            <w:r>
              <w:t>15</w:t>
            </w:r>
          </w:p>
        </w:tc>
      </w:tr>
      <w:tr w:rsidR="00DB024D" w14:paraId="4605EEDB" w14:textId="248217B7" w:rsidTr="00D64017">
        <w:trPr>
          <w:cantSplit/>
        </w:trPr>
        <w:tc>
          <w:tcPr>
            <w:tcW w:w="5670" w:type="dxa"/>
            <w:vAlign w:val="bottom"/>
          </w:tcPr>
          <w:p w14:paraId="775654F3" w14:textId="77777777" w:rsidR="00DB024D" w:rsidRDefault="00DB024D" w:rsidP="00D64017">
            <w:pPr>
              <w:pStyle w:val="TableText"/>
              <w:spacing w:before="40" w:after="20"/>
            </w:pPr>
            <w:r>
              <w:t>Conveyors</w:t>
            </w:r>
          </w:p>
        </w:tc>
        <w:tc>
          <w:tcPr>
            <w:tcW w:w="1701" w:type="dxa"/>
            <w:vAlign w:val="bottom"/>
          </w:tcPr>
          <w:p w14:paraId="2DD48F90" w14:textId="4E94571C" w:rsidR="00DB024D" w:rsidRDefault="00DB024D" w:rsidP="00D64017">
            <w:pPr>
              <w:pStyle w:val="TableText"/>
              <w:spacing w:before="40" w:after="20"/>
              <w:jc w:val="center"/>
            </w:pPr>
            <w:r>
              <w:t>20</w:t>
            </w:r>
          </w:p>
        </w:tc>
      </w:tr>
      <w:tr w:rsidR="00DB024D" w14:paraId="2DB2ABE7" w14:textId="2BDEB82C" w:rsidTr="00D64017">
        <w:trPr>
          <w:cantSplit/>
        </w:trPr>
        <w:tc>
          <w:tcPr>
            <w:tcW w:w="5670" w:type="dxa"/>
            <w:shd w:val="clear" w:color="auto" w:fill="EDEDED"/>
            <w:vAlign w:val="bottom"/>
          </w:tcPr>
          <w:p w14:paraId="6CA915B5" w14:textId="77777777" w:rsidR="00DB024D" w:rsidRDefault="00DB024D" w:rsidP="00D64017">
            <w:pPr>
              <w:pStyle w:val="TableText"/>
              <w:spacing w:before="40" w:after="20"/>
            </w:pPr>
            <w:r>
              <w:t>Cooling towers</w:t>
            </w:r>
          </w:p>
        </w:tc>
        <w:tc>
          <w:tcPr>
            <w:tcW w:w="1701" w:type="dxa"/>
            <w:shd w:val="clear" w:color="auto" w:fill="EDEDED"/>
            <w:vAlign w:val="bottom"/>
          </w:tcPr>
          <w:p w14:paraId="1A4C3226" w14:textId="782C9E30" w:rsidR="00DB024D" w:rsidRDefault="00DB024D" w:rsidP="00D64017">
            <w:pPr>
              <w:pStyle w:val="TableText"/>
              <w:spacing w:before="40" w:after="20"/>
              <w:jc w:val="center"/>
            </w:pPr>
            <w:r>
              <w:t>20</w:t>
            </w:r>
          </w:p>
        </w:tc>
      </w:tr>
      <w:tr w:rsidR="00DB024D" w14:paraId="642972B3" w14:textId="62BD9517" w:rsidTr="00D64017">
        <w:trPr>
          <w:cantSplit/>
        </w:trPr>
        <w:tc>
          <w:tcPr>
            <w:tcW w:w="5670" w:type="dxa"/>
            <w:vAlign w:val="bottom"/>
          </w:tcPr>
          <w:p w14:paraId="3A798D2B" w14:textId="77777777" w:rsidR="00DB024D" w:rsidRDefault="00DB024D" w:rsidP="00D64017">
            <w:pPr>
              <w:pStyle w:val="TableText"/>
              <w:spacing w:before="40" w:after="20"/>
            </w:pPr>
            <w:r>
              <w:t>Dryers</w:t>
            </w:r>
          </w:p>
        </w:tc>
        <w:tc>
          <w:tcPr>
            <w:tcW w:w="1701" w:type="dxa"/>
            <w:vAlign w:val="bottom"/>
          </w:tcPr>
          <w:p w14:paraId="1E0D84B9" w14:textId="07A9803B" w:rsidR="00DB024D" w:rsidRDefault="00DB024D" w:rsidP="00D64017">
            <w:pPr>
              <w:pStyle w:val="TableText"/>
              <w:spacing w:before="40" w:after="20"/>
              <w:jc w:val="center"/>
            </w:pPr>
            <w:r>
              <w:t>17</w:t>
            </w:r>
          </w:p>
        </w:tc>
      </w:tr>
      <w:tr w:rsidR="00DB024D" w14:paraId="2C12A370" w14:textId="0CA914CE" w:rsidTr="00D64017">
        <w:trPr>
          <w:cantSplit/>
        </w:trPr>
        <w:tc>
          <w:tcPr>
            <w:tcW w:w="5670" w:type="dxa"/>
            <w:shd w:val="clear" w:color="auto" w:fill="EDEDED"/>
            <w:vAlign w:val="bottom"/>
          </w:tcPr>
          <w:p w14:paraId="25223331" w14:textId="77777777" w:rsidR="00DB024D" w:rsidRDefault="00DB024D" w:rsidP="00D64017">
            <w:pPr>
              <w:pStyle w:val="TableText"/>
              <w:spacing w:before="40" w:after="20"/>
            </w:pPr>
            <w:r>
              <w:t>Electric arc furnaces</w:t>
            </w:r>
          </w:p>
        </w:tc>
        <w:tc>
          <w:tcPr>
            <w:tcW w:w="1701" w:type="dxa"/>
            <w:shd w:val="clear" w:color="auto" w:fill="EDEDED"/>
            <w:vAlign w:val="bottom"/>
          </w:tcPr>
          <w:p w14:paraId="4D8FCD3F" w14:textId="20C1BC63" w:rsidR="00DB024D" w:rsidRDefault="00DB024D" w:rsidP="00D64017">
            <w:pPr>
              <w:pStyle w:val="TableText"/>
              <w:spacing w:before="40" w:after="20"/>
              <w:jc w:val="center"/>
            </w:pPr>
            <w:r>
              <w:t>10</w:t>
            </w:r>
          </w:p>
        </w:tc>
      </w:tr>
      <w:tr w:rsidR="00DB024D" w14:paraId="515D8A95" w14:textId="4364D4EB" w:rsidTr="00D64017">
        <w:trPr>
          <w:cantSplit/>
        </w:trPr>
        <w:tc>
          <w:tcPr>
            <w:tcW w:w="5670" w:type="dxa"/>
            <w:vAlign w:val="bottom"/>
          </w:tcPr>
          <w:p w14:paraId="6214C1D9" w14:textId="77777777" w:rsidR="00DB024D" w:rsidRDefault="00DB024D" w:rsidP="00D64017">
            <w:pPr>
              <w:pStyle w:val="TableText"/>
              <w:spacing w:before="40" w:after="20"/>
            </w:pPr>
            <w:r>
              <w:t>Electrolytic processes</w:t>
            </w:r>
          </w:p>
        </w:tc>
        <w:tc>
          <w:tcPr>
            <w:tcW w:w="1701" w:type="dxa"/>
            <w:vAlign w:val="bottom"/>
          </w:tcPr>
          <w:p w14:paraId="0E4902A2" w14:textId="21F6AA5D" w:rsidR="00DB024D" w:rsidRDefault="00DB024D" w:rsidP="00D64017">
            <w:pPr>
              <w:pStyle w:val="TableText"/>
              <w:spacing w:before="40" w:after="20"/>
              <w:jc w:val="center"/>
            </w:pPr>
            <w:r>
              <w:t>20</w:t>
            </w:r>
          </w:p>
        </w:tc>
      </w:tr>
      <w:tr w:rsidR="00DB024D" w14:paraId="1698F32A" w14:textId="0EF27D64" w:rsidTr="00D64017">
        <w:trPr>
          <w:cantSplit/>
        </w:trPr>
        <w:tc>
          <w:tcPr>
            <w:tcW w:w="5670" w:type="dxa"/>
            <w:shd w:val="clear" w:color="auto" w:fill="EDEDED"/>
            <w:vAlign w:val="bottom"/>
          </w:tcPr>
          <w:p w14:paraId="0C9A4D6D" w14:textId="77777777" w:rsidR="00DB024D" w:rsidRDefault="00DB024D" w:rsidP="00D64017">
            <w:pPr>
              <w:pStyle w:val="TableText"/>
              <w:spacing w:before="40" w:after="20"/>
            </w:pPr>
            <w:r>
              <w:t>Energy transmission and distribution systems</w:t>
            </w:r>
          </w:p>
        </w:tc>
        <w:tc>
          <w:tcPr>
            <w:tcW w:w="1701" w:type="dxa"/>
            <w:shd w:val="clear" w:color="auto" w:fill="EDEDED"/>
            <w:vAlign w:val="bottom"/>
          </w:tcPr>
          <w:p w14:paraId="07C1235F" w14:textId="1776B647" w:rsidR="00DB024D" w:rsidRDefault="00DB024D" w:rsidP="00D64017">
            <w:pPr>
              <w:pStyle w:val="TableText"/>
              <w:spacing w:before="40" w:after="20"/>
              <w:jc w:val="center"/>
            </w:pPr>
            <w:r>
              <w:t>25</w:t>
            </w:r>
          </w:p>
        </w:tc>
      </w:tr>
      <w:tr w:rsidR="00DB024D" w14:paraId="3CEFE48D" w14:textId="403B6F33" w:rsidTr="00D64017">
        <w:trPr>
          <w:cantSplit/>
        </w:trPr>
        <w:tc>
          <w:tcPr>
            <w:tcW w:w="5670" w:type="dxa"/>
            <w:vAlign w:val="bottom"/>
          </w:tcPr>
          <w:p w14:paraId="04B55E50" w14:textId="77777777" w:rsidR="00DB024D" w:rsidRDefault="00DB024D" w:rsidP="00D64017">
            <w:pPr>
              <w:pStyle w:val="TableText"/>
              <w:spacing w:before="40" w:after="20"/>
            </w:pPr>
            <w:r>
              <w:t>Filtration/distillation/absorption/stripping</w:t>
            </w:r>
          </w:p>
        </w:tc>
        <w:tc>
          <w:tcPr>
            <w:tcW w:w="1701" w:type="dxa"/>
            <w:vAlign w:val="bottom"/>
          </w:tcPr>
          <w:p w14:paraId="4325D437" w14:textId="1D4B0FE9" w:rsidR="00DB024D" w:rsidRDefault="00DB024D" w:rsidP="00D64017">
            <w:pPr>
              <w:pStyle w:val="TableText"/>
              <w:spacing w:before="40" w:after="20"/>
              <w:jc w:val="center"/>
            </w:pPr>
            <w:r>
              <w:t>15</w:t>
            </w:r>
          </w:p>
        </w:tc>
      </w:tr>
      <w:tr w:rsidR="00DB024D" w14:paraId="0FED3AC8" w14:textId="63AE0D86" w:rsidTr="00D64017">
        <w:trPr>
          <w:cantSplit/>
        </w:trPr>
        <w:tc>
          <w:tcPr>
            <w:tcW w:w="5670" w:type="dxa"/>
            <w:shd w:val="clear" w:color="auto" w:fill="EDEDED"/>
            <w:vAlign w:val="bottom"/>
          </w:tcPr>
          <w:p w14:paraId="5A1FC59F" w14:textId="77777777" w:rsidR="00DB024D" w:rsidRDefault="00DB024D" w:rsidP="00D64017">
            <w:pPr>
              <w:pStyle w:val="TableText"/>
              <w:spacing w:before="40" w:after="20"/>
            </w:pPr>
            <w:r>
              <w:t>Flaring systems, venting and leaks</w:t>
            </w:r>
          </w:p>
        </w:tc>
        <w:tc>
          <w:tcPr>
            <w:tcW w:w="1701" w:type="dxa"/>
            <w:shd w:val="clear" w:color="auto" w:fill="EDEDED"/>
            <w:vAlign w:val="bottom"/>
          </w:tcPr>
          <w:p w14:paraId="2749AA25" w14:textId="50110676" w:rsidR="00DB024D" w:rsidRDefault="00DB024D" w:rsidP="00D64017">
            <w:pPr>
              <w:pStyle w:val="TableText"/>
              <w:spacing w:before="40" w:after="20"/>
              <w:jc w:val="center"/>
            </w:pPr>
            <w:r>
              <w:t>25</w:t>
            </w:r>
          </w:p>
        </w:tc>
      </w:tr>
      <w:tr w:rsidR="00DB024D" w14:paraId="3D314D5D" w14:textId="3831BF79" w:rsidTr="00D64017">
        <w:trPr>
          <w:cantSplit/>
        </w:trPr>
        <w:tc>
          <w:tcPr>
            <w:tcW w:w="5670" w:type="dxa"/>
            <w:vAlign w:val="bottom"/>
          </w:tcPr>
          <w:p w14:paraId="1AF4D237" w14:textId="61BED7FD" w:rsidR="00DB024D" w:rsidRDefault="00DB024D" w:rsidP="00D64017">
            <w:pPr>
              <w:pStyle w:val="TableText"/>
              <w:spacing w:before="40" w:after="20"/>
            </w:pPr>
            <w:r>
              <w:t>Furnace/</w:t>
            </w:r>
            <w:r w:rsidR="003F4163">
              <w:t>k</w:t>
            </w:r>
            <w:r>
              <w:t>ilns</w:t>
            </w:r>
          </w:p>
        </w:tc>
        <w:tc>
          <w:tcPr>
            <w:tcW w:w="1701" w:type="dxa"/>
            <w:vAlign w:val="bottom"/>
          </w:tcPr>
          <w:p w14:paraId="678B604B" w14:textId="68FA0731" w:rsidR="00DB024D" w:rsidRDefault="00DB024D" w:rsidP="00D64017">
            <w:pPr>
              <w:pStyle w:val="TableText"/>
              <w:spacing w:before="40" w:after="20"/>
              <w:jc w:val="center"/>
            </w:pPr>
            <w:r>
              <w:t>17.5</w:t>
            </w:r>
          </w:p>
        </w:tc>
      </w:tr>
      <w:tr w:rsidR="00DB024D" w14:paraId="5369789B" w14:textId="5AF2DCDC" w:rsidTr="00D64017">
        <w:trPr>
          <w:cantSplit/>
        </w:trPr>
        <w:tc>
          <w:tcPr>
            <w:tcW w:w="5670" w:type="dxa"/>
            <w:shd w:val="clear" w:color="auto" w:fill="EDEDED"/>
            <w:vAlign w:val="bottom"/>
          </w:tcPr>
          <w:p w14:paraId="2771CA45" w14:textId="77777777" w:rsidR="00DB024D" w:rsidRDefault="00DB024D" w:rsidP="00D64017">
            <w:pPr>
              <w:pStyle w:val="TableText"/>
              <w:spacing w:before="40" w:after="20"/>
            </w:pPr>
            <w:r>
              <w:t>Gas compression equipment</w:t>
            </w:r>
          </w:p>
        </w:tc>
        <w:tc>
          <w:tcPr>
            <w:tcW w:w="1701" w:type="dxa"/>
            <w:shd w:val="clear" w:color="auto" w:fill="EDEDED"/>
            <w:vAlign w:val="bottom"/>
          </w:tcPr>
          <w:p w14:paraId="320FB9A4" w14:textId="20519AA0" w:rsidR="00DB024D" w:rsidRDefault="00DB024D" w:rsidP="00D64017">
            <w:pPr>
              <w:pStyle w:val="TableText"/>
              <w:spacing w:before="40" w:after="20"/>
              <w:jc w:val="center"/>
            </w:pPr>
            <w:r>
              <w:t>15</w:t>
            </w:r>
          </w:p>
        </w:tc>
      </w:tr>
      <w:tr w:rsidR="00DB024D" w14:paraId="35BAFD69" w14:textId="75A5C1FD" w:rsidTr="00D64017">
        <w:trPr>
          <w:cantSplit/>
        </w:trPr>
        <w:tc>
          <w:tcPr>
            <w:tcW w:w="5670" w:type="dxa"/>
            <w:vAlign w:val="bottom"/>
          </w:tcPr>
          <w:p w14:paraId="1044AD5A" w14:textId="77777777" w:rsidR="00DB024D" w:rsidRDefault="00DB024D" w:rsidP="00D64017">
            <w:pPr>
              <w:pStyle w:val="TableText"/>
              <w:spacing w:before="40" w:after="20"/>
            </w:pPr>
            <w:r>
              <w:t>Geothermal power systems</w:t>
            </w:r>
          </w:p>
        </w:tc>
        <w:tc>
          <w:tcPr>
            <w:tcW w:w="1701" w:type="dxa"/>
            <w:vAlign w:val="bottom"/>
          </w:tcPr>
          <w:p w14:paraId="73100D41" w14:textId="49D96AAD" w:rsidR="00DB024D" w:rsidRDefault="00DB024D" w:rsidP="00D64017">
            <w:pPr>
              <w:pStyle w:val="TableText"/>
              <w:spacing w:before="40" w:after="20"/>
              <w:jc w:val="center"/>
            </w:pPr>
            <w:r>
              <w:t>25</w:t>
            </w:r>
          </w:p>
        </w:tc>
      </w:tr>
      <w:tr w:rsidR="00DB024D" w14:paraId="2E194B97" w14:textId="34DE56A0" w:rsidTr="00D64017">
        <w:trPr>
          <w:cantSplit/>
        </w:trPr>
        <w:tc>
          <w:tcPr>
            <w:tcW w:w="5670" w:type="dxa"/>
            <w:shd w:val="clear" w:color="auto" w:fill="EDEDED"/>
            <w:vAlign w:val="bottom"/>
          </w:tcPr>
          <w:p w14:paraId="619862F5" w14:textId="77777777" w:rsidR="00DB024D" w:rsidRDefault="00DB024D" w:rsidP="00D64017">
            <w:pPr>
              <w:pStyle w:val="TableText"/>
              <w:spacing w:before="40" w:after="20"/>
            </w:pPr>
            <w:r>
              <w:t>Heat exchangers and heat exchange networks</w:t>
            </w:r>
          </w:p>
        </w:tc>
        <w:tc>
          <w:tcPr>
            <w:tcW w:w="1701" w:type="dxa"/>
            <w:shd w:val="clear" w:color="auto" w:fill="EDEDED"/>
            <w:vAlign w:val="bottom"/>
          </w:tcPr>
          <w:p w14:paraId="50AE018E" w14:textId="3E7E7EBA" w:rsidR="00DB024D" w:rsidRDefault="00DB024D" w:rsidP="00D64017">
            <w:pPr>
              <w:pStyle w:val="TableText"/>
              <w:spacing w:before="40" w:after="20"/>
              <w:jc w:val="center"/>
            </w:pPr>
            <w:r>
              <w:t>30</w:t>
            </w:r>
          </w:p>
        </w:tc>
      </w:tr>
      <w:tr w:rsidR="00DB024D" w14:paraId="09936AB1" w14:textId="15D06CC1" w:rsidTr="00D64017">
        <w:trPr>
          <w:cantSplit/>
        </w:trPr>
        <w:tc>
          <w:tcPr>
            <w:tcW w:w="5670" w:type="dxa"/>
            <w:vAlign w:val="bottom"/>
          </w:tcPr>
          <w:p w14:paraId="1B7599A1" w14:textId="7170FE11" w:rsidR="00DB024D" w:rsidRDefault="00DB024D" w:rsidP="003F4163">
            <w:pPr>
              <w:pStyle w:val="TableText"/>
              <w:spacing w:before="40" w:after="20"/>
            </w:pPr>
            <w:r>
              <w:t xml:space="preserve">HVAC </w:t>
            </w:r>
            <w:r w:rsidR="003F4163">
              <w:t>s</w:t>
            </w:r>
            <w:r>
              <w:t>ystems</w:t>
            </w:r>
          </w:p>
        </w:tc>
        <w:tc>
          <w:tcPr>
            <w:tcW w:w="1701" w:type="dxa"/>
            <w:vAlign w:val="bottom"/>
          </w:tcPr>
          <w:p w14:paraId="77E8F104" w14:textId="3E731C8A" w:rsidR="00DB024D" w:rsidRDefault="00DB024D" w:rsidP="00D64017">
            <w:pPr>
              <w:pStyle w:val="TableText"/>
              <w:spacing w:before="40" w:after="20"/>
              <w:jc w:val="center"/>
            </w:pPr>
            <w:r>
              <w:t>10</w:t>
            </w:r>
          </w:p>
        </w:tc>
      </w:tr>
      <w:tr w:rsidR="00DB024D" w14:paraId="3AACD54B" w14:textId="611ABE29" w:rsidTr="00D64017">
        <w:trPr>
          <w:cantSplit/>
        </w:trPr>
        <w:tc>
          <w:tcPr>
            <w:tcW w:w="5670" w:type="dxa"/>
            <w:shd w:val="clear" w:color="auto" w:fill="EDEDED"/>
            <w:vAlign w:val="bottom"/>
          </w:tcPr>
          <w:p w14:paraId="7770BA6D" w14:textId="77777777" w:rsidR="00DB024D" w:rsidRDefault="00DB024D" w:rsidP="00D64017">
            <w:pPr>
              <w:pStyle w:val="TableText"/>
              <w:spacing w:before="40" w:after="20"/>
            </w:pPr>
            <w:r>
              <w:t>IT, communications and other electronic equipment</w:t>
            </w:r>
          </w:p>
        </w:tc>
        <w:tc>
          <w:tcPr>
            <w:tcW w:w="1701" w:type="dxa"/>
            <w:shd w:val="clear" w:color="auto" w:fill="EDEDED"/>
            <w:vAlign w:val="bottom"/>
          </w:tcPr>
          <w:p w14:paraId="59FE178A" w14:textId="03D9F183" w:rsidR="00DB024D" w:rsidRDefault="00DB024D" w:rsidP="00D64017">
            <w:pPr>
              <w:pStyle w:val="TableText"/>
              <w:spacing w:before="40" w:after="20"/>
              <w:jc w:val="center"/>
            </w:pPr>
            <w:r>
              <w:t>4</w:t>
            </w:r>
          </w:p>
        </w:tc>
      </w:tr>
      <w:tr w:rsidR="00DB024D" w14:paraId="1BBBBAD7" w14:textId="5B12E30A" w:rsidTr="00D64017">
        <w:trPr>
          <w:cantSplit/>
        </w:trPr>
        <w:tc>
          <w:tcPr>
            <w:tcW w:w="5670" w:type="dxa"/>
            <w:vAlign w:val="bottom"/>
          </w:tcPr>
          <w:p w14:paraId="137F7517" w14:textId="77777777" w:rsidR="00DB024D" w:rsidRDefault="00DB024D" w:rsidP="00D64017">
            <w:pPr>
              <w:pStyle w:val="TableText"/>
              <w:spacing w:before="40" w:after="20"/>
            </w:pPr>
            <w:r>
              <w:t>Lighting systems</w:t>
            </w:r>
          </w:p>
        </w:tc>
        <w:tc>
          <w:tcPr>
            <w:tcW w:w="1701" w:type="dxa"/>
            <w:vAlign w:val="bottom"/>
          </w:tcPr>
          <w:p w14:paraId="7E9CD62A" w14:textId="61D0F9CC" w:rsidR="00DB024D" w:rsidRDefault="00DB024D" w:rsidP="00D64017">
            <w:pPr>
              <w:pStyle w:val="TableText"/>
              <w:spacing w:before="40" w:after="20"/>
              <w:jc w:val="center"/>
            </w:pPr>
            <w:r>
              <w:t>10</w:t>
            </w:r>
          </w:p>
        </w:tc>
      </w:tr>
      <w:tr w:rsidR="00DB024D" w14:paraId="4BB13BEB" w14:textId="290C00B8" w:rsidTr="00D64017">
        <w:trPr>
          <w:cantSplit/>
        </w:trPr>
        <w:tc>
          <w:tcPr>
            <w:tcW w:w="5670" w:type="dxa"/>
            <w:shd w:val="clear" w:color="auto" w:fill="EDEDED"/>
            <w:vAlign w:val="bottom"/>
          </w:tcPr>
          <w:p w14:paraId="0BFB8886" w14:textId="77777777" w:rsidR="00DB024D" w:rsidRDefault="00DB024D" w:rsidP="00D64017">
            <w:pPr>
              <w:pStyle w:val="TableText"/>
              <w:spacing w:before="40" w:after="20"/>
            </w:pPr>
            <w:r>
              <w:t>Mining, earth moving and other mobile material handling equipment</w:t>
            </w:r>
          </w:p>
        </w:tc>
        <w:tc>
          <w:tcPr>
            <w:tcW w:w="1701" w:type="dxa"/>
            <w:shd w:val="clear" w:color="auto" w:fill="EDEDED"/>
            <w:vAlign w:val="bottom"/>
          </w:tcPr>
          <w:p w14:paraId="4C84651D" w14:textId="0E27F450" w:rsidR="00DB024D" w:rsidRDefault="00DB024D" w:rsidP="00D64017">
            <w:pPr>
              <w:pStyle w:val="TableText"/>
              <w:spacing w:before="40" w:after="20"/>
              <w:jc w:val="center"/>
            </w:pPr>
            <w:r>
              <w:t>20</w:t>
            </w:r>
          </w:p>
        </w:tc>
      </w:tr>
      <w:tr w:rsidR="00DB024D" w14:paraId="6B87D51D" w14:textId="2DD44E52" w:rsidTr="00D64017">
        <w:trPr>
          <w:cantSplit/>
        </w:trPr>
        <w:tc>
          <w:tcPr>
            <w:tcW w:w="5670" w:type="dxa"/>
            <w:vAlign w:val="bottom"/>
          </w:tcPr>
          <w:p w14:paraId="69548BE6" w14:textId="77777777" w:rsidR="00DB024D" w:rsidRDefault="00DB024D" w:rsidP="00D64017">
            <w:pPr>
              <w:pStyle w:val="TableText"/>
              <w:spacing w:before="40" w:after="20"/>
            </w:pPr>
            <w:r>
              <w:t>Motors</w:t>
            </w:r>
          </w:p>
        </w:tc>
        <w:tc>
          <w:tcPr>
            <w:tcW w:w="1701" w:type="dxa"/>
            <w:vAlign w:val="bottom"/>
          </w:tcPr>
          <w:p w14:paraId="44CD6E8A" w14:textId="18167A4E" w:rsidR="00DB024D" w:rsidRDefault="00DB024D" w:rsidP="00D64017">
            <w:pPr>
              <w:pStyle w:val="TableText"/>
              <w:spacing w:before="40" w:after="20"/>
              <w:jc w:val="center"/>
            </w:pPr>
            <w:r>
              <w:t>15</w:t>
            </w:r>
          </w:p>
        </w:tc>
      </w:tr>
      <w:tr w:rsidR="00DB024D" w14:paraId="2000CC5D" w14:textId="315EB178" w:rsidTr="00D64017">
        <w:trPr>
          <w:cantSplit/>
        </w:trPr>
        <w:tc>
          <w:tcPr>
            <w:tcW w:w="5670" w:type="dxa"/>
            <w:shd w:val="clear" w:color="auto" w:fill="EDEDED"/>
            <w:vAlign w:val="bottom"/>
          </w:tcPr>
          <w:p w14:paraId="55079C37" w14:textId="77777777" w:rsidR="00DB024D" w:rsidRDefault="00DB024D" w:rsidP="00D64017">
            <w:pPr>
              <w:pStyle w:val="TableText"/>
              <w:spacing w:before="40" w:after="20"/>
            </w:pPr>
            <w:r>
              <w:t>Non-transport machinery</w:t>
            </w:r>
          </w:p>
        </w:tc>
        <w:tc>
          <w:tcPr>
            <w:tcW w:w="1701" w:type="dxa"/>
            <w:shd w:val="clear" w:color="auto" w:fill="EDEDED"/>
            <w:vAlign w:val="bottom"/>
          </w:tcPr>
          <w:p w14:paraId="18CB05BD" w14:textId="3FA7DF87" w:rsidR="00DB024D" w:rsidRDefault="00DB024D" w:rsidP="00D64017">
            <w:pPr>
              <w:pStyle w:val="TableText"/>
              <w:spacing w:before="40" w:after="20"/>
              <w:jc w:val="center"/>
            </w:pPr>
            <w:r>
              <w:t>20</w:t>
            </w:r>
          </w:p>
        </w:tc>
      </w:tr>
      <w:tr w:rsidR="00DB024D" w14:paraId="56097E4B" w14:textId="26371CE7" w:rsidTr="00D64017">
        <w:trPr>
          <w:cantSplit/>
        </w:trPr>
        <w:tc>
          <w:tcPr>
            <w:tcW w:w="5670" w:type="dxa"/>
            <w:vAlign w:val="bottom"/>
          </w:tcPr>
          <w:p w14:paraId="59ACD237" w14:textId="77777777" w:rsidR="00DB024D" w:rsidRDefault="00DB024D" w:rsidP="00D64017">
            <w:pPr>
              <w:pStyle w:val="TableText"/>
              <w:spacing w:before="40" w:after="20"/>
            </w:pPr>
            <w:r>
              <w:t>Other Building services</w:t>
            </w:r>
          </w:p>
        </w:tc>
        <w:tc>
          <w:tcPr>
            <w:tcW w:w="1701" w:type="dxa"/>
            <w:vAlign w:val="bottom"/>
          </w:tcPr>
          <w:p w14:paraId="2B5CA21C" w14:textId="1BC3DDFF" w:rsidR="00DB024D" w:rsidRDefault="00DB024D" w:rsidP="00D64017">
            <w:pPr>
              <w:pStyle w:val="TableText"/>
              <w:spacing w:before="40" w:after="20"/>
              <w:jc w:val="center"/>
            </w:pPr>
            <w:r>
              <w:t>5</w:t>
            </w:r>
          </w:p>
        </w:tc>
      </w:tr>
      <w:tr w:rsidR="00DB024D" w14:paraId="169D9336" w14:textId="4428409A" w:rsidTr="00D64017">
        <w:trPr>
          <w:cantSplit/>
        </w:trPr>
        <w:tc>
          <w:tcPr>
            <w:tcW w:w="5670" w:type="dxa"/>
            <w:shd w:val="clear" w:color="auto" w:fill="EDEDED"/>
            <w:vAlign w:val="bottom"/>
          </w:tcPr>
          <w:p w14:paraId="453ED5D1" w14:textId="77777777" w:rsidR="00DB024D" w:rsidRDefault="00DB024D" w:rsidP="00D64017">
            <w:pPr>
              <w:pStyle w:val="TableText"/>
              <w:spacing w:before="40" w:after="20"/>
            </w:pPr>
            <w:r>
              <w:t>Other chemical processing plant</w:t>
            </w:r>
          </w:p>
        </w:tc>
        <w:tc>
          <w:tcPr>
            <w:tcW w:w="1701" w:type="dxa"/>
            <w:shd w:val="clear" w:color="auto" w:fill="EDEDED"/>
            <w:vAlign w:val="bottom"/>
          </w:tcPr>
          <w:p w14:paraId="574319ED" w14:textId="44468BF6" w:rsidR="00DB024D" w:rsidRDefault="00DB024D" w:rsidP="00D64017">
            <w:pPr>
              <w:pStyle w:val="TableText"/>
              <w:spacing w:before="40" w:after="20"/>
              <w:jc w:val="center"/>
            </w:pPr>
            <w:r>
              <w:t>13</w:t>
            </w:r>
          </w:p>
        </w:tc>
      </w:tr>
      <w:tr w:rsidR="00DB024D" w14:paraId="4E58595C" w14:textId="617447AA" w:rsidTr="00D64017">
        <w:trPr>
          <w:cantSplit/>
        </w:trPr>
        <w:tc>
          <w:tcPr>
            <w:tcW w:w="5670" w:type="dxa"/>
            <w:vAlign w:val="bottom"/>
          </w:tcPr>
          <w:p w14:paraId="362541C1" w14:textId="77777777" w:rsidR="00DB024D" w:rsidRDefault="00DB024D" w:rsidP="00D64017">
            <w:pPr>
              <w:pStyle w:val="TableText"/>
              <w:spacing w:before="40" w:after="20"/>
            </w:pPr>
            <w:r>
              <w:t>Other equipment</w:t>
            </w:r>
          </w:p>
        </w:tc>
        <w:tc>
          <w:tcPr>
            <w:tcW w:w="1701" w:type="dxa"/>
            <w:vAlign w:val="bottom"/>
          </w:tcPr>
          <w:p w14:paraId="44EE22CB" w14:textId="7EB99E02" w:rsidR="00DB024D" w:rsidRDefault="00DB024D" w:rsidP="00D64017">
            <w:pPr>
              <w:pStyle w:val="TableText"/>
              <w:spacing w:before="40" w:after="20"/>
              <w:jc w:val="center"/>
            </w:pPr>
            <w:r>
              <w:t>15</w:t>
            </w:r>
          </w:p>
        </w:tc>
      </w:tr>
      <w:tr w:rsidR="00DB024D" w14:paraId="0F1F7073" w14:textId="31EFB1E2" w:rsidTr="00D64017">
        <w:trPr>
          <w:cantSplit/>
        </w:trPr>
        <w:tc>
          <w:tcPr>
            <w:tcW w:w="5670" w:type="dxa"/>
            <w:shd w:val="clear" w:color="auto" w:fill="EDEDED"/>
            <w:vAlign w:val="bottom"/>
          </w:tcPr>
          <w:p w14:paraId="2E690CDE" w14:textId="77777777" w:rsidR="00DB024D" w:rsidRDefault="00DB024D" w:rsidP="00D64017">
            <w:pPr>
              <w:pStyle w:val="TableText"/>
              <w:spacing w:before="40" w:after="20"/>
            </w:pPr>
            <w:r>
              <w:t>Other process heating equipment</w:t>
            </w:r>
          </w:p>
        </w:tc>
        <w:tc>
          <w:tcPr>
            <w:tcW w:w="1701" w:type="dxa"/>
            <w:shd w:val="clear" w:color="auto" w:fill="EDEDED"/>
            <w:vAlign w:val="bottom"/>
          </w:tcPr>
          <w:p w14:paraId="5387E804" w14:textId="1FDCD525" w:rsidR="00DB024D" w:rsidRDefault="00DB024D" w:rsidP="00D64017">
            <w:pPr>
              <w:pStyle w:val="TableText"/>
              <w:spacing w:before="40" w:after="20"/>
              <w:jc w:val="center"/>
            </w:pPr>
            <w:r>
              <w:t>20</w:t>
            </w:r>
          </w:p>
        </w:tc>
      </w:tr>
      <w:tr w:rsidR="00DB024D" w14:paraId="0E6194AC" w14:textId="75E9B14C" w:rsidTr="00D64017">
        <w:trPr>
          <w:cantSplit/>
        </w:trPr>
        <w:tc>
          <w:tcPr>
            <w:tcW w:w="5670" w:type="dxa"/>
            <w:vAlign w:val="bottom"/>
          </w:tcPr>
          <w:p w14:paraId="4429B069" w14:textId="77777777" w:rsidR="00DB024D" w:rsidRDefault="00DB024D" w:rsidP="00D64017">
            <w:pPr>
              <w:pStyle w:val="TableText"/>
              <w:spacing w:before="40" w:after="20"/>
            </w:pPr>
            <w:r>
              <w:t>Ovens</w:t>
            </w:r>
          </w:p>
        </w:tc>
        <w:tc>
          <w:tcPr>
            <w:tcW w:w="1701" w:type="dxa"/>
            <w:vAlign w:val="bottom"/>
          </w:tcPr>
          <w:p w14:paraId="2143AE0B" w14:textId="3C78922B" w:rsidR="00DB024D" w:rsidRDefault="00DB024D" w:rsidP="00D64017">
            <w:pPr>
              <w:pStyle w:val="TableText"/>
              <w:spacing w:before="40" w:after="20"/>
              <w:jc w:val="center"/>
            </w:pPr>
            <w:r>
              <w:t>15</w:t>
            </w:r>
          </w:p>
        </w:tc>
      </w:tr>
      <w:tr w:rsidR="00DB024D" w14:paraId="713EDE4D" w14:textId="788C61F8" w:rsidTr="00D64017">
        <w:trPr>
          <w:cantSplit/>
        </w:trPr>
        <w:tc>
          <w:tcPr>
            <w:tcW w:w="5670" w:type="dxa"/>
            <w:shd w:val="clear" w:color="auto" w:fill="EDEDED"/>
            <w:vAlign w:val="bottom"/>
          </w:tcPr>
          <w:p w14:paraId="50914CDF" w14:textId="77777777" w:rsidR="00DB024D" w:rsidRDefault="00DB024D" w:rsidP="00D64017">
            <w:pPr>
              <w:pStyle w:val="TableText"/>
              <w:spacing w:before="40" w:after="20"/>
            </w:pPr>
            <w:r>
              <w:t>Pumping systems</w:t>
            </w:r>
          </w:p>
        </w:tc>
        <w:tc>
          <w:tcPr>
            <w:tcW w:w="1701" w:type="dxa"/>
            <w:shd w:val="clear" w:color="auto" w:fill="EDEDED"/>
            <w:vAlign w:val="bottom"/>
          </w:tcPr>
          <w:p w14:paraId="3C976BF1" w14:textId="1814D857" w:rsidR="00DB024D" w:rsidRDefault="00DB024D" w:rsidP="00D64017">
            <w:pPr>
              <w:pStyle w:val="TableText"/>
              <w:spacing w:before="40" w:after="20"/>
              <w:jc w:val="center"/>
            </w:pPr>
            <w:r>
              <w:t>20</w:t>
            </w:r>
          </w:p>
        </w:tc>
      </w:tr>
      <w:tr w:rsidR="00DB024D" w14:paraId="0B7FF9C2" w14:textId="72BC48A2" w:rsidTr="00D64017">
        <w:trPr>
          <w:cantSplit/>
        </w:trPr>
        <w:tc>
          <w:tcPr>
            <w:tcW w:w="5670" w:type="dxa"/>
            <w:vAlign w:val="bottom"/>
          </w:tcPr>
          <w:p w14:paraId="13E32144" w14:textId="77777777" w:rsidR="00DB024D" w:rsidRDefault="00DB024D" w:rsidP="00D64017">
            <w:pPr>
              <w:pStyle w:val="TableText"/>
              <w:spacing w:before="40" w:after="20"/>
            </w:pPr>
            <w:r>
              <w:t>Refrigeration</w:t>
            </w:r>
          </w:p>
        </w:tc>
        <w:tc>
          <w:tcPr>
            <w:tcW w:w="1701" w:type="dxa"/>
            <w:vAlign w:val="bottom"/>
          </w:tcPr>
          <w:p w14:paraId="3C3B768C" w14:textId="503FB0E6" w:rsidR="00DB024D" w:rsidRDefault="00DB024D" w:rsidP="00D64017">
            <w:pPr>
              <w:pStyle w:val="TableText"/>
              <w:spacing w:before="40" w:after="20"/>
              <w:jc w:val="center"/>
            </w:pPr>
            <w:r>
              <w:t>10</w:t>
            </w:r>
          </w:p>
        </w:tc>
      </w:tr>
      <w:tr w:rsidR="00DB024D" w14:paraId="7804FC20" w14:textId="367251CE" w:rsidTr="00D64017">
        <w:trPr>
          <w:cantSplit/>
        </w:trPr>
        <w:tc>
          <w:tcPr>
            <w:tcW w:w="5670" w:type="dxa"/>
            <w:shd w:val="clear" w:color="auto" w:fill="EDEDED"/>
            <w:vAlign w:val="bottom"/>
          </w:tcPr>
          <w:p w14:paraId="479D48F7" w14:textId="77777777" w:rsidR="00DB024D" w:rsidRDefault="00DB024D" w:rsidP="00D64017">
            <w:pPr>
              <w:pStyle w:val="TableText"/>
              <w:spacing w:before="40" w:after="20"/>
            </w:pPr>
            <w:r>
              <w:t>Solar photovoltaic systems</w:t>
            </w:r>
          </w:p>
        </w:tc>
        <w:tc>
          <w:tcPr>
            <w:tcW w:w="1701" w:type="dxa"/>
            <w:shd w:val="clear" w:color="auto" w:fill="EDEDED"/>
            <w:vAlign w:val="bottom"/>
          </w:tcPr>
          <w:p w14:paraId="5AB9150A" w14:textId="09690C3C" w:rsidR="00DB024D" w:rsidRDefault="00DB024D" w:rsidP="00D64017">
            <w:pPr>
              <w:pStyle w:val="TableText"/>
              <w:spacing w:before="40" w:after="20"/>
              <w:jc w:val="center"/>
            </w:pPr>
            <w:r>
              <w:t>20</w:t>
            </w:r>
          </w:p>
        </w:tc>
      </w:tr>
      <w:tr w:rsidR="00DB024D" w14:paraId="0228984A" w14:textId="1E0706FB" w:rsidTr="00D64017">
        <w:trPr>
          <w:cantSplit/>
        </w:trPr>
        <w:tc>
          <w:tcPr>
            <w:tcW w:w="5670" w:type="dxa"/>
            <w:vAlign w:val="bottom"/>
          </w:tcPr>
          <w:p w14:paraId="72495401" w14:textId="77777777" w:rsidR="00DB024D" w:rsidRDefault="00DB024D" w:rsidP="00D64017">
            <w:pPr>
              <w:pStyle w:val="TableText"/>
              <w:spacing w:before="40" w:after="20"/>
            </w:pPr>
            <w:r>
              <w:t>Solar thermal systems</w:t>
            </w:r>
          </w:p>
        </w:tc>
        <w:tc>
          <w:tcPr>
            <w:tcW w:w="1701" w:type="dxa"/>
            <w:vAlign w:val="bottom"/>
          </w:tcPr>
          <w:p w14:paraId="0EA392F8" w14:textId="3449E805" w:rsidR="00DB024D" w:rsidRDefault="00DB024D" w:rsidP="00D64017">
            <w:pPr>
              <w:pStyle w:val="TableText"/>
              <w:spacing w:before="40" w:after="20"/>
              <w:jc w:val="center"/>
            </w:pPr>
            <w:r>
              <w:t>20</w:t>
            </w:r>
          </w:p>
        </w:tc>
      </w:tr>
      <w:tr w:rsidR="00DB024D" w14:paraId="09C47847" w14:textId="1256DCF0" w:rsidTr="00D64017">
        <w:trPr>
          <w:cantSplit/>
        </w:trPr>
        <w:tc>
          <w:tcPr>
            <w:tcW w:w="5670" w:type="dxa"/>
            <w:shd w:val="clear" w:color="auto" w:fill="EDEDED"/>
            <w:vAlign w:val="bottom"/>
          </w:tcPr>
          <w:p w14:paraId="6A66EDFA" w14:textId="77777777" w:rsidR="00DB024D" w:rsidRDefault="00DB024D" w:rsidP="00D64017">
            <w:pPr>
              <w:pStyle w:val="TableText"/>
              <w:spacing w:before="40" w:after="20"/>
            </w:pPr>
            <w:r>
              <w:t>Stationary materials handling systems</w:t>
            </w:r>
          </w:p>
        </w:tc>
        <w:tc>
          <w:tcPr>
            <w:tcW w:w="1701" w:type="dxa"/>
            <w:shd w:val="clear" w:color="auto" w:fill="EDEDED"/>
            <w:vAlign w:val="bottom"/>
          </w:tcPr>
          <w:p w14:paraId="2966A3DA" w14:textId="61A8B2AB" w:rsidR="00DB024D" w:rsidRDefault="00DB024D" w:rsidP="00D64017">
            <w:pPr>
              <w:pStyle w:val="TableText"/>
              <w:spacing w:before="40" w:after="20"/>
              <w:jc w:val="center"/>
            </w:pPr>
            <w:r>
              <w:t>20</w:t>
            </w:r>
          </w:p>
        </w:tc>
      </w:tr>
      <w:tr w:rsidR="00DB024D" w14:paraId="2839688B" w14:textId="1FDB271C" w:rsidTr="00D64017">
        <w:trPr>
          <w:cantSplit/>
        </w:trPr>
        <w:tc>
          <w:tcPr>
            <w:tcW w:w="5670" w:type="dxa"/>
            <w:vAlign w:val="bottom"/>
          </w:tcPr>
          <w:p w14:paraId="5146E7DA" w14:textId="77777777" w:rsidR="00DB024D" w:rsidRDefault="00DB024D" w:rsidP="00D64017">
            <w:pPr>
              <w:pStyle w:val="TableText"/>
              <w:spacing w:before="40" w:after="20"/>
            </w:pPr>
            <w:r>
              <w:t>Steam systems</w:t>
            </w:r>
          </w:p>
        </w:tc>
        <w:tc>
          <w:tcPr>
            <w:tcW w:w="1701" w:type="dxa"/>
            <w:vAlign w:val="bottom"/>
          </w:tcPr>
          <w:p w14:paraId="3578209C" w14:textId="5C87C66E" w:rsidR="00DB024D" w:rsidRDefault="00DB024D" w:rsidP="00D64017">
            <w:pPr>
              <w:pStyle w:val="TableText"/>
              <w:spacing w:before="40" w:after="20"/>
              <w:jc w:val="center"/>
            </w:pPr>
            <w:r>
              <w:t>20</w:t>
            </w:r>
          </w:p>
        </w:tc>
      </w:tr>
      <w:tr w:rsidR="00DB024D" w14:paraId="02D9CBE1" w14:textId="5FD447EB" w:rsidTr="00D64017">
        <w:trPr>
          <w:cantSplit/>
        </w:trPr>
        <w:tc>
          <w:tcPr>
            <w:tcW w:w="5670" w:type="dxa"/>
            <w:shd w:val="clear" w:color="auto" w:fill="EDEDED"/>
            <w:vAlign w:val="bottom"/>
          </w:tcPr>
          <w:p w14:paraId="3D6C67E0" w14:textId="77777777" w:rsidR="00DB024D" w:rsidRDefault="00DB024D" w:rsidP="00D64017">
            <w:pPr>
              <w:pStyle w:val="TableText"/>
              <w:spacing w:before="40" w:after="20"/>
            </w:pPr>
            <w:r>
              <w:t>Thermal electricity generation</w:t>
            </w:r>
          </w:p>
        </w:tc>
        <w:tc>
          <w:tcPr>
            <w:tcW w:w="1701" w:type="dxa"/>
            <w:shd w:val="clear" w:color="auto" w:fill="EDEDED"/>
            <w:vAlign w:val="bottom"/>
          </w:tcPr>
          <w:p w14:paraId="6DD7FA07" w14:textId="119FE1D2" w:rsidR="00DB024D" w:rsidRDefault="00DB024D" w:rsidP="00D64017">
            <w:pPr>
              <w:pStyle w:val="TableText"/>
              <w:spacing w:before="40" w:after="20"/>
              <w:jc w:val="center"/>
            </w:pPr>
            <w:r>
              <w:t>30</w:t>
            </w:r>
          </w:p>
        </w:tc>
      </w:tr>
      <w:tr w:rsidR="00DB024D" w14:paraId="5A184426" w14:textId="3DA6F1C2" w:rsidTr="00D64017">
        <w:trPr>
          <w:cantSplit/>
        </w:trPr>
        <w:tc>
          <w:tcPr>
            <w:tcW w:w="5670" w:type="dxa"/>
            <w:vAlign w:val="bottom"/>
          </w:tcPr>
          <w:p w14:paraId="786F1F7F" w14:textId="77777777" w:rsidR="00DB024D" w:rsidRDefault="00DB024D" w:rsidP="00D64017">
            <w:pPr>
              <w:pStyle w:val="TableText"/>
              <w:spacing w:before="40" w:after="20"/>
            </w:pPr>
            <w:r>
              <w:t>Various industrial systems</w:t>
            </w:r>
          </w:p>
        </w:tc>
        <w:tc>
          <w:tcPr>
            <w:tcW w:w="1701" w:type="dxa"/>
            <w:vAlign w:val="bottom"/>
          </w:tcPr>
          <w:p w14:paraId="4895695B" w14:textId="26F7A5A5" w:rsidR="00DB024D" w:rsidRDefault="00DB024D" w:rsidP="00D64017">
            <w:pPr>
              <w:pStyle w:val="TableText"/>
              <w:spacing w:before="40" w:after="20"/>
              <w:jc w:val="center"/>
            </w:pPr>
            <w:r>
              <w:t>17.5</w:t>
            </w:r>
          </w:p>
        </w:tc>
      </w:tr>
      <w:tr w:rsidR="00DB024D" w14:paraId="147AB1FB" w14:textId="059A7FC4" w:rsidTr="00D64017">
        <w:trPr>
          <w:cantSplit/>
        </w:trPr>
        <w:tc>
          <w:tcPr>
            <w:tcW w:w="5670" w:type="dxa"/>
            <w:shd w:val="clear" w:color="auto" w:fill="EDEDED"/>
            <w:vAlign w:val="bottom"/>
          </w:tcPr>
          <w:p w14:paraId="6FFB3DB1" w14:textId="77777777" w:rsidR="00DB024D" w:rsidRDefault="00DB024D" w:rsidP="00D64017">
            <w:pPr>
              <w:pStyle w:val="TableText"/>
              <w:spacing w:before="40" w:after="20"/>
            </w:pPr>
            <w:r>
              <w:t>Ventilation systems, fans and blowers</w:t>
            </w:r>
          </w:p>
        </w:tc>
        <w:tc>
          <w:tcPr>
            <w:tcW w:w="1701" w:type="dxa"/>
            <w:shd w:val="clear" w:color="auto" w:fill="EDEDED"/>
            <w:vAlign w:val="bottom"/>
          </w:tcPr>
          <w:p w14:paraId="132426FF" w14:textId="6CF8BF3A" w:rsidR="00DB024D" w:rsidRDefault="00DB024D" w:rsidP="00D64017">
            <w:pPr>
              <w:pStyle w:val="TableText"/>
              <w:spacing w:before="40" w:after="20"/>
              <w:jc w:val="center"/>
            </w:pPr>
            <w:r>
              <w:t>15</w:t>
            </w:r>
          </w:p>
        </w:tc>
      </w:tr>
      <w:tr w:rsidR="00DB024D" w14:paraId="2B0D3C8D" w14:textId="1DCD15EC" w:rsidTr="00D64017">
        <w:trPr>
          <w:cantSplit/>
        </w:trPr>
        <w:tc>
          <w:tcPr>
            <w:tcW w:w="5670" w:type="dxa"/>
            <w:vAlign w:val="bottom"/>
          </w:tcPr>
          <w:p w14:paraId="420A9544" w14:textId="77777777" w:rsidR="00DB024D" w:rsidRDefault="00DB024D" w:rsidP="00D64017">
            <w:pPr>
              <w:pStyle w:val="TableText"/>
              <w:spacing w:before="40" w:after="20"/>
            </w:pPr>
            <w:r>
              <w:t>Waste treatment, disposal and remediation</w:t>
            </w:r>
          </w:p>
        </w:tc>
        <w:tc>
          <w:tcPr>
            <w:tcW w:w="1701" w:type="dxa"/>
            <w:vAlign w:val="bottom"/>
          </w:tcPr>
          <w:p w14:paraId="5FCED054" w14:textId="1C1B1F4D" w:rsidR="00DB024D" w:rsidRDefault="00DB024D" w:rsidP="00D64017">
            <w:pPr>
              <w:pStyle w:val="TableText"/>
              <w:spacing w:before="40" w:after="20"/>
              <w:jc w:val="center"/>
            </w:pPr>
            <w:r>
              <w:t>15</w:t>
            </w:r>
          </w:p>
        </w:tc>
      </w:tr>
      <w:tr w:rsidR="00DB024D" w14:paraId="58764131" w14:textId="578C9F51" w:rsidTr="00D64017">
        <w:trPr>
          <w:cantSplit/>
        </w:trPr>
        <w:tc>
          <w:tcPr>
            <w:tcW w:w="5670" w:type="dxa"/>
            <w:shd w:val="clear" w:color="auto" w:fill="EDEDED"/>
            <w:vAlign w:val="bottom"/>
          </w:tcPr>
          <w:p w14:paraId="35D8C7D0" w14:textId="77777777" w:rsidR="00DB024D" w:rsidRDefault="00DB024D" w:rsidP="00D64017">
            <w:pPr>
              <w:pStyle w:val="TableText"/>
              <w:spacing w:before="40" w:after="20"/>
            </w:pPr>
            <w:r>
              <w:t>Water desalination systems</w:t>
            </w:r>
          </w:p>
        </w:tc>
        <w:tc>
          <w:tcPr>
            <w:tcW w:w="1701" w:type="dxa"/>
            <w:shd w:val="clear" w:color="auto" w:fill="EDEDED"/>
            <w:vAlign w:val="bottom"/>
          </w:tcPr>
          <w:p w14:paraId="48C8D82B" w14:textId="5C19B91E" w:rsidR="00DB024D" w:rsidRDefault="00DB024D" w:rsidP="00D64017">
            <w:pPr>
              <w:pStyle w:val="TableText"/>
              <w:spacing w:before="40" w:after="20"/>
              <w:jc w:val="center"/>
            </w:pPr>
            <w:r>
              <w:t>20</w:t>
            </w:r>
          </w:p>
        </w:tc>
      </w:tr>
      <w:tr w:rsidR="00DB024D" w14:paraId="3218C0F1" w14:textId="61DFA962" w:rsidTr="00D64017">
        <w:trPr>
          <w:cantSplit/>
        </w:trPr>
        <w:tc>
          <w:tcPr>
            <w:tcW w:w="5670" w:type="dxa"/>
            <w:vAlign w:val="bottom"/>
          </w:tcPr>
          <w:p w14:paraId="4BAFCB58" w14:textId="77777777" w:rsidR="00DB024D" w:rsidRDefault="00DB024D" w:rsidP="00D64017">
            <w:pPr>
              <w:pStyle w:val="TableText"/>
              <w:spacing w:before="40" w:after="20"/>
            </w:pPr>
            <w:r>
              <w:t>Water treatment and purification systems</w:t>
            </w:r>
          </w:p>
        </w:tc>
        <w:tc>
          <w:tcPr>
            <w:tcW w:w="1701" w:type="dxa"/>
            <w:vAlign w:val="bottom"/>
          </w:tcPr>
          <w:p w14:paraId="5C720D9C" w14:textId="1E8100ED" w:rsidR="00DB024D" w:rsidRDefault="00DB024D" w:rsidP="00D64017">
            <w:pPr>
              <w:pStyle w:val="TableText"/>
              <w:spacing w:before="40" w:after="20"/>
              <w:jc w:val="center"/>
            </w:pPr>
            <w:r>
              <w:t>20</w:t>
            </w:r>
          </w:p>
        </w:tc>
      </w:tr>
      <w:tr w:rsidR="00DB024D" w14:paraId="1A1A9BE2" w14:textId="560D431D" w:rsidTr="00D64017">
        <w:trPr>
          <w:cantSplit/>
        </w:trPr>
        <w:tc>
          <w:tcPr>
            <w:tcW w:w="5670" w:type="dxa"/>
            <w:tcBorders>
              <w:bottom w:val="single" w:sz="4" w:space="0" w:color="auto"/>
            </w:tcBorders>
            <w:shd w:val="clear" w:color="auto" w:fill="EDEDED"/>
            <w:vAlign w:val="bottom"/>
          </w:tcPr>
          <w:p w14:paraId="7AAEAC72" w14:textId="77777777" w:rsidR="00DB024D" w:rsidRDefault="00DB024D" w:rsidP="00D64017">
            <w:pPr>
              <w:pStyle w:val="TableText"/>
              <w:spacing w:before="40" w:after="20"/>
            </w:pPr>
            <w:r>
              <w:t>Wind turbines</w:t>
            </w:r>
          </w:p>
        </w:tc>
        <w:tc>
          <w:tcPr>
            <w:tcW w:w="1701" w:type="dxa"/>
            <w:tcBorders>
              <w:bottom w:val="single" w:sz="4" w:space="0" w:color="auto"/>
            </w:tcBorders>
            <w:shd w:val="clear" w:color="auto" w:fill="EDEDED"/>
            <w:vAlign w:val="bottom"/>
          </w:tcPr>
          <w:p w14:paraId="55D48028" w14:textId="54456974" w:rsidR="00DB024D" w:rsidRDefault="00DB024D" w:rsidP="00D64017">
            <w:pPr>
              <w:pStyle w:val="TableText"/>
              <w:spacing w:before="40" w:after="20"/>
              <w:jc w:val="center"/>
            </w:pPr>
            <w:r>
              <w:t>20</w:t>
            </w:r>
          </w:p>
        </w:tc>
      </w:tr>
    </w:tbl>
    <w:p w14:paraId="776D5049" w14:textId="77777777" w:rsidR="00DB024D" w:rsidRDefault="00DB024D" w:rsidP="00D64017">
      <w:pPr>
        <w:pStyle w:val="BodyText"/>
      </w:pPr>
    </w:p>
    <w:p w14:paraId="37ADF183" w14:textId="77777777" w:rsidR="00DB024D" w:rsidRPr="00D64017" w:rsidRDefault="00DB024D" w:rsidP="00D64017">
      <w:pPr>
        <w:pStyle w:val="BodyText"/>
      </w:pPr>
    </w:p>
    <w:p w14:paraId="54F71538" w14:textId="77777777" w:rsidR="00165FBD" w:rsidRDefault="0017018E" w:rsidP="00165FBD">
      <w:pPr>
        <w:pStyle w:val="BackCoverContactHeading"/>
        <w:keepNext/>
        <w:spacing w:after="0"/>
      </w:pPr>
      <w:r>
        <w:rPr>
          <w:noProof/>
        </w:rPr>
        <w:lastRenderedPageBreak/>
        <w:drawing>
          <wp:inline distT="0" distB="0" distL="0" distR="0" wp14:anchorId="68FA41A9" wp14:editId="0D2BA9C3">
            <wp:extent cx="5943600" cy="3997960"/>
            <wp:effectExtent l="0" t="0" r="0" b="2540"/>
            <wp:docPr id="51" name="Chart 1" descr="Figure ten is a line graph. The Y axis data points range from zero dollars, rising in increments of fifty dollars to three hundred dollars, X axis data points appear in increments of ten years from nineteen seventy to two thousand and fifty. The graph plots the gross value add in billion dollars Australian for seven aggregate sectors of the Australian economy, agriculture, mining, manufacturing, construction, transport, residential and gas supply. Trends show gross value add rising with fluctuations across all sectors to around two thosand and twelve, with all sectors continuing to rise, some more pronounced than others to two thousand and fifty. For example, mining and residential trend toward two hundren and fifty, and two hundred billion dollars Australian, respectively, whereas agriculture trends much lower to within the fifty billion dollars gross value add range. " title="Simple extrapolation of gross value add by sector"/>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14AB54C" w14:textId="451A0DF3" w:rsidR="0017018E" w:rsidRPr="00232736" w:rsidRDefault="00165FBD" w:rsidP="00165FBD">
      <w:pPr>
        <w:pStyle w:val="Caption"/>
        <w:rPr>
          <w:color w:val="00A9CE" w:themeColor="accent1"/>
        </w:rPr>
      </w:pPr>
      <w:bookmarkStart w:id="101" w:name="_Toc433972615"/>
      <w:r w:rsidRPr="00232736">
        <w:rPr>
          <w:color w:val="00A9CE" w:themeColor="accent1"/>
        </w:rPr>
        <w:t xml:space="preserve">Figure </w:t>
      </w:r>
      <w:r w:rsidRPr="00232736">
        <w:rPr>
          <w:color w:val="00A9CE" w:themeColor="accent1"/>
        </w:rPr>
        <w:fldChar w:fldCharType="begin"/>
      </w:r>
      <w:r w:rsidRPr="00232736">
        <w:rPr>
          <w:color w:val="00A9CE" w:themeColor="accent1"/>
        </w:rPr>
        <w:instrText xml:space="preserve"> SEQ Figure \* ARABIC </w:instrText>
      </w:r>
      <w:r w:rsidRPr="00232736">
        <w:rPr>
          <w:color w:val="00A9CE" w:themeColor="accent1"/>
        </w:rPr>
        <w:fldChar w:fldCharType="separate"/>
      </w:r>
      <w:r w:rsidRPr="00232736">
        <w:rPr>
          <w:color w:val="00A9CE" w:themeColor="accent1"/>
        </w:rPr>
        <w:t>10</w:t>
      </w:r>
      <w:r w:rsidRPr="00232736">
        <w:rPr>
          <w:color w:val="00A9CE" w:themeColor="accent1"/>
        </w:rPr>
        <w:fldChar w:fldCharType="end"/>
      </w:r>
      <w:r w:rsidRPr="00232736">
        <w:rPr>
          <w:color w:val="00A9CE" w:themeColor="accent1"/>
        </w:rPr>
        <w:t>: Simple extrapolations of gross value add by sector</w:t>
      </w:r>
      <w:r w:rsidR="008C78E2">
        <w:rPr>
          <w:color w:val="00A9CE" w:themeColor="accent1"/>
        </w:rPr>
        <w:t>.</w:t>
      </w:r>
      <w:bookmarkEnd w:id="101"/>
    </w:p>
    <w:p w14:paraId="62380F83" w14:textId="0C7860FF" w:rsidR="00BC41E0" w:rsidRDefault="00BC41E0">
      <w:pPr>
        <w:spacing w:after="0"/>
        <w:rPr>
          <w:sz w:val="24"/>
        </w:rPr>
      </w:pPr>
      <w:bookmarkStart w:id="102" w:name="_Toc316485990"/>
      <w:bookmarkStart w:id="103" w:name="_Toc316486023"/>
    </w:p>
    <w:p w14:paraId="6FE0224A" w14:textId="397F92C4" w:rsidR="00AE0D97" w:rsidRPr="00D64017" w:rsidRDefault="00BC41E0" w:rsidP="00D64017">
      <w:pPr>
        <w:pStyle w:val="Heading1"/>
        <w:tabs>
          <w:tab w:val="clear" w:pos="1134"/>
        </w:tabs>
        <w:spacing w:after="1080"/>
        <w:ind w:left="142" w:hanging="142"/>
        <w:rPr>
          <w:color w:val="00A9CE" w:themeColor="accent1"/>
        </w:rPr>
      </w:pPr>
      <w:bookmarkStart w:id="104" w:name="_Toc433975089"/>
      <w:r w:rsidRPr="00D64017">
        <w:rPr>
          <w:color w:val="00A9CE" w:themeColor="accent1"/>
        </w:rPr>
        <w:lastRenderedPageBreak/>
        <w:t>Acronyms</w:t>
      </w:r>
      <w:bookmarkEnd w:id="104"/>
    </w:p>
    <w:p w14:paraId="05AF84A0" w14:textId="77777777" w:rsidR="00BC41E0" w:rsidRDefault="00BC41E0" w:rsidP="00B04E91">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cronyms"/>
        <w:tblDescription w:val="This table has two columns titled acronym and definition, and multiple rows with different entries reading from left to right. "/>
      </w:tblPr>
      <w:tblGrid>
        <w:gridCol w:w="1560"/>
        <w:gridCol w:w="5386"/>
      </w:tblGrid>
      <w:tr w:rsidR="00CA3FCC" w14:paraId="4D329476" w14:textId="77777777" w:rsidTr="00CA3FCC">
        <w:tc>
          <w:tcPr>
            <w:tcW w:w="1560" w:type="dxa"/>
            <w:shd w:val="clear" w:color="auto" w:fill="000000" w:themeFill="text1"/>
          </w:tcPr>
          <w:p w14:paraId="312BA04F" w14:textId="28764750" w:rsidR="00CA3FCC" w:rsidRDefault="00CA3FCC" w:rsidP="00CA3FCC">
            <w:pPr>
              <w:pStyle w:val="ColumnHeading"/>
              <w:spacing w:before="120" w:after="60" w:line="240" w:lineRule="auto"/>
            </w:pPr>
            <w:r>
              <w:t>Acronym</w:t>
            </w:r>
          </w:p>
        </w:tc>
        <w:tc>
          <w:tcPr>
            <w:tcW w:w="5386" w:type="dxa"/>
            <w:shd w:val="clear" w:color="auto" w:fill="000000" w:themeFill="text1"/>
          </w:tcPr>
          <w:p w14:paraId="71B1CDD7" w14:textId="5C9A96BC" w:rsidR="00CA3FCC" w:rsidRDefault="00CA3FCC" w:rsidP="00CA3FCC">
            <w:pPr>
              <w:pStyle w:val="ColumnHeading"/>
              <w:spacing w:before="120" w:after="60" w:line="240" w:lineRule="auto"/>
            </w:pPr>
            <w:r>
              <w:t>Definition</w:t>
            </w:r>
          </w:p>
        </w:tc>
      </w:tr>
      <w:tr w:rsidR="00BC41E0" w14:paraId="3AF8CCCE" w14:textId="77777777" w:rsidTr="00CA3FCC">
        <w:tc>
          <w:tcPr>
            <w:tcW w:w="1560" w:type="dxa"/>
            <w:shd w:val="clear" w:color="auto" w:fill="EDEDED"/>
          </w:tcPr>
          <w:p w14:paraId="12AB1801" w14:textId="77777777" w:rsidR="00BC41E0" w:rsidRDefault="00BC41E0" w:rsidP="00CA3FCC">
            <w:pPr>
              <w:spacing w:before="60" w:after="60"/>
            </w:pPr>
            <w:r>
              <w:t>ABS</w:t>
            </w:r>
          </w:p>
        </w:tc>
        <w:tc>
          <w:tcPr>
            <w:tcW w:w="5386" w:type="dxa"/>
            <w:shd w:val="clear" w:color="auto" w:fill="EDEDED"/>
          </w:tcPr>
          <w:p w14:paraId="48C4A4F3" w14:textId="77777777" w:rsidR="00BC41E0" w:rsidRPr="009A3301" w:rsidRDefault="00BC41E0" w:rsidP="00CA3FCC">
            <w:pPr>
              <w:spacing w:before="60" w:after="60"/>
            </w:pPr>
            <w:r>
              <w:t>Australian Bureau of Statistics</w:t>
            </w:r>
          </w:p>
        </w:tc>
      </w:tr>
      <w:tr w:rsidR="00BC41E0" w14:paraId="7C9795B7" w14:textId="77777777" w:rsidTr="00CA3FCC">
        <w:tc>
          <w:tcPr>
            <w:tcW w:w="1560" w:type="dxa"/>
          </w:tcPr>
          <w:p w14:paraId="75D5BC18" w14:textId="77777777" w:rsidR="00BC41E0" w:rsidRDefault="00BC41E0" w:rsidP="00CA3FCC">
            <w:pPr>
              <w:spacing w:before="60" w:after="60"/>
            </w:pPr>
            <w:r>
              <w:t>ANO</w:t>
            </w:r>
          </w:p>
        </w:tc>
        <w:tc>
          <w:tcPr>
            <w:tcW w:w="5386" w:type="dxa"/>
          </w:tcPr>
          <w:p w14:paraId="239DECF1" w14:textId="77777777" w:rsidR="00BC41E0" w:rsidRDefault="00BC41E0" w:rsidP="00CA3FCC">
            <w:pPr>
              <w:spacing w:before="60" w:after="60"/>
            </w:pPr>
            <w:r>
              <w:t>Australian National Outlook project</w:t>
            </w:r>
          </w:p>
        </w:tc>
      </w:tr>
      <w:tr w:rsidR="00BC41E0" w14:paraId="3AAF8C00" w14:textId="77777777" w:rsidTr="00CA3FCC">
        <w:tc>
          <w:tcPr>
            <w:tcW w:w="1560" w:type="dxa"/>
            <w:shd w:val="clear" w:color="auto" w:fill="EDEDED"/>
          </w:tcPr>
          <w:p w14:paraId="5E578836" w14:textId="77777777" w:rsidR="00BC41E0" w:rsidRDefault="00BC41E0" w:rsidP="00CA3FCC">
            <w:pPr>
              <w:spacing w:before="60" w:after="60"/>
            </w:pPr>
            <w:r>
              <w:t>ANZSIC</w:t>
            </w:r>
          </w:p>
        </w:tc>
        <w:tc>
          <w:tcPr>
            <w:tcW w:w="5386" w:type="dxa"/>
            <w:shd w:val="clear" w:color="auto" w:fill="EDEDED"/>
          </w:tcPr>
          <w:p w14:paraId="5F116DD6" w14:textId="77777777" w:rsidR="00BC41E0" w:rsidRPr="00954B51" w:rsidRDefault="00BC41E0" w:rsidP="00CA3FCC">
            <w:pPr>
              <w:spacing w:before="60" w:after="60"/>
              <w:rPr>
                <w:i/>
              </w:rPr>
            </w:pPr>
            <w:r w:rsidRPr="00954B51">
              <w:rPr>
                <w:rStyle w:val="Emphasis"/>
                <w:i w:val="0"/>
              </w:rPr>
              <w:t>Australian and New Zealand Standard Industrial Classification</w:t>
            </w:r>
          </w:p>
        </w:tc>
      </w:tr>
      <w:tr w:rsidR="00BC41E0" w14:paraId="24813E96" w14:textId="77777777" w:rsidTr="00CA3FCC">
        <w:tc>
          <w:tcPr>
            <w:tcW w:w="1560" w:type="dxa"/>
          </w:tcPr>
          <w:p w14:paraId="7B9AACFF" w14:textId="77777777" w:rsidR="00BC41E0" w:rsidRDefault="00BC41E0" w:rsidP="00CA3FCC">
            <w:pPr>
              <w:spacing w:before="60" w:after="60"/>
            </w:pPr>
            <w:r>
              <w:t>BREE</w:t>
            </w:r>
          </w:p>
        </w:tc>
        <w:tc>
          <w:tcPr>
            <w:tcW w:w="5386" w:type="dxa"/>
          </w:tcPr>
          <w:p w14:paraId="77EB9A09" w14:textId="77777777" w:rsidR="00BC41E0" w:rsidRDefault="00BC41E0" w:rsidP="00CA3FCC">
            <w:pPr>
              <w:spacing w:before="60" w:after="60"/>
            </w:pPr>
            <w:r w:rsidRPr="0045334E">
              <w:t>Bureau of Resources and Energy Economics</w:t>
            </w:r>
          </w:p>
        </w:tc>
      </w:tr>
      <w:tr w:rsidR="00BC41E0" w14:paraId="2765C3FB" w14:textId="77777777" w:rsidTr="00CA3FCC">
        <w:tc>
          <w:tcPr>
            <w:tcW w:w="1560" w:type="dxa"/>
            <w:shd w:val="clear" w:color="auto" w:fill="EDEDED"/>
          </w:tcPr>
          <w:p w14:paraId="0D4AC8F4" w14:textId="77777777" w:rsidR="00BC41E0" w:rsidRDefault="00BC41E0" w:rsidP="00CA3FCC">
            <w:pPr>
              <w:spacing w:before="60" w:after="60"/>
            </w:pPr>
            <w:r>
              <w:t>ESM</w:t>
            </w:r>
          </w:p>
        </w:tc>
        <w:tc>
          <w:tcPr>
            <w:tcW w:w="5386" w:type="dxa"/>
            <w:shd w:val="clear" w:color="auto" w:fill="EDEDED"/>
          </w:tcPr>
          <w:p w14:paraId="090BDE8F" w14:textId="77777777" w:rsidR="00BC41E0" w:rsidRPr="0045334E" w:rsidRDefault="00BC41E0" w:rsidP="00CA3FCC">
            <w:pPr>
              <w:spacing w:before="60" w:after="60"/>
            </w:pPr>
            <w:r>
              <w:t>Energy Sector Model</w:t>
            </w:r>
          </w:p>
        </w:tc>
      </w:tr>
      <w:tr w:rsidR="00BC41E0" w14:paraId="0217DF68" w14:textId="77777777" w:rsidTr="00CA3FCC">
        <w:tc>
          <w:tcPr>
            <w:tcW w:w="1560" w:type="dxa"/>
          </w:tcPr>
          <w:p w14:paraId="061C3839" w14:textId="77777777" w:rsidR="00BC41E0" w:rsidRDefault="00BC41E0" w:rsidP="00CA3FCC">
            <w:pPr>
              <w:spacing w:before="60" w:after="60"/>
            </w:pPr>
            <w:r>
              <w:t>GL</w:t>
            </w:r>
          </w:p>
        </w:tc>
        <w:tc>
          <w:tcPr>
            <w:tcW w:w="5386" w:type="dxa"/>
          </w:tcPr>
          <w:p w14:paraId="03A5937D" w14:textId="77777777" w:rsidR="00BC41E0" w:rsidRDefault="00BC41E0" w:rsidP="00CA3FCC">
            <w:pPr>
              <w:spacing w:before="60" w:after="60"/>
            </w:pPr>
            <w:r>
              <w:t>Gigalitres</w:t>
            </w:r>
          </w:p>
        </w:tc>
      </w:tr>
      <w:tr w:rsidR="00BC41E0" w14:paraId="10B2A1CB" w14:textId="77777777" w:rsidTr="00CA3FCC">
        <w:tc>
          <w:tcPr>
            <w:tcW w:w="1560" w:type="dxa"/>
            <w:shd w:val="clear" w:color="auto" w:fill="EDEDED"/>
          </w:tcPr>
          <w:p w14:paraId="68E246B6" w14:textId="77777777" w:rsidR="00BC41E0" w:rsidRDefault="00BC41E0" w:rsidP="00CA3FCC">
            <w:pPr>
              <w:spacing w:before="60" w:after="60"/>
            </w:pPr>
            <w:r>
              <w:t>GVA</w:t>
            </w:r>
          </w:p>
        </w:tc>
        <w:tc>
          <w:tcPr>
            <w:tcW w:w="5386" w:type="dxa"/>
            <w:shd w:val="clear" w:color="auto" w:fill="EDEDED"/>
          </w:tcPr>
          <w:p w14:paraId="4BBF9B38" w14:textId="77777777" w:rsidR="00BC41E0" w:rsidRDefault="00BC41E0" w:rsidP="00CA3FCC">
            <w:pPr>
              <w:spacing w:before="60" w:after="60"/>
            </w:pPr>
            <w:r>
              <w:t xml:space="preserve">Gross value add </w:t>
            </w:r>
          </w:p>
        </w:tc>
      </w:tr>
      <w:tr w:rsidR="00BC41E0" w14:paraId="44ADDD47" w14:textId="77777777" w:rsidTr="00CA3FCC">
        <w:tc>
          <w:tcPr>
            <w:tcW w:w="1560" w:type="dxa"/>
          </w:tcPr>
          <w:p w14:paraId="2FF5922F" w14:textId="77777777" w:rsidR="00BC41E0" w:rsidRPr="00010C30" w:rsidRDefault="00BC41E0" w:rsidP="00CA3FCC">
            <w:pPr>
              <w:spacing w:before="60" w:after="60"/>
            </w:pPr>
            <w:r>
              <w:t>IEEDAP</w:t>
            </w:r>
          </w:p>
        </w:tc>
        <w:tc>
          <w:tcPr>
            <w:tcW w:w="5386" w:type="dxa"/>
          </w:tcPr>
          <w:p w14:paraId="7AF5D9B5" w14:textId="5997EAF7" w:rsidR="00BC41E0" w:rsidRPr="00010C30" w:rsidRDefault="00FF02DC" w:rsidP="00CA3FCC">
            <w:pPr>
              <w:spacing w:before="60" w:after="60"/>
            </w:pPr>
            <w:r>
              <w:t xml:space="preserve">Industry </w:t>
            </w:r>
            <w:r w:rsidR="00BC41E0" w:rsidRPr="009A3301">
              <w:t>Energy Efficiency Data Analysis Project</w:t>
            </w:r>
          </w:p>
        </w:tc>
      </w:tr>
      <w:tr w:rsidR="00BC41E0" w14:paraId="52F4D633" w14:textId="77777777" w:rsidTr="00CA3FCC">
        <w:tc>
          <w:tcPr>
            <w:tcW w:w="1560" w:type="dxa"/>
            <w:shd w:val="clear" w:color="auto" w:fill="EDEDED"/>
          </w:tcPr>
          <w:p w14:paraId="5D0ED59E" w14:textId="1C74BED3" w:rsidR="00BC41E0" w:rsidRDefault="00B11EFB" w:rsidP="00CA3FCC">
            <w:pPr>
              <w:spacing w:before="60" w:after="60"/>
            </w:pPr>
            <w:r>
              <w:t>m</w:t>
            </w:r>
            <w:r w:rsidR="00BC41E0" w:rsidRPr="000F2798">
              <w:rPr>
                <w:vertAlign w:val="superscript"/>
              </w:rPr>
              <w:t>2</w:t>
            </w:r>
          </w:p>
        </w:tc>
        <w:tc>
          <w:tcPr>
            <w:tcW w:w="5386" w:type="dxa"/>
            <w:shd w:val="clear" w:color="auto" w:fill="EDEDED"/>
          </w:tcPr>
          <w:p w14:paraId="1D25ECA9" w14:textId="77777777" w:rsidR="00BC41E0" w:rsidRDefault="00BC41E0" w:rsidP="00CA3FCC">
            <w:pPr>
              <w:spacing w:before="60" w:after="60"/>
            </w:pPr>
            <w:r>
              <w:t>Metres squared</w:t>
            </w:r>
          </w:p>
        </w:tc>
      </w:tr>
      <w:tr w:rsidR="00BC41E0" w14:paraId="11E91646" w14:textId="77777777" w:rsidTr="00CA3FCC">
        <w:tc>
          <w:tcPr>
            <w:tcW w:w="1560" w:type="dxa"/>
          </w:tcPr>
          <w:p w14:paraId="15CA5552" w14:textId="77777777" w:rsidR="00BC41E0" w:rsidRPr="00010C30" w:rsidRDefault="00BC41E0" w:rsidP="00CA3FCC">
            <w:pPr>
              <w:spacing w:before="60" w:after="60"/>
            </w:pPr>
            <w:r w:rsidRPr="00010C30">
              <w:t>MEFISTO</w:t>
            </w:r>
          </w:p>
        </w:tc>
        <w:tc>
          <w:tcPr>
            <w:tcW w:w="5386" w:type="dxa"/>
          </w:tcPr>
          <w:p w14:paraId="0E37E8C2" w14:textId="412B21EC" w:rsidR="00BC41E0" w:rsidRPr="00010C30" w:rsidRDefault="00FF02DC" w:rsidP="00CA3FCC">
            <w:pPr>
              <w:spacing w:before="60" w:after="60"/>
            </w:pPr>
            <w:r>
              <w:t>Material and Energy Flows Integrated with Stocks</w:t>
            </w:r>
          </w:p>
        </w:tc>
      </w:tr>
      <w:tr w:rsidR="00BC41E0" w14:paraId="20D3E7E0" w14:textId="77777777" w:rsidTr="00CA3FCC">
        <w:tc>
          <w:tcPr>
            <w:tcW w:w="1560" w:type="dxa"/>
            <w:shd w:val="clear" w:color="auto" w:fill="EDEDED"/>
          </w:tcPr>
          <w:p w14:paraId="36082CF5" w14:textId="77777777" w:rsidR="00BC41E0" w:rsidRDefault="00BC41E0" w:rsidP="00CA3FCC">
            <w:pPr>
              <w:spacing w:before="60" w:after="60"/>
            </w:pPr>
            <w:r>
              <w:t>MJ</w:t>
            </w:r>
          </w:p>
        </w:tc>
        <w:tc>
          <w:tcPr>
            <w:tcW w:w="5386" w:type="dxa"/>
            <w:shd w:val="clear" w:color="auto" w:fill="EDEDED"/>
          </w:tcPr>
          <w:p w14:paraId="72B18F50" w14:textId="77777777" w:rsidR="00BC41E0" w:rsidRDefault="00BC41E0" w:rsidP="00CA3FCC">
            <w:pPr>
              <w:spacing w:before="60" w:after="60"/>
            </w:pPr>
            <w:r>
              <w:t>Megajoules</w:t>
            </w:r>
          </w:p>
        </w:tc>
      </w:tr>
      <w:tr w:rsidR="00BC41E0" w14:paraId="42F56042" w14:textId="77777777" w:rsidTr="00CA3FCC">
        <w:tc>
          <w:tcPr>
            <w:tcW w:w="1560" w:type="dxa"/>
          </w:tcPr>
          <w:p w14:paraId="7C7340EE" w14:textId="77777777" w:rsidR="00BC41E0" w:rsidRDefault="00BC41E0" w:rsidP="00CA3FCC">
            <w:pPr>
              <w:spacing w:before="60" w:after="60"/>
            </w:pPr>
            <w:r>
              <w:t>NABERS</w:t>
            </w:r>
          </w:p>
        </w:tc>
        <w:tc>
          <w:tcPr>
            <w:tcW w:w="5386" w:type="dxa"/>
          </w:tcPr>
          <w:p w14:paraId="6C8EF261" w14:textId="77777777" w:rsidR="00BC41E0" w:rsidRDefault="00BC41E0" w:rsidP="00CA3FCC">
            <w:pPr>
              <w:spacing w:before="60" w:after="60"/>
            </w:pPr>
            <w:r>
              <w:t>National Australian Built Environment Rating System</w:t>
            </w:r>
          </w:p>
        </w:tc>
      </w:tr>
      <w:tr w:rsidR="00BC41E0" w14:paraId="7B41FAC9" w14:textId="77777777" w:rsidTr="00CA3FCC">
        <w:tc>
          <w:tcPr>
            <w:tcW w:w="1560" w:type="dxa"/>
            <w:shd w:val="clear" w:color="auto" w:fill="EDEDED"/>
          </w:tcPr>
          <w:p w14:paraId="5A7AA8E7" w14:textId="77777777" w:rsidR="00BC41E0" w:rsidRDefault="00BC41E0" w:rsidP="00CA3FCC">
            <w:pPr>
              <w:spacing w:before="60" w:after="60"/>
            </w:pPr>
            <w:r>
              <w:t>PJ</w:t>
            </w:r>
          </w:p>
        </w:tc>
        <w:tc>
          <w:tcPr>
            <w:tcW w:w="5386" w:type="dxa"/>
            <w:shd w:val="clear" w:color="auto" w:fill="EDEDED"/>
          </w:tcPr>
          <w:p w14:paraId="2EAE9975" w14:textId="77777777" w:rsidR="00BC41E0" w:rsidRDefault="00BC41E0" w:rsidP="00CA3FCC">
            <w:pPr>
              <w:spacing w:before="60" w:after="60"/>
            </w:pPr>
            <w:r>
              <w:t>Petajoules</w:t>
            </w:r>
          </w:p>
        </w:tc>
      </w:tr>
      <w:tr w:rsidR="00BC41E0" w14:paraId="5CF239A5" w14:textId="77777777" w:rsidTr="00CA3FCC">
        <w:tc>
          <w:tcPr>
            <w:tcW w:w="1560" w:type="dxa"/>
            <w:tcBorders>
              <w:bottom w:val="single" w:sz="4" w:space="0" w:color="auto"/>
            </w:tcBorders>
          </w:tcPr>
          <w:p w14:paraId="2D3EF6B1" w14:textId="77777777" w:rsidR="00BC41E0" w:rsidRDefault="00BC41E0" w:rsidP="00CA3FCC">
            <w:pPr>
              <w:spacing w:before="60" w:after="60"/>
            </w:pPr>
            <w:r>
              <w:t>TJ</w:t>
            </w:r>
          </w:p>
        </w:tc>
        <w:tc>
          <w:tcPr>
            <w:tcW w:w="5386" w:type="dxa"/>
            <w:tcBorders>
              <w:bottom w:val="single" w:sz="4" w:space="0" w:color="auto"/>
            </w:tcBorders>
          </w:tcPr>
          <w:p w14:paraId="638ABFF0" w14:textId="77777777" w:rsidR="00BC41E0" w:rsidRDefault="00BC41E0" w:rsidP="00CA3FCC">
            <w:pPr>
              <w:spacing w:before="60" w:after="60"/>
            </w:pPr>
            <w:r>
              <w:t>Terajoules</w:t>
            </w:r>
          </w:p>
        </w:tc>
      </w:tr>
    </w:tbl>
    <w:p w14:paraId="08D3AB8A" w14:textId="77777777" w:rsidR="00BC41E0" w:rsidRDefault="00BC41E0" w:rsidP="00B04E91">
      <w:pPr>
        <w:pStyle w:val="BodyText"/>
      </w:pPr>
    </w:p>
    <w:bookmarkEnd w:id="102"/>
    <w:bookmarkEnd w:id="103"/>
    <w:p w14:paraId="1BB7F5ED" w14:textId="012DCB64" w:rsidR="00B04E91" w:rsidRDefault="00B04E91" w:rsidP="00B04E91">
      <w:pPr>
        <w:pStyle w:val="BodyText"/>
        <w:rPr>
          <w:color w:val="007E9A" w:themeColor="accent1" w:themeShade="BF"/>
          <w:sz w:val="20"/>
          <w:szCs w:val="18"/>
        </w:rPr>
      </w:pPr>
    </w:p>
    <w:p w14:paraId="7B6236B2" w14:textId="77777777" w:rsidR="00A943B2" w:rsidRPr="006D07FA" w:rsidRDefault="00A943B2" w:rsidP="00DB5EB8">
      <w:pPr>
        <w:pStyle w:val="Heading1"/>
        <w:tabs>
          <w:tab w:val="clear" w:pos="1134"/>
        </w:tabs>
        <w:spacing w:after="1080"/>
        <w:ind w:left="142" w:hanging="142"/>
        <w:rPr>
          <w:color w:val="00A9CE" w:themeColor="accent1"/>
        </w:rPr>
      </w:pPr>
      <w:bookmarkStart w:id="105" w:name="_Toc315694433"/>
      <w:bookmarkStart w:id="106" w:name="_Toc423087849"/>
      <w:bookmarkStart w:id="107" w:name="_Toc433975090"/>
      <w:r w:rsidRPr="006D07FA">
        <w:rPr>
          <w:color w:val="00A9CE" w:themeColor="accent1"/>
        </w:rPr>
        <w:lastRenderedPageBreak/>
        <w:t>References</w:t>
      </w:r>
      <w:bookmarkEnd w:id="105"/>
      <w:bookmarkEnd w:id="106"/>
      <w:bookmarkEnd w:id="107"/>
    </w:p>
    <w:p w14:paraId="2E033947" w14:textId="08D7DF25" w:rsidR="00317DB9" w:rsidRPr="00317DB9" w:rsidRDefault="00317DB9" w:rsidP="00C728D0">
      <w:pPr>
        <w:tabs>
          <w:tab w:val="left" w:pos="567"/>
        </w:tabs>
        <w:ind w:left="567" w:hanging="567"/>
        <w:rPr>
          <w:sz w:val="24"/>
          <w:szCs w:val="24"/>
        </w:rPr>
      </w:pPr>
      <w:r w:rsidRPr="00317DB9">
        <w:rPr>
          <w:sz w:val="24"/>
          <w:szCs w:val="24"/>
        </w:rPr>
        <w:t>Australian Bureau of Sta</w:t>
      </w:r>
      <w:r>
        <w:rPr>
          <w:sz w:val="24"/>
          <w:szCs w:val="24"/>
        </w:rPr>
        <w:t>tistics</w:t>
      </w:r>
      <w:r w:rsidR="005F3111">
        <w:rPr>
          <w:sz w:val="24"/>
          <w:szCs w:val="24"/>
        </w:rPr>
        <w:t xml:space="preserve"> (ABS)</w:t>
      </w:r>
      <w:r>
        <w:rPr>
          <w:sz w:val="24"/>
          <w:szCs w:val="24"/>
        </w:rPr>
        <w:t xml:space="preserve"> (</w:t>
      </w:r>
      <w:r w:rsidRPr="00317DB9">
        <w:rPr>
          <w:sz w:val="24"/>
          <w:szCs w:val="24"/>
        </w:rPr>
        <w:t>2012</w:t>
      </w:r>
      <w:r>
        <w:rPr>
          <w:sz w:val="24"/>
          <w:szCs w:val="24"/>
        </w:rPr>
        <w:t>)</w:t>
      </w:r>
      <w:r w:rsidRPr="00317DB9">
        <w:rPr>
          <w:sz w:val="24"/>
          <w:szCs w:val="24"/>
        </w:rPr>
        <w:t xml:space="preserve"> </w:t>
      </w:r>
      <w:r w:rsidRPr="00D64017">
        <w:rPr>
          <w:i/>
          <w:sz w:val="24"/>
          <w:szCs w:val="24"/>
        </w:rPr>
        <w:t>Australian National Accounts: National Income, Expenditure and Product, Cat</w:t>
      </w:r>
      <w:r w:rsidR="006668F7">
        <w:rPr>
          <w:i/>
          <w:sz w:val="24"/>
          <w:szCs w:val="24"/>
        </w:rPr>
        <w:t>alogue No</w:t>
      </w:r>
      <w:r w:rsidRPr="00D64017">
        <w:rPr>
          <w:i/>
          <w:sz w:val="24"/>
          <w:szCs w:val="24"/>
        </w:rPr>
        <w:t>. 5206.0</w:t>
      </w:r>
      <w:r w:rsidRPr="00317DB9">
        <w:rPr>
          <w:sz w:val="24"/>
          <w:szCs w:val="24"/>
        </w:rPr>
        <w:t>. Australian Bureau of Statistics</w:t>
      </w:r>
      <w:r w:rsidR="006668F7">
        <w:rPr>
          <w:sz w:val="24"/>
          <w:szCs w:val="24"/>
        </w:rPr>
        <w:t xml:space="preserve">, </w:t>
      </w:r>
      <w:r w:rsidR="006668F7" w:rsidRPr="00317DB9">
        <w:rPr>
          <w:sz w:val="24"/>
          <w:szCs w:val="24"/>
        </w:rPr>
        <w:t>Canberra</w:t>
      </w:r>
      <w:r w:rsidRPr="00317DB9">
        <w:rPr>
          <w:sz w:val="24"/>
          <w:szCs w:val="24"/>
        </w:rPr>
        <w:t>.</w:t>
      </w:r>
    </w:p>
    <w:p w14:paraId="4CB91C5E" w14:textId="32DCD9ED" w:rsidR="00317DB9" w:rsidRPr="00317DB9" w:rsidRDefault="005F3111" w:rsidP="00C728D0">
      <w:pPr>
        <w:ind w:left="567" w:hanging="567"/>
        <w:rPr>
          <w:sz w:val="24"/>
          <w:szCs w:val="24"/>
        </w:rPr>
      </w:pPr>
      <w:r>
        <w:rPr>
          <w:sz w:val="24"/>
          <w:szCs w:val="24"/>
        </w:rPr>
        <w:t>Australian Bureau of Statistics (</w:t>
      </w:r>
      <w:r w:rsidR="00317DB9" w:rsidRPr="00317DB9">
        <w:rPr>
          <w:sz w:val="24"/>
          <w:szCs w:val="24"/>
        </w:rPr>
        <w:t>ABS</w:t>
      </w:r>
      <w:r>
        <w:rPr>
          <w:sz w:val="24"/>
          <w:szCs w:val="24"/>
        </w:rPr>
        <w:t>)</w:t>
      </w:r>
      <w:r w:rsidR="00317DB9" w:rsidRPr="00317DB9">
        <w:rPr>
          <w:sz w:val="24"/>
          <w:szCs w:val="24"/>
        </w:rPr>
        <w:t xml:space="preserve"> </w:t>
      </w:r>
      <w:r w:rsidR="005853F7">
        <w:rPr>
          <w:sz w:val="24"/>
          <w:szCs w:val="24"/>
        </w:rPr>
        <w:t>(</w:t>
      </w:r>
      <w:r w:rsidR="00317DB9" w:rsidRPr="00317DB9">
        <w:rPr>
          <w:sz w:val="24"/>
          <w:szCs w:val="24"/>
        </w:rPr>
        <w:t>2000</w:t>
      </w:r>
      <w:r w:rsidR="005853F7">
        <w:rPr>
          <w:sz w:val="24"/>
          <w:szCs w:val="24"/>
        </w:rPr>
        <w:t>)</w:t>
      </w:r>
      <w:r w:rsidR="00317DB9" w:rsidRPr="00317DB9">
        <w:rPr>
          <w:sz w:val="24"/>
          <w:szCs w:val="24"/>
        </w:rPr>
        <w:t xml:space="preserve"> </w:t>
      </w:r>
      <w:r w:rsidR="00317DB9" w:rsidRPr="00D64017">
        <w:rPr>
          <w:i/>
          <w:sz w:val="24"/>
          <w:szCs w:val="24"/>
        </w:rPr>
        <w:t>Water Account for Australia 1993–94 to 1996–97, Catalogue No. 4610.0.</w:t>
      </w:r>
      <w:r w:rsidR="00317DB9" w:rsidRPr="00317DB9">
        <w:rPr>
          <w:sz w:val="24"/>
          <w:szCs w:val="24"/>
        </w:rPr>
        <w:t xml:space="preserve"> Australian Bureau of Statistics</w:t>
      </w:r>
      <w:r w:rsidR="005853F7">
        <w:rPr>
          <w:sz w:val="24"/>
          <w:szCs w:val="24"/>
        </w:rPr>
        <w:t xml:space="preserve">, </w:t>
      </w:r>
      <w:r w:rsidR="005853F7" w:rsidRPr="00317DB9">
        <w:rPr>
          <w:sz w:val="24"/>
          <w:szCs w:val="24"/>
        </w:rPr>
        <w:t>Canberra</w:t>
      </w:r>
      <w:r w:rsidR="00317DB9" w:rsidRPr="00317DB9">
        <w:rPr>
          <w:sz w:val="24"/>
          <w:szCs w:val="24"/>
        </w:rPr>
        <w:t xml:space="preserve">. </w:t>
      </w:r>
    </w:p>
    <w:p w14:paraId="74822CF5" w14:textId="46DCD1C1" w:rsidR="00317DB9" w:rsidRPr="00317DB9" w:rsidRDefault="005F3111" w:rsidP="00C728D0">
      <w:pPr>
        <w:ind w:left="567" w:hanging="567"/>
        <w:rPr>
          <w:sz w:val="24"/>
          <w:szCs w:val="24"/>
        </w:rPr>
      </w:pPr>
      <w:r>
        <w:rPr>
          <w:sz w:val="24"/>
          <w:szCs w:val="24"/>
        </w:rPr>
        <w:t>Australian Bureau of Statistics (</w:t>
      </w:r>
      <w:r w:rsidR="00317DB9" w:rsidRPr="00317DB9">
        <w:rPr>
          <w:sz w:val="24"/>
          <w:szCs w:val="24"/>
        </w:rPr>
        <w:t>ABS</w:t>
      </w:r>
      <w:r>
        <w:rPr>
          <w:sz w:val="24"/>
          <w:szCs w:val="24"/>
        </w:rPr>
        <w:t>)</w:t>
      </w:r>
      <w:r w:rsidR="00317DB9" w:rsidRPr="00317DB9">
        <w:rPr>
          <w:sz w:val="24"/>
          <w:szCs w:val="24"/>
        </w:rPr>
        <w:t xml:space="preserve"> </w:t>
      </w:r>
      <w:r w:rsidR="005853F7">
        <w:rPr>
          <w:sz w:val="24"/>
          <w:szCs w:val="24"/>
        </w:rPr>
        <w:t>(</w:t>
      </w:r>
      <w:r w:rsidR="00317DB9" w:rsidRPr="00317DB9">
        <w:rPr>
          <w:sz w:val="24"/>
          <w:szCs w:val="24"/>
        </w:rPr>
        <w:t>2004</w:t>
      </w:r>
      <w:r w:rsidR="005853F7">
        <w:rPr>
          <w:sz w:val="24"/>
          <w:szCs w:val="24"/>
        </w:rPr>
        <w:t>)</w:t>
      </w:r>
      <w:r w:rsidR="00317DB9" w:rsidRPr="00317DB9">
        <w:rPr>
          <w:sz w:val="24"/>
          <w:szCs w:val="24"/>
        </w:rPr>
        <w:t xml:space="preserve"> </w:t>
      </w:r>
      <w:r w:rsidR="00317DB9" w:rsidRPr="00D64017">
        <w:rPr>
          <w:i/>
          <w:sz w:val="24"/>
          <w:szCs w:val="24"/>
        </w:rPr>
        <w:t>Water Account Australia 2000-01, Catalogue No. 4610.0.</w:t>
      </w:r>
      <w:r w:rsidR="00317DB9" w:rsidRPr="00317DB9">
        <w:rPr>
          <w:sz w:val="24"/>
          <w:szCs w:val="24"/>
        </w:rPr>
        <w:t xml:space="preserve"> Australian Bureau of Statistics</w:t>
      </w:r>
      <w:r w:rsidR="005853F7">
        <w:rPr>
          <w:sz w:val="24"/>
          <w:szCs w:val="24"/>
        </w:rPr>
        <w:t>, Canberra.</w:t>
      </w:r>
      <w:r w:rsidR="00317DB9" w:rsidRPr="00317DB9">
        <w:rPr>
          <w:sz w:val="24"/>
          <w:szCs w:val="24"/>
        </w:rPr>
        <w:t xml:space="preserve"> </w:t>
      </w:r>
    </w:p>
    <w:p w14:paraId="41039D41" w14:textId="421B98E2" w:rsidR="00317DB9" w:rsidRPr="00317DB9" w:rsidRDefault="005F3111" w:rsidP="00C728D0">
      <w:pPr>
        <w:ind w:left="567" w:hanging="567"/>
        <w:rPr>
          <w:sz w:val="24"/>
          <w:szCs w:val="24"/>
        </w:rPr>
      </w:pPr>
      <w:r>
        <w:rPr>
          <w:sz w:val="24"/>
          <w:szCs w:val="24"/>
        </w:rPr>
        <w:t>Australian Bureau of Statistics (</w:t>
      </w:r>
      <w:r w:rsidR="00317DB9" w:rsidRPr="00317DB9">
        <w:rPr>
          <w:sz w:val="24"/>
          <w:szCs w:val="24"/>
        </w:rPr>
        <w:t>ABS</w:t>
      </w:r>
      <w:r>
        <w:rPr>
          <w:sz w:val="24"/>
          <w:szCs w:val="24"/>
        </w:rPr>
        <w:t>)</w:t>
      </w:r>
      <w:r w:rsidR="00317DB9" w:rsidRPr="00317DB9">
        <w:rPr>
          <w:sz w:val="24"/>
          <w:szCs w:val="24"/>
        </w:rPr>
        <w:t xml:space="preserve"> </w:t>
      </w:r>
      <w:r w:rsidR="005853F7">
        <w:rPr>
          <w:sz w:val="24"/>
          <w:szCs w:val="24"/>
        </w:rPr>
        <w:t>(</w:t>
      </w:r>
      <w:r w:rsidR="00317DB9" w:rsidRPr="00317DB9">
        <w:rPr>
          <w:sz w:val="24"/>
          <w:szCs w:val="24"/>
        </w:rPr>
        <w:t>2006</w:t>
      </w:r>
      <w:r w:rsidR="005853F7">
        <w:rPr>
          <w:sz w:val="24"/>
          <w:szCs w:val="24"/>
        </w:rPr>
        <w:t>)</w:t>
      </w:r>
      <w:r w:rsidR="00317DB9" w:rsidRPr="00317DB9">
        <w:rPr>
          <w:sz w:val="24"/>
          <w:szCs w:val="24"/>
        </w:rPr>
        <w:t xml:space="preserve"> </w:t>
      </w:r>
      <w:r w:rsidR="00317DB9" w:rsidRPr="00D64017">
        <w:rPr>
          <w:i/>
          <w:sz w:val="24"/>
          <w:szCs w:val="24"/>
        </w:rPr>
        <w:t>Water Account Australia 2004-05, Catalogue No. 4610.0.</w:t>
      </w:r>
      <w:r w:rsidR="00317DB9" w:rsidRPr="00317DB9">
        <w:rPr>
          <w:sz w:val="24"/>
          <w:szCs w:val="24"/>
        </w:rPr>
        <w:t xml:space="preserve"> Australian Bureau of Statistics</w:t>
      </w:r>
      <w:r w:rsidR="005853F7">
        <w:rPr>
          <w:sz w:val="24"/>
          <w:szCs w:val="24"/>
        </w:rPr>
        <w:t xml:space="preserve">, </w:t>
      </w:r>
      <w:r w:rsidR="005853F7" w:rsidRPr="00317DB9">
        <w:rPr>
          <w:sz w:val="24"/>
          <w:szCs w:val="24"/>
        </w:rPr>
        <w:t>Canberra</w:t>
      </w:r>
      <w:r w:rsidR="00317DB9" w:rsidRPr="00317DB9">
        <w:rPr>
          <w:sz w:val="24"/>
          <w:szCs w:val="24"/>
        </w:rPr>
        <w:t xml:space="preserve">. </w:t>
      </w:r>
    </w:p>
    <w:p w14:paraId="42B48FF8" w14:textId="45E5513F" w:rsidR="00317DB9" w:rsidRPr="00067077" w:rsidRDefault="005F3111" w:rsidP="00C728D0">
      <w:pPr>
        <w:ind w:left="567" w:hanging="567"/>
        <w:rPr>
          <w:sz w:val="24"/>
          <w:szCs w:val="24"/>
        </w:rPr>
      </w:pPr>
      <w:r>
        <w:rPr>
          <w:sz w:val="24"/>
          <w:szCs w:val="24"/>
        </w:rPr>
        <w:t>Australian Bureau of Statistics (</w:t>
      </w:r>
      <w:r w:rsidR="00317DB9" w:rsidRPr="00317DB9">
        <w:rPr>
          <w:sz w:val="24"/>
          <w:szCs w:val="24"/>
        </w:rPr>
        <w:t>ABS</w:t>
      </w:r>
      <w:r>
        <w:rPr>
          <w:sz w:val="24"/>
          <w:szCs w:val="24"/>
        </w:rPr>
        <w:t>)</w:t>
      </w:r>
      <w:r w:rsidR="00317DB9" w:rsidRPr="00317DB9">
        <w:rPr>
          <w:sz w:val="24"/>
          <w:szCs w:val="24"/>
        </w:rPr>
        <w:t xml:space="preserve"> </w:t>
      </w:r>
      <w:r w:rsidR="005853F7">
        <w:rPr>
          <w:sz w:val="24"/>
          <w:szCs w:val="24"/>
        </w:rPr>
        <w:t>(</w:t>
      </w:r>
      <w:r w:rsidR="00317DB9" w:rsidRPr="00317DB9">
        <w:rPr>
          <w:sz w:val="24"/>
          <w:szCs w:val="24"/>
        </w:rPr>
        <w:t>2009</w:t>
      </w:r>
      <w:r w:rsidR="005853F7">
        <w:rPr>
          <w:sz w:val="24"/>
          <w:szCs w:val="24"/>
        </w:rPr>
        <w:t>)</w:t>
      </w:r>
      <w:r w:rsidR="00317DB9" w:rsidRPr="00317DB9">
        <w:rPr>
          <w:sz w:val="24"/>
          <w:szCs w:val="24"/>
        </w:rPr>
        <w:t xml:space="preserve"> </w:t>
      </w:r>
      <w:r w:rsidR="00317DB9" w:rsidRPr="00D64017">
        <w:rPr>
          <w:i/>
          <w:sz w:val="24"/>
          <w:szCs w:val="24"/>
        </w:rPr>
        <w:t>Water Account Australia 2008-09, Catalogue No. 4610.0.</w:t>
      </w:r>
      <w:r w:rsidR="00317DB9" w:rsidRPr="00317DB9">
        <w:rPr>
          <w:sz w:val="24"/>
          <w:szCs w:val="24"/>
        </w:rPr>
        <w:t xml:space="preserve"> Australian Bureau of Statistics</w:t>
      </w:r>
      <w:r w:rsidR="005853F7">
        <w:rPr>
          <w:sz w:val="24"/>
          <w:szCs w:val="24"/>
        </w:rPr>
        <w:t xml:space="preserve">, </w:t>
      </w:r>
      <w:r w:rsidR="005853F7" w:rsidRPr="00317DB9">
        <w:rPr>
          <w:sz w:val="24"/>
          <w:szCs w:val="24"/>
        </w:rPr>
        <w:t>Canberra</w:t>
      </w:r>
      <w:r w:rsidR="00317DB9" w:rsidRPr="00317DB9">
        <w:rPr>
          <w:sz w:val="24"/>
          <w:szCs w:val="24"/>
        </w:rPr>
        <w:t xml:space="preserve">. </w:t>
      </w:r>
    </w:p>
    <w:p w14:paraId="54F05C86" w14:textId="012DB291" w:rsidR="00067077" w:rsidRDefault="005F3111" w:rsidP="00067077">
      <w:pPr>
        <w:ind w:left="567" w:hanging="567"/>
        <w:rPr>
          <w:sz w:val="24"/>
          <w:szCs w:val="24"/>
        </w:rPr>
      </w:pPr>
      <w:r>
        <w:rPr>
          <w:sz w:val="24"/>
          <w:szCs w:val="24"/>
        </w:rPr>
        <w:t>Australian Bureau of Statistics (</w:t>
      </w:r>
      <w:r w:rsidR="00317DB9" w:rsidRPr="00067077">
        <w:rPr>
          <w:sz w:val="24"/>
          <w:szCs w:val="24"/>
        </w:rPr>
        <w:t>ABS</w:t>
      </w:r>
      <w:r>
        <w:rPr>
          <w:sz w:val="24"/>
          <w:szCs w:val="24"/>
        </w:rPr>
        <w:t>)</w:t>
      </w:r>
      <w:r w:rsidR="00317DB9" w:rsidRPr="00067077">
        <w:rPr>
          <w:sz w:val="24"/>
          <w:szCs w:val="24"/>
        </w:rPr>
        <w:t xml:space="preserve"> </w:t>
      </w:r>
      <w:r w:rsidR="005853F7">
        <w:rPr>
          <w:sz w:val="24"/>
          <w:szCs w:val="24"/>
        </w:rPr>
        <w:t>(</w:t>
      </w:r>
      <w:r w:rsidR="00317DB9" w:rsidRPr="00067077">
        <w:rPr>
          <w:sz w:val="24"/>
          <w:szCs w:val="24"/>
        </w:rPr>
        <w:t>2011</w:t>
      </w:r>
      <w:r w:rsidR="005853F7">
        <w:rPr>
          <w:sz w:val="24"/>
          <w:szCs w:val="24"/>
        </w:rPr>
        <w:t>)</w:t>
      </w:r>
      <w:r w:rsidR="00317DB9" w:rsidRPr="00067077">
        <w:rPr>
          <w:sz w:val="24"/>
          <w:szCs w:val="24"/>
        </w:rPr>
        <w:t xml:space="preserve"> </w:t>
      </w:r>
      <w:r w:rsidR="00317DB9" w:rsidRPr="00D64017">
        <w:rPr>
          <w:i/>
          <w:sz w:val="24"/>
          <w:szCs w:val="24"/>
        </w:rPr>
        <w:t>Water Account Australia 20010-11, Catalogue No. 4610.0.</w:t>
      </w:r>
      <w:r w:rsidR="00317DB9" w:rsidRPr="00067077">
        <w:rPr>
          <w:sz w:val="24"/>
          <w:szCs w:val="24"/>
        </w:rPr>
        <w:t xml:space="preserve"> Australian Bureau of Statistics</w:t>
      </w:r>
      <w:r w:rsidR="005853F7">
        <w:rPr>
          <w:sz w:val="24"/>
          <w:szCs w:val="24"/>
        </w:rPr>
        <w:t xml:space="preserve">, </w:t>
      </w:r>
      <w:r w:rsidR="005853F7" w:rsidRPr="00067077">
        <w:rPr>
          <w:sz w:val="24"/>
          <w:szCs w:val="24"/>
        </w:rPr>
        <w:t>Canberra</w:t>
      </w:r>
      <w:r w:rsidR="00317DB9" w:rsidRPr="00067077">
        <w:rPr>
          <w:sz w:val="24"/>
          <w:szCs w:val="24"/>
        </w:rPr>
        <w:t xml:space="preserve">. </w:t>
      </w:r>
    </w:p>
    <w:p w14:paraId="59E82B3A" w14:textId="0D0350EE" w:rsidR="00067077" w:rsidRPr="00067077" w:rsidRDefault="005F3111" w:rsidP="00067077">
      <w:pPr>
        <w:ind w:left="567" w:hanging="567"/>
        <w:rPr>
          <w:rFonts w:eastAsiaTheme="minorHAnsi"/>
          <w:sz w:val="24"/>
          <w:szCs w:val="24"/>
        </w:rPr>
      </w:pPr>
      <w:r>
        <w:rPr>
          <w:sz w:val="24"/>
          <w:szCs w:val="24"/>
        </w:rPr>
        <w:t>Australian Bureau of Statistics (</w:t>
      </w:r>
      <w:r w:rsidR="00317DB9" w:rsidRPr="00067077">
        <w:rPr>
          <w:sz w:val="24"/>
          <w:szCs w:val="24"/>
        </w:rPr>
        <w:t>ABS</w:t>
      </w:r>
      <w:r>
        <w:rPr>
          <w:sz w:val="24"/>
          <w:szCs w:val="24"/>
        </w:rPr>
        <w:t>)</w:t>
      </w:r>
      <w:r w:rsidR="00317DB9" w:rsidRPr="00067077">
        <w:rPr>
          <w:sz w:val="24"/>
          <w:szCs w:val="24"/>
        </w:rPr>
        <w:t xml:space="preserve"> </w:t>
      </w:r>
      <w:r w:rsidR="005853F7">
        <w:rPr>
          <w:sz w:val="24"/>
          <w:szCs w:val="24"/>
        </w:rPr>
        <w:t>(</w:t>
      </w:r>
      <w:r w:rsidR="00317DB9" w:rsidRPr="00067077">
        <w:rPr>
          <w:sz w:val="24"/>
          <w:szCs w:val="24"/>
        </w:rPr>
        <w:t>2013a</w:t>
      </w:r>
      <w:r w:rsidR="005853F7">
        <w:rPr>
          <w:sz w:val="24"/>
          <w:szCs w:val="24"/>
        </w:rPr>
        <w:t>)</w:t>
      </w:r>
      <w:r w:rsidR="00067077" w:rsidRPr="00067077">
        <w:rPr>
          <w:sz w:val="24"/>
          <w:szCs w:val="24"/>
        </w:rPr>
        <w:t xml:space="preserve"> </w:t>
      </w:r>
      <w:r w:rsidR="00067077" w:rsidRPr="00067077">
        <w:rPr>
          <w:i/>
          <w:iCs/>
          <w:sz w:val="24"/>
          <w:szCs w:val="24"/>
        </w:rPr>
        <w:t>Customised report: </w:t>
      </w:r>
      <w:r w:rsidR="00067077" w:rsidRPr="00D64017">
        <w:rPr>
          <w:i/>
          <w:sz w:val="24"/>
          <w:szCs w:val="24"/>
        </w:rPr>
        <w:t>CSIRO commissioned population projections, March 2013</w:t>
      </w:r>
      <w:r w:rsidR="005853F7">
        <w:rPr>
          <w:sz w:val="24"/>
          <w:szCs w:val="24"/>
        </w:rPr>
        <w:t>.</w:t>
      </w:r>
      <w:r w:rsidR="00067077" w:rsidRPr="00067077">
        <w:rPr>
          <w:sz w:val="24"/>
          <w:szCs w:val="24"/>
        </w:rPr>
        <w:t xml:space="preserve"> A</w:t>
      </w:r>
      <w:r w:rsidR="00B01CFC">
        <w:rPr>
          <w:sz w:val="24"/>
          <w:szCs w:val="24"/>
        </w:rPr>
        <w:t xml:space="preserve">ustralian </w:t>
      </w:r>
      <w:r w:rsidR="00067077" w:rsidRPr="00067077">
        <w:rPr>
          <w:sz w:val="24"/>
          <w:szCs w:val="24"/>
        </w:rPr>
        <w:t>B</w:t>
      </w:r>
      <w:r w:rsidR="00B01CFC">
        <w:rPr>
          <w:sz w:val="24"/>
          <w:szCs w:val="24"/>
        </w:rPr>
        <w:t xml:space="preserve">ureau of </w:t>
      </w:r>
      <w:r w:rsidR="00067077" w:rsidRPr="00067077">
        <w:rPr>
          <w:sz w:val="24"/>
          <w:szCs w:val="24"/>
        </w:rPr>
        <w:t>S</w:t>
      </w:r>
      <w:r w:rsidR="00B01CFC">
        <w:rPr>
          <w:sz w:val="24"/>
          <w:szCs w:val="24"/>
        </w:rPr>
        <w:t>tatistics</w:t>
      </w:r>
      <w:r w:rsidR="00067077" w:rsidRPr="00067077">
        <w:rPr>
          <w:sz w:val="24"/>
          <w:szCs w:val="24"/>
        </w:rPr>
        <w:t>, Canberra</w:t>
      </w:r>
      <w:r w:rsidR="00067077">
        <w:rPr>
          <w:sz w:val="24"/>
          <w:szCs w:val="24"/>
        </w:rPr>
        <w:t>.</w:t>
      </w:r>
    </w:p>
    <w:p w14:paraId="1B161142" w14:textId="3A460913" w:rsidR="00317DB9" w:rsidRPr="00067077" w:rsidRDefault="005F3111" w:rsidP="00C728D0">
      <w:pPr>
        <w:ind w:left="567" w:hanging="567"/>
        <w:rPr>
          <w:sz w:val="24"/>
          <w:szCs w:val="24"/>
        </w:rPr>
      </w:pPr>
      <w:r>
        <w:rPr>
          <w:sz w:val="24"/>
          <w:szCs w:val="24"/>
        </w:rPr>
        <w:t>Australian Bureau of Statistics (</w:t>
      </w:r>
      <w:r w:rsidR="00317DB9" w:rsidRPr="00067077">
        <w:rPr>
          <w:sz w:val="24"/>
          <w:szCs w:val="24"/>
        </w:rPr>
        <w:t>ABS</w:t>
      </w:r>
      <w:r>
        <w:rPr>
          <w:sz w:val="24"/>
          <w:szCs w:val="24"/>
        </w:rPr>
        <w:t>)</w:t>
      </w:r>
      <w:r w:rsidR="00317DB9" w:rsidRPr="00067077">
        <w:rPr>
          <w:sz w:val="24"/>
          <w:szCs w:val="24"/>
        </w:rPr>
        <w:t xml:space="preserve"> </w:t>
      </w:r>
      <w:r w:rsidR="005853F7">
        <w:rPr>
          <w:sz w:val="24"/>
          <w:szCs w:val="24"/>
        </w:rPr>
        <w:t>(</w:t>
      </w:r>
      <w:r w:rsidR="00317DB9" w:rsidRPr="00067077">
        <w:rPr>
          <w:sz w:val="24"/>
          <w:szCs w:val="24"/>
        </w:rPr>
        <w:t>2013b</w:t>
      </w:r>
      <w:r w:rsidR="005853F7">
        <w:rPr>
          <w:sz w:val="24"/>
          <w:szCs w:val="24"/>
        </w:rPr>
        <w:t>)</w:t>
      </w:r>
      <w:r w:rsidR="00317DB9" w:rsidRPr="00067077">
        <w:rPr>
          <w:sz w:val="24"/>
          <w:szCs w:val="24"/>
        </w:rPr>
        <w:t xml:space="preserve"> </w:t>
      </w:r>
      <w:r w:rsidR="00317DB9" w:rsidRPr="00067077">
        <w:rPr>
          <w:i/>
          <w:sz w:val="24"/>
          <w:szCs w:val="24"/>
        </w:rPr>
        <w:t>Towards the Australian Environmental-Economic Accounts</w:t>
      </w:r>
      <w:r w:rsidR="006668F7">
        <w:rPr>
          <w:i/>
          <w:sz w:val="24"/>
          <w:szCs w:val="24"/>
        </w:rPr>
        <w:t>,</w:t>
      </w:r>
      <w:r w:rsidR="00317DB9" w:rsidRPr="00067077">
        <w:rPr>
          <w:i/>
          <w:sz w:val="24"/>
          <w:szCs w:val="24"/>
        </w:rPr>
        <w:t xml:space="preserve"> </w:t>
      </w:r>
      <w:r w:rsidR="006668F7" w:rsidRPr="00067077">
        <w:rPr>
          <w:i/>
          <w:sz w:val="24"/>
          <w:szCs w:val="24"/>
        </w:rPr>
        <w:t>Cat</w:t>
      </w:r>
      <w:r w:rsidR="006668F7">
        <w:rPr>
          <w:i/>
          <w:sz w:val="24"/>
          <w:szCs w:val="24"/>
        </w:rPr>
        <w:t>alogue No.</w:t>
      </w:r>
      <w:r w:rsidR="00317DB9" w:rsidRPr="00067077">
        <w:rPr>
          <w:i/>
          <w:sz w:val="24"/>
          <w:szCs w:val="24"/>
        </w:rPr>
        <w:t xml:space="preserve"> 4655.0.55.002</w:t>
      </w:r>
      <w:r w:rsidR="00317DB9" w:rsidRPr="00067077">
        <w:rPr>
          <w:sz w:val="24"/>
          <w:szCs w:val="24"/>
        </w:rPr>
        <w:t>. Australian Bureau of Statistics</w:t>
      </w:r>
      <w:r w:rsidR="005853F7">
        <w:rPr>
          <w:sz w:val="24"/>
          <w:szCs w:val="24"/>
        </w:rPr>
        <w:t>,</w:t>
      </w:r>
      <w:r w:rsidR="00317DB9" w:rsidRPr="00067077">
        <w:rPr>
          <w:sz w:val="24"/>
          <w:szCs w:val="24"/>
        </w:rPr>
        <w:t xml:space="preserve"> </w:t>
      </w:r>
      <w:r w:rsidR="00B01CFC" w:rsidRPr="00067077">
        <w:rPr>
          <w:sz w:val="24"/>
          <w:szCs w:val="24"/>
        </w:rPr>
        <w:t>Canberra</w:t>
      </w:r>
      <w:r w:rsidR="005853F7">
        <w:rPr>
          <w:sz w:val="24"/>
          <w:szCs w:val="24"/>
        </w:rPr>
        <w:t>.</w:t>
      </w:r>
    </w:p>
    <w:p w14:paraId="0F6030FB" w14:textId="43B1C03B" w:rsidR="00085636" w:rsidRPr="005853F7" w:rsidRDefault="00085636" w:rsidP="00EC1C03">
      <w:pPr>
        <w:ind w:left="567" w:hanging="567"/>
        <w:rPr>
          <w:sz w:val="24"/>
          <w:szCs w:val="24"/>
        </w:rPr>
      </w:pPr>
      <w:r w:rsidRPr="00317DB9">
        <w:rPr>
          <w:sz w:val="24"/>
          <w:szCs w:val="24"/>
        </w:rPr>
        <w:t xml:space="preserve">ClimateWorks Australia </w:t>
      </w:r>
      <w:r w:rsidR="005853F7">
        <w:rPr>
          <w:sz w:val="24"/>
          <w:szCs w:val="24"/>
        </w:rPr>
        <w:t>(</w:t>
      </w:r>
      <w:r w:rsidRPr="00317DB9">
        <w:rPr>
          <w:sz w:val="24"/>
          <w:szCs w:val="24"/>
        </w:rPr>
        <w:t>2013</w:t>
      </w:r>
      <w:r w:rsidR="005853F7">
        <w:rPr>
          <w:sz w:val="24"/>
          <w:szCs w:val="24"/>
        </w:rPr>
        <w:t>)</w:t>
      </w:r>
      <w:r w:rsidRPr="00EC1C03">
        <w:rPr>
          <w:sz w:val="24"/>
          <w:szCs w:val="24"/>
        </w:rPr>
        <w:t xml:space="preserve"> Industrial Energy Efficiency Data Analysis</w:t>
      </w:r>
      <w:r w:rsidR="005F3111" w:rsidRPr="00EC1C03">
        <w:rPr>
          <w:sz w:val="24"/>
          <w:szCs w:val="24"/>
        </w:rPr>
        <w:t>.</w:t>
      </w:r>
      <w:r w:rsidR="005F3111">
        <w:rPr>
          <w:sz w:val="24"/>
          <w:szCs w:val="24"/>
        </w:rPr>
        <w:t xml:space="preserve"> ClimateWorks Australia, Melbourne.</w:t>
      </w:r>
    </w:p>
    <w:p w14:paraId="7843D197" w14:textId="209F032F" w:rsidR="00C728D0" w:rsidRDefault="00C728D0" w:rsidP="00C728D0">
      <w:pPr>
        <w:ind w:left="567" w:hanging="567"/>
        <w:rPr>
          <w:sz w:val="24"/>
          <w:szCs w:val="24"/>
        </w:rPr>
      </w:pPr>
      <w:r w:rsidRPr="00317DB9">
        <w:rPr>
          <w:sz w:val="24"/>
          <w:szCs w:val="24"/>
        </w:rPr>
        <w:t>Department of the Environment Water Heritage and the Arts</w:t>
      </w:r>
      <w:r w:rsidR="005853F7">
        <w:rPr>
          <w:sz w:val="24"/>
          <w:szCs w:val="24"/>
        </w:rPr>
        <w:t xml:space="preserve"> (DEWHA)</w:t>
      </w:r>
      <w:r w:rsidRPr="00317DB9">
        <w:rPr>
          <w:sz w:val="24"/>
          <w:szCs w:val="24"/>
        </w:rPr>
        <w:t xml:space="preserve"> </w:t>
      </w:r>
      <w:r w:rsidR="005853F7">
        <w:rPr>
          <w:sz w:val="24"/>
          <w:szCs w:val="24"/>
        </w:rPr>
        <w:t>(</w:t>
      </w:r>
      <w:r w:rsidRPr="00317DB9">
        <w:rPr>
          <w:sz w:val="24"/>
          <w:szCs w:val="24"/>
        </w:rPr>
        <w:t>2008</w:t>
      </w:r>
      <w:r w:rsidR="005853F7">
        <w:rPr>
          <w:sz w:val="24"/>
          <w:szCs w:val="24"/>
        </w:rPr>
        <w:t>)</w:t>
      </w:r>
      <w:r w:rsidRPr="00317DB9">
        <w:rPr>
          <w:sz w:val="24"/>
          <w:szCs w:val="24"/>
        </w:rPr>
        <w:t xml:space="preserve"> </w:t>
      </w:r>
      <w:r w:rsidRPr="00DB0844">
        <w:rPr>
          <w:i/>
          <w:sz w:val="24"/>
          <w:szCs w:val="24"/>
        </w:rPr>
        <w:t>Energy use in the Australian residential sector 1986</w:t>
      </w:r>
      <w:r w:rsidR="005853F7">
        <w:rPr>
          <w:i/>
          <w:sz w:val="24"/>
          <w:szCs w:val="24"/>
        </w:rPr>
        <w:t>–</w:t>
      </w:r>
      <w:r w:rsidRPr="00DB0844">
        <w:rPr>
          <w:i/>
          <w:sz w:val="24"/>
          <w:szCs w:val="24"/>
        </w:rPr>
        <w:t xml:space="preserve">2020. </w:t>
      </w:r>
      <w:r w:rsidRPr="00317DB9">
        <w:rPr>
          <w:sz w:val="24"/>
          <w:szCs w:val="24"/>
        </w:rPr>
        <w:t>Commonwealth of Australia</w:t>
      </w:r>
      <w:r w:rsidR="006668F7">
        <w:rPr>
          <w:sz w:val="24"/>
          <w:szCs w:val="24"/>
        </w:rPr>
        <w:t xml:space="preserve">, </w:t>
      </w:r>
      <w:r w:rsidR="006668F7" w:rsidRPr="00317DB9">
        <w:rPr>
          <w:sz w:val="24"/>
          <w:szCs w:val="24"/>
        </w:rPr>
        <w:t>Canberra</w:t>
      </w:r>
      <w:r w:rsidRPr="00317DB9">
        <w:rPr>
          <w:sz w:val="24"/>
          <w:szCs w:val="24"/>
        </w:rPr>
        <w:t xml:space="preserve">. </w:t>
      </w:r>
    </w:p>
    <w:p w14:paraId="5E75B4FF" w14:textId="0C3EE987" w:rsidR="006C7BA6" w:rsidRDefault="00AD798E" w:rsidP="00C728D0">
      <w:pPr>
        <w:ind w:left="567" w:hanging="567"/>
        <w:rPr>
          <w:sz w:val="24"/>
          <w:szCs w:val="24"/>
        </w:rPr>
      </w:pPr>
      <w:r w:rsidRPr="00AD798E">
        <w:rPr>
          <w:sz w:val="24"/>
          <w:szCs w:val="24"/>
        </w:rPr>
        <w:t>Energetics (2004) </w:t>
      </w:r>
      <w:r w:rsidRPr="006C7BA6">
        <w:rPr>
          <w:i/>
          <w:sz w:val="24"/>
          <w:szCs w:val="24"/>
        </w:rPr>
        <w:t>NFEE: Energy Efficiency Improvement Potential Case Studies – Industrial Sector</w:t>
      </w:r>
      <w:r w:rsidR="006C7BA6" w:rsidRPr="006C7BA6">
        <w:rPr>
          <w:i/>
          <w:sz w:val="24"/>
          <w:szCs w:val="24"/>
        </w:rPr>
        <w:t xml:space="preserve"> March 2004</w:t>
      </w:r>
      <w:r w:rsidRPr="006C7BA6">
        <w:rPr>
          <w:i/>
          <w:sz w:val="24"/>
          <w:szCs w:val="24"/>
        </w:rPr>
        <w:t>.</w:t>
      </w:r>
      <w:r w:rsidRPr="00AD798E">
        <w:rPr>
          <w:sz w:val="24"/>
          <w:szCs w:val="24"/>
        </w:rPr>
        <w:t xml:space="preserve"> </w:t>
      </w:r>
      <w:r w:rsidR="006C7BA6">
        <w:rPr>
          <w:sz w:val="24"/>
          <w:szCs w:val="24"/>
        </w:rPr>
        <w:t xml:space="preserve">Report for the SEAV, Ref: J105548 &amp; J105600. </w:t>
      </w:r>
      <w:r w:rsidRPr="00AD798E">
        <w:rPr>
          <w:sz w:val="24"/>
          <w:szCs w:val="24"/>
        </w:rPr>
        <w:t>Energetics Pty Ltd</w:t>
      </w:r>
      <w:r w:rsidR="006C7BA6">
        <w:rPr>
          <w:sz w:val="24"/>
          <w:szCs w:val="24"/>
        </w:rPr>
        <w:t>, Sydney.</w:t>
      </w:r>
    </w:p>
    <w:p w14:paraId="5CCC87D6" w14:textId="5D10748C" w:rsidR="00C728D0" w:rsidRPr="00084688" w:rsidRDefault="00C728D0" w:rsidP="00C728D0">
      <w:pPr>
        <w:ind w:left="567" w:hanging="567"/>
        <w:rPr>
          <w:i/>
          <w:sz w:val="24"/>
          <w:szCs w:val="24"/>
        </w:rPr>
      </w:pPr>
      <w:r w:rsidRPr="00317DB9">
        <w:rPr>
          <w:sz w:val="24"/>
          <w:szCs w:val="24"/>
        </w:rPr>
        <w:t>Gleick P, Haasz D, Henges-Jeck C, Srinivasan V, Wolff G, Kao-Cushing</w:t>
      </w:r>
      <w:r w:rsidR="006C7BA6">
        <w:rPr>
          <w:sz w:val="24"/>
          <w:szCs w:val="24"/>
        </w:rPr>
        <w:t xml:space="preserve"> K</w:t>
      </w:r>
      <w:r w:rsidR="00494641">
        <w:rPr>
          <w:sz w:val="24"/>
          <w:szCs w:val="24"/>
        </w:rPr>
        <w:t xml:space="preserve"> and</w:t>
      </w:r>
      <w:r w:rsidRPr="00317DB9">
        <w:rPr>
          <w:sz w:val="24"/>
          <w:szCs w:val="24"/>
        </w:rPr>
        <w:t xml:space="preserve"> Mann A (</w:t>
      </w:r>
      <w:r w:rsidR="005F3111">
        <w:rPr>
          <w:sz w:val="24"/>
          <w:szCs w:val="24"/>
        </w:rPr>
        <w:t>2003</w:t>
      </w:r>
      <w:r w:rsidRPr="00317DB9">
        <w:rPr>
          <w:sz w:val="24"/>
          <w:szCs w:val="24"/>
        </w:rPr>
        <w:t xml:space="preserve">) </w:t>
      </w:r>
      <w:r w:rsidRPr="00084688">
        <w:rPr>
          <w:i/>
          <w:sz w:val="24"/>
          <w:szCs w:val="24"/>
        </w:rPr>
        <w:t>Waste Not, Want Not: The Potential for Urban Water Conservation in California</w:t>
      </w:r>
      <w:r w:rsidR="00DB0844">
        <w:rPr>
          <w:i/>
          <w:sz w:val="24"/>
          <w:szCs w:val="24"/>
        </w:rPr>
        <w:t>.</w:t>
      </w:r>
      <w:r w:rsidR="006668F7">
        <w:rPr>
          <w:sz w:val="24"/>
          <w:szCs w:val="24"/>
        </w:rPr>
        <w:t xml:space="preserve"> A Report of the Pacific Institute for Studies in Development, Environment, and Security, Oakland, California.</w:t>
      </w:r>
      <w:r w:rsidR="005F3111">
        <w:rPr>
          <w:i/>
          <w:sz w:val="24"/>
          <w:szCs w:val="24"/>
        </w:rPr>
        <w:t xml:space="preserve"> </w:t>
      </w:r>
    </w:p>
    <w:p w14:paraId="2D8411DB" w14:textId="1F168DF3" w:rsidR="00C728D0" w:rsidRPr="00317DB9" w:rsidRDefault="00C728D0" w:rsidP="00C728D0">
      <w:pPr>
        <w:ind w:left="567" w:hanging="567"/>
        <w:rPr>
          <w:sz w:val="24"/>
          <w:szCs w:val="24"/>
        </w:rPr>
      </w:pPr>
      <w:r w:rsidRPr="00317DB9">
        <w:rPr>
          <w:sz w:val="24"/>
          <w:szCs w:val="24"/>
        </w:rPr>
        <w:t xml:space="preserve">Grübler, A. </w:t>
      </w:r>
      <w:r w:rsidR="00687B01">
        <w:rPr>
          <w:sz w:val="24"/>
          <w:szCs w:val="24"/>
        </w:rPr>
        <w:t>(</w:t>
      </w:r>
      <w:r w:rsidRPr="00317DB9">
        <w:rPr>
          <w:sz w:val="24"/>
          <w:szCs w:val="24"/>
        </w:rPr>
        <w:t>1990</w:t>
      </w:r>
      <w:r w:rsidR="00687B01">
        <w:rPr>
          <w:sz w:val="24"/>
          <w:szCs w:val="24"/>
        </w:rPr>
        <w:t>)</w:t>
      </w:r>
      <w:r w:rsidRPr="00B11F7B">
        <w:rPr>
          <w:sz w:val="24"/>
          <w:szCs w:val="24"/>
        </w:rPr>
        <w:t xml:space="preserve"> </w:t>
      </w:r>
      <w:r w:rsidRPr="00D64017">
        <w:rPr>
          <w:i/>
          <w:sz w:val="24"/>
          <w:szCs w:val="24"/>
        </w:rPr>
        <w:t>The Rise and Fall of Infrastructures: Dynamics of Evolution and Technological Change in Transport.</w:t>
      </w:r>
      <w:r w:rsidRPr="00B11F7B">
        <w:rPr>
          <w:sz w:val="24"/>
          <w:szCs w:val="24"/>
        </w:rPr>
        <w:t xml:space="preserve"> </w:t>
      </w:r>
      <w:r w:rsidRPr="00317DB9">
        <w:rPr>
          <w:sz w:val="24"/>
          <w:szCs w:val="24"/>
        </w:rPr>
        <w:t xml:space="preserve">Heidelberg and New York: Physica-Verlag. </w:t>
      </w:r>
    </w:p>
    <w:p w14:paraId="75B39039" w14:textId="1BBB524F" w:rsidR="003735CE" w:rsidRPr="00FF02DC" w:rsidRDefault="003F6CC0" w:rsidP="00B11F7B">
      <w:pPr>
        <w:ind w:left="567" w:hanging="567"/>
        <w:rPr>
          <w:sz w:val="24"/>
          <w:szCs w:val="24"/>
        </w:rPr>
      </w:pPr>
      <w:r w:rsidRPr="00494641">
        <w:rPr>
          <w:sz w:val="24"/>
          <w:szCs w:val="24"/>
        </w:rPr>
        <w:t xml:space="preserve">Hatfield-Dodds </w:t>
      </w:r>
      <w:r w:rsidR="003735CE" w:rsidRPr="00494641">
        <w:rPr>
          <w:sz w:val="24"/>
          <w:szCs w:val="24"/>
        </w:rPr>
        <w:t>S, Adams P,</w:t>
      </w:r>
      <w:r w:rsidRPr="00494641">
        <w:rPr>
          <w:sz w:val="24"/>
          <w:szCs w:val="24"/>
        </w:rPr>
        <w:t xml:space="preserve"> </w:t>
      </w:r>
      <w:r w:rsidR="003735CE" w:rsidRPr="00494641">
        <w:rPr>
          <w:sz w:val="24"/>
          <w:szCs w:val="24"/>
        </w:rPr>
        <w:t>Brinsmead TS, Bryan BA, Chiew F, Finnigan J, Graham P, Grundy M, Harwood</w:t>
      </w:r>
      <w:r w:rsidR="00903A2C" w:rsidRPr="00494641">
        <w:rPr>
          <w:sz w:val="24"/>
          <w:szCs w:val="24"/>
        </w:rPr>
        <w:t xml:space="preserve"> T, </w:t>
      </w:r>
      <w:r w:rsidR="003735CE" w:rsidRPr="00494641">
        <w:rPr>
          <w:sz w:val="24"/>
          <w:szCs w:val="24"/>
        </w:rPr>
        <w:t xml:space="preserve">McCallum R, </w:t>
      </w:r>
      <w:r w:rsidRPr="00494641">
        <w:rPr>
          <w:sz w:val="24"/>
          <w:szCs w:val="24"/>
        </w:rPr>
        <w:t>McKellar L</w:t>
      </w:r>
      <w:r w:rsidR="003735CE" w:rsidRPr="00494641">
        <w:rPr>
          <w:sz w:val="24"/>
          <w:szCs w:val="24"/>
        </w:rPr>
        <w:t xml:space="preserve">E, </w:t>
      </w:r>
      <w:r w:rsidRPr="00494641">
        <w:rPr>
          <w:sz w:val="24"/>
          <w:szCs w:val="24"/>
        </w:rPr>
        <w:t xml:space="preserve">Newth, D, </w:t>
      </w:r>
      <w:r w:rsidR="003735CE" w:rsidRPr="00494641">
        <w:rPr>
          <w:sz w:val="24"/>
          <w:szCs w:val="24"/>
        </w:rPr>
        <w:t xml:space="preserve">Nolan M, </w:t>
      </w:r>
      <w:r w:rsidRPr="00494641">
        <w:rPr>
          <w:sz w:val="24"/>
          <w:szCs w:val="24"/>
        </w:rPr>
        <w:t>Schandl H</w:t>
      </w:r>
      <w:r w:rsidR="00A67112" w:rsidRPr="00494641">
        <w:rPr>
          <w:sz w:val="24"/>
          <w:szCs w:val="24"/>
        </w:rPr>
        <w:t xml:space="preserve"> and</w:t>
      </w:r>
      <w:r w:rsidRPr="00494641">
        <w:rPr>
          <w:sz w:val="24"/>
          <w:szCs w:val="24"/>
        </w:rPr>
        <w:t xml:space="preserve"> Wonhas A (2015)</w:t>
      </w:r>
      <w:r w:rsidR="003735CE" w:rsidRPr="00494641">
        <w:rPr>
          <w:sz w:val="24"/>
          <w:szCs w:val="24"/>
        </w:rPr>
        <w:t xml:space="preserve"> </w:t>
      </w:r>
      <w:r w:rsidRPr="00494641">
        <w:rPr>
          <w:i/>
          <w:sz w:val="24"/>
          <w:szCs w:val="24"/>
        </w:rPr>
        <w:t>Aus</w:t>
      </w:r>
      <w:r w:rsidR="003735CE" w:rsidRPr="00494641">
        <w:rPr>
          <w:i/>
          <w:sz w:val="24"/>
          <w:szCs w:val="24"/>
        </w:rPr>
        <w:t xml:space="preserve">tralian National Outlook 2015: </w:t>
      </w:r>
      <w:r w:rsidR="007D1651" w:rsidRPr="00494641">
        <w:rPr>
          <w:i/>
          <w:sz w:val="24"/>
          <w:szCs w:val="24"/>
        </w:rPr>
        <w:t xml:space="preserve">Economic activity, </w:t>
      </w:r>
      <w:r w:rsidR="003735CE" w:rsidRPr="00494641">
        <w:rPr>
          <w:i/>
          <w:sz w:val="24"/>
          <w:szCs w:val="24"/>
        </w:rPr>
        <w:t xml:space="preserve">resource </w:t>
      </w:r>
      <w:r w:rsidRPr="00494641">
        <w:rPr>
          <w:i/>
          <w:sz w:val="24"/>
          <w:szCs w:val="24"/>
        </w:rPr>
        <w:t xml:space="preserve">use, </w:t>
      </w:r>
      <w:r w:rsidR="003735CE" w:rsidRPr="00494641">
        <w:rPr>
          <w:i/>
          <w:sz w:val="24"/>
          <w:szCs w:val="24"/>
        </w:rPr>
        <w:t>e</w:t>
      </w:r>
      <w:r w:rsidRPr="00494641">
        <w:rPr>
          <w:i/>
          <w:sz w:val="24"/>
          <w:szCs w:val="24"/>
        </w:rPr>
        <w:t>nvironmental performance and</w:t>
      </w:r>
      <w:r w:rsidR="007D1651" w:rsidRPr="00494641">
        <w:rPr>
          <w:i/>
          <w:sz w:val="24"/>
          <w:szCs w:val="24"/>
        </w:rPr>
        <w:t xml:space="preserve"> living standards</w:t>
      </w:r>
      <w:r w:rsidRPr="00494641">
        <w:rPr>
          <w:sz w:val="24"/>
          <w:szCs w:val="24"/>
        </w:rPr>
        <w:t>, 1970</w:t>
      </w:r>
      <w:r w:rsidR="005F3111" w:rsidRPr="00494641">
        <w:rPr>
          <w:sz w:val="24"/>
          <w:szCs w:val="24"/>
        </w:rPr>
        <w:t>–</w:t>
      </w:r>
      <w:r w:rsidRPr="00494641">
        <w:rPr>
          <w:sz w:val="24"/>
          <w:szCs w:val="24"/>
        </w:rPr>
        <w:t>2050</w:t>
      </w:r>
      <w:r w:rsidR="003735CE" w:rsidRPr="00494641">
        <w:rPr>
          <w:sz w:val="24"/>
          <w:szCs w:val="24"/>
        </w:rPr>
        <w:t>.</w:t>
      </w:r>
      <w:r w:rsidRPr="00494641">
        <w:rPr>
          <w:sz w:val="24"/>
          <w:szCs w:val="24"/>
        </w:rPr>
        <w:t xml:space="preserve"> CSIRO, Canberra.</w:t>
      </w:r>
    </w:p>
    <w:p w14:paraId="527D90EB" w14:textId="0C8BA436" w:rsidR="00FF02DC" w:rsidRPr="00FF02DC" w:rsidRDefault="00FF02DC" w:rsidP="00FF02DC">
      <w:pPr>
        <w:ind w:left="567" w:hanging="567"/>
        <w:rPr>
          <w:bCs/>
          <w:sz w:val="24"/>
          <w:szCs w:val="24"/>
        </w:rPr>
      </w:pPr>
      <w:bookmarkStart w:id="108" w:name="_ENREF_15"/>
      <w:r w:rsidRPr="00A67112">
        <w:rPr>
          <w:bCs/>
          <w:sz w:val="24"/>
          <w:szCs w:val="24"/>
        </w:rPr>
        <w:t xml:space="preserve">IEEE Standards Coordinating Committee 37 on Reliability Prediction (2003) </w:t>
      </w:r>
      <w:r w:rsidRPr="00A67112">
        <w:rPr>
          <w:bCs/>
          <w:i/>
          <w:sz w:val="24"/>
          <w:szCs w:val="24"/>
        </w:rPr>
        <w:t>IEEE Guide for Selecting and Using Reliability Predictions 1413.1.</w:t>
      </w:r>
      <w:r w:rsidRPr="00FF02DC">
        <w:rPr>
          <w:bCs/>
          <w:sz w:val="24"/>
          <w:szCs w:val="24"/>
        </w:rPr>
        <w:t xml:space="preserve"> </w:t>
      </w:r>
      <w:r w:rsidRPr="00A67112">
        <w:rPr>
          <w:bCs/>
          <w:sz w:val="24"/>
          <w:szCs w:val="24"/>
        </w:rPr>
        <w:t>The Institute of Electrical and Electronics Engineers, Inc.: New York, NY</w:t>
      </w:r>
      <w:bookmarkEnd w:id="108"/>
      <w:r>
        <w:rPr>
          <w:bCs/>
          <w:sz w:val="24"/>
          <w:szCs w:val="24"/>
        </w:rPr>
        <w:t>.</w:t>
      </w:r>
    </w:p>
    <w:p w14:paraId="3EADD4BA" w14:textId="3C364770" w:rsidR="00C728D0" w:rsidRPr="00317DB9" w:rsidRDefault="00C728D0" w:rsidP="00B11F7B">
      <w:pPr>
        <w:ind w:left="567" w:hanging="567"/>
        <w:rPr>
          <w:sz w:val="24"/>
          <w:szCs w:val="24"/>
        </w:rPr>
      </w:pPr>
      <w:r w:rsidRPr="00317DB9">
        <w:rPr>
          <w:sz w:val="24"/>
          <w:szCs w:val="24"/>
        </w:rPr>
        <w:t xml:space="preserve">Infrastructure Australia </w:t>
      </w:r>
      <w:r w:rsidR="00687B01">
        <w:rPr>
          <w:sz w:val="24"/>
          <w:szCs w:val="24"/>
        </w:rPr>
        <w:t>(</w:t>
      </w:r>
      <w:r w:rsidRPr="00317DB9">
        <w:rPr>
          <w:sz w:val="24"/>
          <w:szCs w:val="24"/>
        </w:rPr>
        <w:t>2010</w:t>
      </w:r>
      <w:r w:rsidR="00687B01">
        <w:rPr>
          <w:sz w:val="24"/>
          <w:szCs w:val="24"/>
        </w:rPr>
        <w:t>)</w:t>
      </w:r>
      <w:r w:rsidRPr="00317DB9">
        <w:rPr>
          <w:sz w:val="24"/>
          <w:szCs w:val="24"/>
        </w:rPr>
        <w:t xml:space="preserve"> </w:t>
      </w:r>
      <w:r w:rsidRPr="00D64017">
        <w:rPr>
          <w:i/>
          <w:sz w:val="24"/>
          <w:szCs w:val="24"/>
        </w:rPr>
        <w:t>State of Australian Cities 2010.</w:t>
      </w:r>
      <w:r w:rsidRPr="00317DB9">
        <w:rPr>
          <w:sz w:val="24"/>
          <w:szCs w:val="24"/>
        </w:rPr>
        <w:t xml:space="preserve"> Commonwealth of Australia, Infrastructure Australia, Major Cities Unit</w:t>
      </w:r>
      <w:r w:rsidR="005F3111">
        <w:rPr>
          <w:sz w:val="24"/>
          <w:szCs w:val="24"/>
        </w:rPr>
        <w:t>, Canberra.</w:t>
      </w:r>
      <w:r w:rsidRPr="00317DB9">
        <w:rPr>
          <w:sz w:val="24"/>
          <w:szCs w:val="24"/>
        </w:rPr>
        <w:t xml:space="preserve">  </w:t>
      </w:r>
    </w:p>
    <w:p w14:paraId="2DC6B911" w14:textId="6119C1BB" w:rsidR="00C728D0" w:rsidRPr="00317DB9" w:rsidRDefault="00C728D0" w:rsidP="00B11F7B">
      <w:pPr>
        <w:ind w:left="567" w:hanging="567"/>
        <w:rPr>
          <w:sz w:val="24"/>
          <w:szCs w:val="24"/>
        </w:rPr>
      </w:pPr>
      <w:r w:rsidRPr="00317DB9">
        <w:rPr>
          <w:sz w:val="24"/>
          <w:szCs w:val="24"/>
        </w:rPr>
        <w:t xml:space="preserve">Kececioglu D </w:t>
      </w:r>
      <w:r w:rsidR="00687B01">
        <w:rPr>
          <w:sz w:val="24"/>
          <w:szCs w:val="24"/>
        </w:rPr>
        <w:t>(</w:t>
      </w:r>
      <w:r w:rsidRPr="00317DB9">
        <w:rPr>
          <w:sz w:val="24"/>
          <w:szCs w:val="24"/>
        </w:rPr>
        <w:t>2002</w:t>
      </w:r>
      <w:r w:rsidR="00687B01">
        <w:rPr>
          <w:sz w:val="24"/>
          <w:szCs w:val="24"/>
        </w:rPr>
        <w:t>)</w:t>
      </w:r>
      <w:r w:rsidRPr="00317DB9">
        <w:rPr>
          <w:sz w:val="24"/>
          <w:szCs w:val="24"/>
        </w:rPr>
        <w:t xml:space="preserve"> </w:t>
      </w:r>
      <w:r w:rsidRPr="00D64017">
        <w:rPr>
          <w:i/>
          <w:sz w:val="24"/>
          <w:szCs w:val="24"/>
        </w:rPr>
        <w:t>Reliability and Life Testing Handbook.</w:t>
      </w:r>
      <w:r w:rsidRPr="00B11F7B">
        <w:rPr>
          <w:sz w:val="24"/>
          <w:szCs w:val="24"/>
        </w:rPr>
        <w:t xml:space="preserve"> Vol. 1</w:t>
      </w:r>
      <w:r w:rsidRPr="00317DB9">
        <w:rPr>
          <w:sz w:val="24"/>
          <w:szCs w:val="24"/>
        </w:rPr>
        <w:t xml:space="preserve">. Lancaster, PA: Destech. </w:t>
      </w:r>
    </w:p>
    <w:p w14:paraId="3BB67E51" w14:textId="1FECE060" w:rsidR="00C728D0" w:rsidRPr="00317DB9" w:rsidRDefault="00C728D0" w:rsidP="00C728D0">
      <w:pPr>
        <w:ind w:left="567" w:hanging="567"/>
        <w:rPr>
          <w:sz w:val="24"/>
          <w:szCs w:val="24"/>
        </w:rPr>
      </w:pPr>
      <w:r w:rsidRPr="00317DB9">
        <w:rPr>
          <w:sz w:val="24"/>
          <w:szCs w:val="24"/>
        </w:rPr>
        <w:lastRenderedPageBreak/>
        <w:t xml:space="preserve">Lawless JF </w:t>
      </w:r>
      <w:r w:rsidR="00687B01">
        <w:rPr>
          <w:sz w:val="24"/>
          <w:szCs w:val="24"/>
        </w:rPr>
        <w:t>(</w:t>
      </w:r>
      <w:r w:rsidRPr="00317DB9">
        <w:rPr>
          <w:sz w:val="24"/>
          <w:szCs w:val="24"/>
        </w:rPr>
        <w:t>2003</w:t>
      </w:r>
      <w:r w:rsidR="00687B01">
        <w:rPr>
          <w:sz w:val="24"/>
          <w:szCs w:val="24"/>
        </w:rPr>
        <w:t>)</w:t>
      </w:r>
      <w:r w:rsidRPr="00317DB9">
        <w:rPr>
          <w:sz w:val="24"/>
          <w:szCs w:val="24"/>
        </w:rPr>
        <w:t xml:space="preserve"> </w:t>
      </w:r>
      <w:r w:rsidRPr="00D64017">
        <w:rPr>
          <w:i/>
          <w:sz w:val="24"/>
          <w:szCs w:val="24"/>
        </w:rPr>
        <w:t>Statistical Models and Methods for Lifetime Data.</w:t>
      </w:r>
      <w:r w:rsidRPr="00317DB9">
        <w:rPr>
          <w:sz w:val="24"/>
          <w:szCs w:val="24"/>
        </w:rPr>
        <w:t xml:space="preserve"> 2nd ed. Hoboken, New Jersey: John Wiley &amp; Sons. </w:t>
      </w:r>
    </w:p>
    <w:p w14:paraId="6318CBA8" w14:textId="0C87F3A8" w:rsidR="00C728D0" w:rsidRDefault="00C728D0" w:rsidP="00B11F7B">
      <w:pPr>
        <w:ind w:left="567" w:hanging="567"/>
        <w:rPr>
          <w:sz w:val="24"/>
          <w:szCs w:val="24"/>
        </w:rPr>
      </w:pPr>
      <w:r w:rsidRPr="00317DB9">
        <w:rPr>
          <w:sz w:val="24"/>
          <w:szCs w:val="24"/>
        </w:rPr>
        <w:t xml:space="preserve">Mansfield E </w:t>
      </w:r>
      <w:r w:rsidR="00687B01">
        <w:rPr>
          <w:sz w:val="24"/>
          <w:szCs w:val="24"/>
        </w:rPr>
        <w:t>(</w:t>
      </w:r>
      <w:r w:rsidRPr="00317DB9">
        <w:rPr>
          <w:sz w:val="24"/>
          <w:szCs w:val="24"/>
        </w:rPr>
        <w:t>1961</w:t>
      </w:r>
      <w:r w:rsidR="00687B01">
        <w:rPr>
          <w:sz w:val="24"/>
          <w:szCs w:val="24"/>
        </w:rPr>
        <w:t>)</w:t>
      </w:r>
      <w:r w:rsidRPr="00317DB9">
        <w:rPr>
          <w:sz w:val="24"/>
          <w:szCs w:val="24"/>
        </w:rPr>
        <w:t xml:space="preserve"> </w:t>
      </w:r>
      <w:r w:rsidRPr="00B11F7B">
        <w:rPr>
          <w:sz w:val="24"/>
          <w:szCs w:val="24"/>
        </w:rPr>
        <w:t>Technical Change and the Rate of Imitation.</w:t>
      </w:r>
      <w:r w:rsidRPr="00D64017">
        <w:rPr>
          <w:i/>
          <w:sz w:val="24"/>
          <w:szCs w:val="24"/>
        </w:rPr>
        <w:t xml:space="preserve"> Econometrica</w:t>
      </w:r>
      <w:r w:rsidRPr="00B11F7B">
        <w:rPr>
          <w:sz w:val="24"/>
          <w:szCs w:val="24"/>
        </w:rPr>
        <w:t xml:space="preserve"> 29(4): 741</w:t>
      </w:r>
      <w:r w:rsidR="006668F7">
        <w:rPr>
          <w:sz w:val="24"/>
          <w:szCs w:val="24"/>
        </w:rPr>
        <w:t>–</w:t>
      </w:r>
      <w:r w:rsidRPr="00B11F7B">
        <w:rPr>
          <w:sz w:val="24"/>
          <w:szCs w:val="24"/>
        </w:rPr>
        <w:t>766.</w:t>
      </w:r>
    </w:p>
    <w:p w14:paraId="5EF04F0A" w14:textId="4359A7E5" w:rsidR="006C7BA6" w:rsidRDefault="006C7BA6" w:rsidP="00B11F7B">
      <w:pPr>
        <w:ind w:left="567" w:hanging="567"/>
        <w:rPr>
          <w:sz w:val="24"/>
          <w:szCs w:val="24"/>
        </w:rPr>
      </w:pPr>
      <w:r w:rsidRPr="006C7BA6">
        <w:rPr>
          <w:sz w:val="24"/>
          <w:szCs w:val="24"/>
        </w:rPr>
        <w:t xml:space="preserve">Petchey R (2010) </w:t>
      </w:r>
      <w:r w:rsidRPr="002E6A6C">
        <w:rPr>
          <w:i/>
          <w:sz w:val="24"/>
          <w:szCs w:val="24"/>
        </w:rPr>
        <w:t>End use energy intensity in the Australian economy</w:t>
      </w:r>
      <w:r w:rsidRPr="006C7BA6">
        <w:rPr>
          <w:sz w:val="24"/>
          <w:szCs w:val="24"/>
        </w:rPr>
        <w:t>. A</w:t>
      </w:r>
      <w:r w:rsidR="002E6A6C">
        <w:rPr>
          <w:sz w:val="24"/>
          <w:szCs w:val="24"/>
        </w:rPr>
        <w:t xml:space="preserve">ustralian </w:t>
      </w:r>
      <w:r w:rsidRPr="006C7BA6">
        <w:rPr>
          <w:sz w:val="24"/>
          <w:szCs w:val="24"/>
        </w:rPr>
        <w:t>B</w:t>
      </w:r>
      <w:r w:rsidR="002E6A6C">
        <w:rPr>
          <w:sz w:val="24"/>
          <w:szCs w:val="24"/>
        </w:rPr>
        <w:t xml:space="preserve">ureau of </w:t>
      </w:r>
      <w:r w:rsidRPr="006C7BA6">
        <w:rPr>
          <w:sz w:val="24"/>
          <w:szCs w:val="24"/>
        </w:rPr>
        <w:t>A</w:t>
      </w:r>
      <w:r w:rsidR="002E6A6C">
        <w:rPr>
          <w:sz w:val="24"/>
          <w:szCs w:val="24"/>
        </w:rPr>
        <w:t xml:space="preserve">gricultural </w:t>
      </w:r>
      <w:r w:rsidRPr="006C7BA6">
        <w:rPr>
          <w:sz w:val="24"/>
          <w:szCs w:val="24"/>
        </w:rPr>
        <w:t>R</w:t>
      </w:r>
      <w:r w:rsidR="002E6A6C">
        <w:rPr>
          <w:sz w:val="24"/>
          <w:szCs w:val="24"/>
        </w:rPr>
        <w:t xml:space="preserve">esources </w:t>
      </w:r>
      <w:r w:rsidRPr="006C7BA6">
        <w:rPr>
          <w:sz w:val="24"/>
          <w:szCs w:val="24"/>
        </w:rPr>
        <w:t>E</w:t>
      </w:r>
      <w:r w:rsidR="002E6A6C">
        <w:rPr>
          <w:sz w:val="24"/>
          <w:szCs w:val="24"/>
        </w:rPr>
        <w:t>conomics–</w:t>
      </w:r>
      <w:r w:rsidRPr="006C7BA6">
        <w:rPr>
          <w:sz w:val="24"/>
          <w:szCs w:val="24"/>
        </w:rPr>
        <w:t>B</w:t>
      </w:r>
      <w:r w:rsidR="002E6A6C">
        <w:rPr>
          <w:sz w:val="24"/>
          <w:szCs w:val="24"/>
        </w:rPr>
        <w:t xml:space="preserve">ureau of </w:t>
      </w:r>
      <w:r w:rsidRPr="006C7BA6">
        <w:rPr>
          <w:sz w:val="24"/>
          <w:szCs w:val="24"/>
        </w:rPr>
        <w:t>R</w:t>
      </w:r>
      <w:r w:rsidR="002E6A6C">
        <w:rPr>
          <w:sz w:val="24"/>
          <w:szCs w:val="24"/>
        </w:rPr>
        <w:t xml:space="preserve">ural </w:t>
      </w:r>
      <w:r w:rsidRPr="006C7BA6">
        <w:rPr>
          <w:sz w:val="24"/>
          <w:szCs w:val="24"/>
        </w:rPr>
        <w:t>S</w:t>
      </w:r>
      <w:r w:rsidR="002E6A6C">
        <w:rPr>
          <w:sz w:val="24"/>
          <w:szCs w:val="24"/>
        </w:rPr>
        <w:t>cience, R</w:t>
      </w:r>
      <w:r w:rsidRPr="006C7BA6">
        <w:rPr>
          <w:sz w:val="24"/>
          <w:szCs w:val="24"/>
        </w:rPr>
        <w:t xml:space="preserve">esearch </w:t>
      </w:r>
      <w:r w:rsidR="002E6A6C">
        <w:rPr>
          <w:sz w:val="24"/>
          <w:szCs w:val="24"/>
        </w:rPr>
        <w:t>R</w:t>
      </w:r>
      <w:r w:rsidRPr="006C7BA6">
        <w:rPr>
          <w:sz w:val="24"/>
          <w:szCs w:val="24"/>
        </w:rPr>
        <w:t>eport 10.08</w:t>
      </w:r>
      <w:r>
        <w:rPr>
          <w:sz w:val="24"/>
          <w:szCs w:val="24"/>
        </w:rPr>
        <w:t>, Canberra</w:t>
      </w:r>
      <w:r w:rsidR="002E6A6C">
        <w:rPr>
          <w:sz w:val="24"/>
          <w:szCs w:val="24"/>
        </w:rPr>
        <w:t>.</w:t>
      </w:r>
    </w:p>
    <w:p w14:paraId="60BB677F" w14:textId="4D94838C" w:rsidR="00D64017" w:rsidRPr="00D64017" w:rsidRDefault="00D64017" w:rsidP="00D64017">
      <w:pPr>
        <w:ind w:left="567" w:hanging="567"/>
        <w:rPr>
          <w:bCs/>
          <w:sz w:val="24"/>
          <w:szCs w:val="24"/>
        </w:rPr>
      </w:pPr>
      <w:bookmarkStart w:id="109" w:name="_ENREF_21"/>
      <w:r w:rsidRPr="0098588F">
        <w:rPr>
          <w:bCs/>
          <w:sz w:val="24"/>
          <w:szCs w:val="24"/>
        </w:rPr>
        <w:t>Rickwood P, Glazebrook G</w:t>
      </w:r>
      <w:r w:rsidR="0098588F">
        <w:rPr>
          <w:bCs/>
          <w:sz w:val="24"/>
          <w:szCs w:val="24"/>
        </w:rPr>
        <w:t xml:space="preserve"> and</w:t>
      </w:r>
      <w:r w:rsidRPr="0098588F">
        <w:rPr>
          <w:bCs/>
          <w:sz w:val="24"/>
          <w:szCs w:val="24"/>
        </w:rPr>
        <w:t xml:space="preserve"> Searle G (2008) Urban Structure and Energy </w:t>
      </w:r>
      <w:r w:rsidR="0098588F">
        <w:rPr>
          <w:bCs/>
          <w:sz w:val="24"/>
          <w:szCs w:val="24"/>
        </w:rPr>
        <w:t>–</w:t>
      </w:r>
      <w:r w:rsidRPr="0098588F">
        <w:rPr>
          <w:bCs/>
          <w:sz w:val="24"/>
          <w:szCs w:val="24"/>
        </w:rPr>
        <w:t xml:space="preserve"> A Review.</w:t>
      </w:r>
      <w:r w:rsidRPr="0098588F">
        <w:rPr>
          <w:bCs/>
          <w:i/>
          <w:sz w:val="24"/>
          <w:szCs w:val="24"/>
        </w:rPr>
        <w:t xml:space="preserve"> Urban Policy and Research</w:t>
      </w:r>
      <w:r w:rsidRPr="0098588F">
        <w:rPr>
          <w:bCs/>
          <w:sz w:val="24"/>
          <w:szCs w:val="24"/>
        </w:rPr>
        <w:t xml:space="preserve"> 26</w:t>
      </w:r>
      <w:r w:rsidR="0098588F">
        <w:rPr>
          <w:bCs/>
          <w:sz w:val="24"/>
          <w:szCs w:val="24"/>
        </w:rPr>
        <w:t>:</w:t>
      </w:r>
      <w:r w:rsidRPr="0098588F">
        <w:rPr>
          <w:bCs/>
          <w:sz w:val="24"/>
          <w:szCs w:val="24"/>
        </w:rPr>
        <w:t xml:space="preserve"> 57</w:t>
      </w:r>
      <w:r w:rsidR="0098588F">
        <w:rPr>
          <w:bCs/>
          <w:sz w:val="24"/>
          <w:szCs w:val="24"/>
        </w:rPr>
        <w:t>–</w:t>
      </w:r>
      <w:r w:rsidRPr="0098588F">
        <w:rPr>
          <w:bCs/>
          <w:sz w:val="24"/>
          <w:szCs w:val="24"/>
        </w:rPr>
        <w:t>81.</w:t>
      </w:r>
      <w:bookmarkEnd w:id="109"/>
    </w:p>
    <w:p w14:paraId="7864EB2D" w14:textId="7C6DEB63" w:rsidR="00D64017" w:rsidRDefault="00D64017" w:rsidP="00D64017">
      <w:pPr>
        <w:ind w:left="567" w:hanging="567"/>
        <w:rPr>
          <w:sz w:val="24"/>
          <w:szCs w:val="24"/>
          <w:lang w:val="en-US"/>
        </w:rPr>
      </w:pPr>
      <w:r w:rsidRPr="00D64017">
        <w:rPr>
          <w:sz w:val="24"/>
          <w:szCs w:val="24"/>
          <w:lang w:val="en-US"/>
        </w:rPr>
        <w:t>Schandl H, Hatfield-Dodds</w:t>
      </w:r>
      <w:r w:rsidR="00684CEF">
        <w:rPr>
          <w:sz w:val="24"/>
          <w:szCs w:val="24"/>
          <w:lang w:val="en-US"/>
        </w:rPr>
        <w:t xml:space="preserve"> S, </w:t>
      </w:r>
      <w:r w:rsidRPr="00D64017">
        <w:rPr>
          <w:sz w:val="24"/>
          <w:szCs w:val="24"/>
          <w:lang w:val="en-US"/>
        </w:rPr>
        <w:t>Wiedmann</w:t>
      </w:r>
      <w:r w:rsidR="00684CEF">
        <w:rPr>
          <w:sz w:val="24"/>
          <w:szCs w:val="24"/>
          <w:lang w:val="en-US"/>
        </w:rPr>
        <w:t xml:space="preserve"> T</w:t>
      </w:r>
      <w:r w:rsidRPr="00D64017">
        <w:rPr>
          <w:sz w:val="24"/>
          <w:szCs w:val="24"/>
          <w:lang w:val="en-US"/>
        </w:rPr>
        <w:t>, Geschke</w:t>
      </w:r>
      <w:r w:rsidR="00684CEF">
        <w:rPr>
          <w:sz w:val="24"/>
          <w:szCs w:val="24"/>
          <w:lang w:val="en-US"/>
        </w:rPr>
        <w:t xml:space="preserve"> A</w:t>
      </w:r>
      <w:r w:rsidRPr="00D64017">
        <w:rPr>
          <w:sz w:val="24"/>
          <w:szCs w:val="24"/>
          <w:lang w:val="en-US"/>
        </w:rPr>
        <w:t>, Cai</w:t>
      </w:r>
      <w:r w:rsidR="00684CEF">
        <w:rPr>
          <w:sz w:val="24"/>
          <w:szCs w:val="24"/>
          <w:lang w:val="en-US"/>
        </w:rPr>
        <w:t xml:space="preserve"> Y</w:t>
      </w:r>
      <w:r w:rsidRPr="00D64017">
        <w:rPr>
          <w:sz w:val="24"/>
          <w:szCs w:val="24"/>
          <w:lang w:val="en-US"/>
        </w:rPr>
        <w:t>, West</w:t>
      </w:r>
      <w:r w:rsidR="00684CEF">
        <w:rPr>
          <w:sz w:val="24"/>
          <w:szCs w:val="24"/>
          <w:lang w:val="en-US"/>
        </w:rPr>
        <w:t xml:space="preserve"> J</w:t>
      </w:r>
      <w:r w:rsidRPr="00D64017">
        <w:rPr>
          <w:sz w:val="24"/>
          <w:szCs w:val="24"/>
          <w:lang w:val="en-US"/>
        </w:rPr>
        <w:t>, Newth</w:t>
      </w:r>
      <w:r w:rsidR="00684CEF">
        <w:rPr>
          <w:sz w:val="24"/>
          <w:szCs w:val="24"/>
          <w:lang w:val="en-US"/>
        </w:rPr>
        <w:t xml:space="preserve"> D</w:t>
      </w:r>
      <w:r w:rsidRPr="00D64017">
        <w:rPr>
          <w:sz w:val="24"/>
          <w:szCs w:val="24"/>
          <w:lang w:val="en-US"/>
        </w:rPr>
        <w:t>, Baynes</w:t>
      </w:r>
      <w:r w:rsidR="00684CEF">
        <w:rPr>
          <w:sz w:val="24"/>
          <w:szCs w:val="24"/>
          <w:lang w:val="en-US"/>
        </w:rPr>
        <w:t xml:space="preserve"> T</w:t>
      </w:r>
      <w:r w:rsidRPr="00D64017">
        <w:rPr>
          <w:sz w:val="24"/>
          <w:szCs w:val="24"/>
          <w:lang w:val="en-US"/>
        </w:rPr>
        <w:t>, Lenzen</w:t>
      </w:r>
      <w:r w:rsidR="00684CEF">
        <w:rPr>
          <w:sz w:val="24"/>
          <w:szCs w:val="24"/>
          <w:lang w:val="en-US"/>
        </w:rPr>
        <w:t xml:space="preserve"> M</w:t>
      </w:r>
      <w:r w:rsidRPr="00D64017">
        <w:rPr>
          <w:sz w:val="24"/>
          <w:szCs w:val="24"/>
          <w:lang w:val="en-US"/>
        </w:rPr>
        <w:t xml:space="preserve"> and </w:t>
      </w:r>
      <w:r w:rsidRPr="00EC1C03">
        <w:rPr>
          <w:sz w:val="24"/>
          <w:szCs w:val="24"/>
          <w:lang w:val="en-US"/>
        </w:rPr>
        <w:t>Owen</w:t>
      </w:r>
      <w:r w:rsidR="00684CEF">
        <w:rPr>
          <w:sz w:val="24"/>
          <w:szCs w:val="24"/>
          <w:lang w:val="en-US"/>
        </w:rPr>
        <w:t xml:space="preserve"> A</w:t>
      </w:r>
      <w:r w:rsidRPr="00EC1C03">
        <w:rPr>
          <w:sz w:val="24"/>
          <w:szCs w:val="24"/>
          <w:lang w:val="en-US"/>
        </w:rPr>
        <w:t xml:space="preserve"> (</w:t>
      </w:r>
      <w:r w:rsidR="003F4163" w:rsidRPr="00EC1C03">
        <w:rPr>
          <w:sz w:val="24"/>
          <w:szCs w:val="24"/>
          <w:lang w:val="en-US"/>
        </w:rPr>
        <w:t>in press</w:t>
      </w:r>
      <w:r w:rsidRPr="00EC1C03">
        <w:rPr>
          <w:sz w:val="24"/>
          <w:szCs w:val="24"/>
          <w:lang w:val="en-US"/>
        </w:rPr>
        <w:t>) Decoupling</w:t>
      </w:r>
      <w:r w:rsidRPr="00D64017">
        <w:rPr>
          <w:sz w:val="24"/>
          <w:szCs w:val="24"/>
          <w:lang w:val="en-US"/>
        </w:rPr>
        <w:t xml:space="preserve"> global environmental pressure and economic growth: scenarios for energy use, materials use and carbon emissions. </w:t>
      </w:r>
      <w:r w:rsidRPr="0098588F">
        <w:rPr>
          <w:i/>
          <w:sz w:val="24"/>
          <w:szCs w:val="24"/>
          <w:lang w:val="en-US"/>
        </w:rPr>
        <w:t>Journal of Cleaner Production</w:t>
      </w:r>
      <w:r w:rsidRPr="00D64017">
        <w:rPr>
          <w:sz w:val="24"/>
          <w:szCs w:val="24"/>
          <w:lang w:val="en-US"/>
        </w:rPr>
        <w:t>.</w:t>
      </w:r>
      <w:r w:rsidR="003F4163">
        <w:rPr>
          <w:sz w:val="24"/>
          <w:szCs w:val="24"/>
          <w:lang w:val="en-US"/>
        </w:rPr>
        <w:t xml:space="preserve"> </w:t>
      </w:r>
      <w:r w:rsidR="00DA28AF">
        <w:rPr>
          <w:sz w:val="24"/>
          <w:szCs w:val="24"/>
          <w:lang w:val="en-US"/>
        </w:rPr>
        <w:t xml:space="preserve">Published online July 2015. </w:t>
      </w:r>
      <w:r w:rsidR="003F4163" w:rsidRPr="00DA28AF">
        <w:rPr>
          <w:i/>
        </w:rPr>
        <w:t>doi:10.1016/j.jclepro.2015.06.100</w:t>
      </w:r>
    </w:p>
    <w:p w14:paraId="4B233931" w14:textId="4BAA18D5" w:rsidR="00494641" w:rsidRPr="0098588F" w:rsidRDefault="00494641" w:rsidP="00D64017">
      <w:pPr>
        <w:ind w:left="567" w:hanging="567"/>
        <w:rPr>
          <w:sz w:val="24"/>
          <w:szCs w:val="24"/>
          <w:lang w:val="en-US"/>
        </w:rPr>
      </w:pPr>
      <w:r w:rsidRPr="00AE2A2A">
        <w:rPr>
          <w:sz w:val="24"/>
          <w:szCs w:val="24"/>
        </w:rPr>
        <w:t xml:space="preserve">Stark C, Penney K and Feng A (2012) </w:t>
      </w:r>
      <w:r w:rsidRPr="00AE2A2A">
        <w:rPr>
          <w:i/>
          <w:sz w:val="24"/>
          <w:szCs w:val="24"/>
        </w:rPr>
        <w:t>2012 Australian Energy Update</w:t>
      </w:r>
      <w:r w:rsidRPr="00AE2A2A">
        <w:rPr>
          <w:sz w:val="24"/>
          <w:szCs w:val="24"/>
        </w:rPr>
        <w:t xml:space="preserve">, BREE, Canberra, August. </w:t>
      </w:r>
      <w:r w:rsidRPr="00AE2A2A">
        <w:rPr>
          <w:sz w:val="24"/>
          <w:szCs w:val="24"/>
        </w:rPr>
        <w:br/>
        <w:t xml:space="preserve">Source: </w:t>
      </w:r>
      <w:hyperlink r:id="rId23" w:history="1">
        <w:r w:rsidRPr="00AE2A2A">
          <w:rPr>
            <w:i/>
          </w:rPr>
          <w:t>http://www.industry.gov.au/Office-of-the-Chief-Economist/Publications/Pages/Australian-energy-statistics.aspx#</w:t>
        </w:r>
      </w:hyperlink>
    </w:p>
    <w:p w14:paraId="4949CAE4" w14:textId="04964A74" w:rsidR="00C728D0" w:rsidRDefault="00C728D0" w:rsidP="007A5DA5">
      <w:pPr>
        <w:ind w:left="567" w:hanging="567"/>
        <w:rPr>
          <w:sz w:val="24"/>
          <w:szCs w:val="24"/>
        </w:rPr>
      </w:pPr>
      <w:r w:rsidRPr="00317DB9">
        <w:rPr>
          <w:sz w:val="24"/>
          <w:szCs w:val="24"/>
        </w:rPr>
        <w:t xml:space="preserve">Troy P, Holloway </w:t>
      </w:r>
      <w:r w:rsidR="0053308C">
        <w:rPr>
          <w:sz w:val="24"/>
          <w:szCs w:val="24"/>
        </w:rPr>
        <w:t xml:space="preserve">D </w:t>
      </w:r>
      <w:r w:rsidRPr="00317DB9">
        <w:rPr>
          <w:sz w:val="24"/>
          <w:szCs w:val="24"/>
        </w:rPr>
        <w:t>and Randolph</w:t>
      </w:r>
      <w:r w:rsidR="0053308C">
        <w:rPr>
          <w:sz w:val="24"/>
          <w:szCs w:val="24"/>
        </w:rPr>
        <w:t xml:space="preserve"> B</w:t>
      </w:r>
      <w:r w:rsidRPr="00317DB9">
        <w:rPr>
          <w:sz w:val="24"/>
          <w:szCs w:val="24"/>
        </w:rPr>
        <w:t xml:space="preserve"> </w:t>
      </w:r>
      <w:r w:rsidR="00687B01">
        <w:rPr>
          <w:sz w:val="24"/>
          <w:szCs w:val="24"/>
        </w:rPr>
        <w:t>(</w:t>
      </w:r>
      <w:r w:rsidRPr="00317DB9">
        <w:rPr>
          <w:sz w:val="24"/>
          <w:szCs w:val="24"/>
        </w:rPr>
        <w:t>2005</w:t>
      </w:r>
      <w:r w:rsidR="00687B01">
        <w:rPr>
          <w:sz w:val="24"/>
          <w:szCs w:val="24"/>
        </w:rPr>
        <w:t>)</w:t>
      </w:r>
      <w:r w:rsidRPr="00B11F7B">
        <w:rPr>
          <w:sz w:val="24"/>
          <w:szCs w:val="24"/>
        </w:rPr>
        <w:t xml:space="preserve"> </w:t>
      </w:r>
      <w:r w:rsidRPr="00D64017">
        <w:rPr>
          <w:i/>
          <w:sz w:val="24"/>
          <w:szCs w:val="24"/>
        </w:rPr>
        <w:t>Water Use and the Built Environment: Patterns of Water Consumption in Sydney.</w:t>
      </w:r>
      <w:r w:rsidRPr="00317DB9">
        <w:rPr>
          <w:sz w:val="24"/>
          <w:szCs w:val="24"/>
        </w:rPr>
        <w:t xml:space="preserve"> City Futures Research Centre, University of New South Wales</w:t>
      </w:r>
      <w:r w:rsidR="005F3111">
        <w:rPr>
          <w:sz w:val="24"/>
          <w:szCs w:val="24"/>
        </w:rPr>
        <w:t>, Sydney.</w:t>
      </w:r>
      <w:r w:rsidRPr="00317DB9">
        <w:rPr>
          <w:sz w:val="24"/>
          <w:szCs w:val="24"/>
        </w:rPr>
        <w:t xml:space="preserve"> </w:t>
      </w:r>
    </w:p>
    <w:p w14:paraId="30A542A4" w14:textId="44A0222F" w:rsidR="007C2312" w:rsidRPr="00317DB9" w:rsidRDefault="007C2312" w:rsidP="007A5DA5">
      <w:pPr>
        <w:ind w:left="567" w:hanging="567"/>
        <w:rPr>
          <w:sz w:val="24"/>
          <w:szCs w:val="24"/>
        </w:rPr>
      </w:pPr>
      <w:r w:rsidRPr="00317DB9">
        <w:rPr>
          <w:sz w:val="24"/>
          <w:szCs w:val="24"/>
        </w:rPr>
        <w:t xml:space="preserve">Weibull W (1951) </w:t>
      </w:r>
      <w:r w:rsidRPr="00B11F7B">
        <w:rPr>
          <w:sz w:val="24"/>
          <w:szCs w:val="24"/>
        </w:rPr>
        <w:t>A statistical distribution function of wide applicability.</w:t>
      </w:r>
      <w:r w:rsidRPr="00317DB9">
        <w:rPr>
          <w:sz w:val="24"/>
          <w:szCs w:val="24"/>
        </w:rPr>
        <w:t xml:space="preserve"> </w:t>
      </w:r>
      <w:r w:rsidRPr="00D64017">
        <w:rPr>
          <w:i/>
          <w:sz w:val="24"/>
          <w:szCs w:val="24"/>
        </w:rPr>
        <w:t>Journal of Applied Mechanics</w:t>
      </w:r>
      <w:r w:rsidRPr="00317DB9">
        <w:rPr>
          <w:sz w:val="24"/>
          <w:szCs w:val="24"/>
        </w:rPr>
        <w:t xml:space="preserve"> 13: 293</w:t>
      </w:r>
      <w:r w:rsidR="006668F7">
        <w:rPr>
          <w:sz w:val="24"/>
          <w:szCs w:val="24"/>
        </w:rPr>
        <w:t>–</w:t>
      </w:r>
      <w:r w:rsidRPr="00317DB9">
        <w:rPr>
          <w:sz w:val="24"/>
          <w:szCs w:val="24"/>
        </w:rPr>
        <w:t>297</w:t>
      </w:r>
      <w:r w:rsidR="006668F7">
        <w:rPr>
          <w:sz w:val="24"/>
          <w:szCs w:val="24"/>
        </w:rPr>
        <w:t>.</w:t>
      </w:r>
    </w:p>
    <w:p w14:paraId="7AA6EBA6" w14:textId="77777777" w:rsidR="00D04510" w:rsidRDefault="00D04510">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337"/>
        <w:gridCol w:w="457"/>
        <w:gridCol w:w="4961"/>
      </w:tblGrid>
      <w:tr w:rsidR="00595936" w14:paraId="225CCED7" w14:textId="77777777" w:rsidTr="00F227E8">
        <w:trPr>
          <w:trHeight w:hRule="exact" w:val="992"/>
        </w:trPr>
        <w:tc>
          <w:tcPr>
            <w:tcW w:w="8755" w:type="dxa"/>
            <w:gridSpan w:val="3"/>
          </w:tcPr>
          <w:p w14:paraId="5E19E46B" w14:textId="621FD7CE" w:rsidR="00595936" w:rsidRPr="005F573F" w:rsidRDefault="00FF09F3" w:rsidP="00595936">
            <w:pPr>
              <w:pStyle w:val="BackCoverContactDetails"/>
            </w:pPr>
            <w:r>
              <w:rPr>
                <w:noProof/>
              </w:rPr>
              <w:lastRenderedPageBreak/>
              <mc:AlternateContent>
                <mc:Choice Requires="wps">
                  <w:drawing>
                    <wp:anchor distT="0" distB="0" distL="114300" distR="114300" simplePos="0" relativeHeight="251658240" behindDoc="1" locked="0" layoutInCell="1" allowOverlap="1" wp14:anchorId="547D3F08" wp14:editId="63E7F357">
                      <wp:simplePos x="0" y="0"/>
                      <wp:positionH relativeFrom="column">
                        <wp:posOffset>-759460</wp:posOffset>
                      </wp:positionH>
                      <wp:positionV relativeFrom="paragraph">
                        <wp:posOffset>-746125</wp:posOffset>
                      </wp:positionV>
                      <wp:extent cx="7598410" cy="7686675"/>
                      <wp:effectExtent l="0" t="2540" r="3810" b="0"/>
                      <wp:wrapNone/>
                      <wp:docPr id="19" name="Rectangle 135" descr="background element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8410" cy="76866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chemeClr val="accent1">
                                        <a:lumMod val="100000"/>
                                        <a:lumOff val="0"/>
                                      </a:schemeClr>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9B7698" id="Rectangle 135" o:spid="_x0000_s1026" alt="background elements" style="position:absolute;margin-left:-59.8pt;margin-top:-58.75pt;width:598.3pt;height:60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" filled="f" stroked="f"/>
                  </w:pict>
                </mc:Fallback>
              </mc:AlternateContent>
            </w:r>
          </w:p>
        </w:tc>
      </w:tr>
      <w:tr w:rsidR="00595936" w14:paraId="45BEBC6E" w14:textId="77777777" w:rsidTr="00595936">
        <w:tc>
          <w:tcPr>
            <w:tcW w:w="3337" w:type="dxa"/>
          </w:tcPr>
          <w:p w14:paraId="5D77CC25" w14:textId="77777777" w:rsidR="00595936" w:rsidRPr="00840B15" w:rsidRDefault="00595936" w:rsidP="00595936">
            <w:pPr>
              <w:pStyle w:val="BackCoverContactHeading"/>
            </w:pPr>
            <w:r w:rsidRPr="00840B15">
              <w:t>CONTACT US</w:t>
            </w:r>
          </w:p>
          <w:p w14:paraId="57DF9091" w14:textId="77777777" w:rsidR="00595936" w:rsidRDefault="00595936" w:rsidP="00595936">
            <w:pPr>
              <w:pStyle w:val="BackCoverContactDetails"/>
            </w:pPr>
            <w:r w:rsidRPr="00840B15">
              <w:rPr>
                <w:rStyle w:val="BackCoverContactBold"/>
              </w:rPr>
              <w:t>t</w:t>
            </w:r>
            <w:r>
              <w:t xml:space="preserve"> </w:t>
            </w:r>
            <w:r>
              <w:tab/>
            </w:r>
            <w:r w:rsidRPr="00D1044D">
              <w:t>1300</w:t>
            </w:r>
            <w:r>
              <w:t xml:space="preserve"> 363 400</w:t>
            </w:r>
          </w:p>
          <w:p w14:paraId="36B9DE72" w14:textId="77777777" w:rsidR="00595936" w:rsidRDefault="00595936" w:rsidP="00595936">
            <w:pPr>
              <w:pStyle w:val="BackCoverContactDetails"/>
            </w:pPr>
            <w:r>
              <w:tab/>
              <w:t>+61 3 9545 2176</w:t>
            </w:r>
          </w:p>
          <w:p w14:paraId="1397981A" w14:textId="77777777" w:rsidR="00595936" w:rsidRDefault="00595936" w:rsidP="00595936">
            <w:pPr>
              <w:pStyle w:val="BackCoverContactDetails"/>
            </w:pPr>
            <w:r w:rsidRPr="00840B15">
              <w:rPr>
                <w:rStyle w:val="BackCoverContactBold"/>
              </w:rPr>
              <w:t>e</w:t>
            </w:r>
            <w:r>
              <w:t xml:space="preserve"> </w:t>
            </w:r>
            <w:r>
              <w:tab/>
              <w:t>enquiries@csiro.au</w:t>
            </w:r>
          </w:p>
          <w:p w14:paraId="39B2EB5F" w14:textId="77777777" w:rsidR="00595936" w:rsidRDefault="00595936" w:rsidP="00595936">
            <w:pPr>
              <w:pStyle w:val="BackCoverContactDetails"/>
            </w:pPr>
            <w:r w:rsidRPr="00840B15">
              <w:rPr>
                <w:rStyle w:val="BackCoverContactBold"/>
              </w:rPr>
              <w:t>w</w:t>
            </w:r>
            <w:r>
              <w:t xml:space="preserve"> </w:t>
            </w:r>
            <w:r>
              <w:tab/>
              <w:t>www.csiro.au</w:t>
            </w:r>
          </w:p>
          <w:p w14:paraId="1FFC71C2" w14:textId="77777777" w:rsidR="00595936" w:rsidRDefault="00EC3B41" w:rsidP="00595936">
            <w:pPr>
              <w:pStyle w:val="BackCoverContactHeading"/>
            </w:pPr>
            <w:r>
              <w:t>At CSIRO we shape the future</w:t>
            </w:r>
            <w:r w:rsidR="00595936">
              <w:t xml:space="preserve"> </w:t>
            </w:r>
          </w:p>
          <w:p w14:paraId="32A4D593" w14:textId="77777777" w:rsidR="00EC3B41" w:rsidRDefault="00EC3B41" w:rsidP="00EC3B41">
            <w:pPr>
              <w:pStyle w:val="BackCoverContactDetails"/>
              <w:spacing w:after="120"/>
            </w:pPr>
            <w:r>
              <w:t>We do this by using science to solve real issues. Our research makes a difference to industry, people and the planet.</w:t>
            </w:r>
          </w:p>
          <w:p w14:paraId="78A247C8" w14:textId="77777777" w:rsidR="00EC3B41" w:rsidRDefault="00EC3B41" w:rsidP="00EC3B41">
            <w:pPr>
              <w:pStyle w:val="BackCoverContactDetails"/>
              <w:spacing w:after="120"/>
            </w:pPr>
            <w:r>
              <w:t>As Australia’s national science agency we’ve been pushing the edge of what’s possible for over 85 years. Today we have more than 5,000 talented people working out of 50-plus centres in Australia and internationally. Our people work closely with industry and communities to leave a lasting legacy. Collectively, our innovation and excellence places us in the top ten applied research agencies in the world.</w:t>
            </w:r>
          </w:p>
          <w:p w14:paraId="04A8CCA1" w14:textId="0EC7C53D" w:rsidR="00595936" w:rsidRDefault="0048332C" w:rsidP="00EC3B41">
            <w:pPr>
              <w:pStyle w:val="BackCoverContactDetails"/>
            </w:pPr>
            <w:r>
              <w:t xml:space="preserve">WE </w:t>
            </w:r>
            <w:r w:rsidR="00EC3B41">
              <w:t>ASK, WE SEEK AND WE SOLVE</w:t>
            </w:r>
          </w:p>
        </w:tc>
        <w:tc>
          <w:tcPr>
            <w:tcW w:w="457" w:type="dxa"/>
          </w:tcPr>
          <w:p w14:paraId="5ABEF176" w14:textId="77777777" w:rsidR="00595936" w:rsidRDefault="00595936" w:rsidP="00595936">
            <w:pPr>
              <w:pStyle w:val="BackCoverContactHeading"/>
            </w:pPr>
          </w:p>
        </w:tc>
        <w:tc>
          <w:tcPr>
            <w:tcW w:w="4961" w:type="dxa"/>
          </w:tcPr>
          <w:p w14:paraId="6A4225D0" w14:textId="77777777" w:rsidR="00595936" w:rsidRDefault="00595936" w:rsidP="00595936">
            <w:pPr>
              <w:pStyle w:val="BackCoverContactHeading"/>
            </w:pPr>
            <w:r>
              <w:t>For further information</w:t>
            </w:r>
          </w:p>
          <w:p w14:paraId="06B196A0" w14:textId="0649B071" w:rsidR="00B04E91" w:rsidRPr="002B15B7" w:rsidRDefault="00B06A7E" w:rsidP="00B04E91">
            <w:pPr>
              <w:pStyle w:val="BackCoverContactDetails"/>
              <w:rPr>
                <w:rStyle w:val="BackCoverContactBold"/>
              </w:rPr>
            </w:pPr>
            <w:r>
              <w:rPr>
                <w:rStyle w:val="BackCoverContactBold"/>
              </w:rPr>
              <w:t>Land and Water/Sustainable Consumption and Production</w:t>
            </w:r>
          </w:p>
          <w:p w14:paraId="65EC277A" w14:textId="7E37DE08" w:rsidR="00B04E91" w:rsidRPr="00585C0D" w:rsidRDefault="00B06A7E" w:rsidP="00B04E91">
            <w:pPr>
              <w:pStyle w:val="BackCoverContactDetails"/>
            </w:pPr>
            <w:r>
              <w:t>Tim Baynes</w:t>
            </w:r>
            <w:r w:rsidR="00B04E91">
              <w:br/>
            </w:r>
            <w:r w:rsidR="00B04E91" w:rsidRPr="00585C0D">
              <w:rPr>
                <w:rStyle w:val="BackCoverContactBold"/>
              </w:rPr>
              <w:t>t</w:t>
            </w:r>
            <w:r w:rsidR="00B04E91" w:rsidRPr="00585C0D">
              <w:t xml:space="preserve"> </w:t>
            </w:r>
            <w:r w:rsidR="00B04E91" w:rsidRPr="00585C0D">
              <w:tab/>
            </w:r>
            <w:r>
              <w:rPr>
                <w:rStyle w:val="BackCoverContactBold"/>
                <w:b w:val="0"/>
              </w:rPr>
              <w:t>+61 2 9490 8824</w:t>
            </w:r>
          </w:p>
          <w:p w14:paraId="2FB36BBB" w14:textId="74A03E10" w:rsidR="00B04E91" w:rsidRPr="00585C0D" w:rsidRDefault="00B04E91" w:rsidP="00B04E91">
            <w:pPr>
              <w:pStyle w:val="BackCoverContactDetails"/>
            </w:pPr>
            <w:r w:rsidRPr="00585C0D">
              <w:rPr>
                <w:rStyle w:val="BackCoverContactBold"/>
              </w:rPr>
              <w:t>e</w:t>
            </w:r>
            <w:r w:rsidRPr="00585C0D">
              <w:t xml:space="preserve"> </w:t>
            </w:r>
            <w:r w:rsidRPr="00585C0D">
              <w:tab/>
            </w:r>
            <w:r w:rsidR="00B06A7E">
              <w:rPr>
                <w:rStyle w:val="BackCoverContactBold"/>
                <w:b w:val="0"/>
              </w:rPr>
              <w:t>tim</w:t>
            </w:r>
            <w:r w:rsidRPr="00CA09F4">
              <w:rPr>
                <w:rStyle w:val="BackCoverContactBold"/>
                <w:b w:val="0"/>
              </w:rPr>
              <w:t>.</w:t>
            </w:r>
            <w:r w:rsidR="00B06A7E">
              <w:rPr>
                <w:rStyle w:val="BackCoverContactBold"/>
                <w:b w:val="0"/>
              </w:rPr>
              <w:t>baynes</w:t>
            </w:r>
            <w:r w:rsidRPr="00CA09F4">
              <w:rPr>
                <w:rStyle w:val="BackCoverContactBold"/>
                <w:b w:val="0"/>
              </w:rPr>
              <w:t>@csiro.au</w:t>
            </w:r>
          </w:p>
          <w:p w14:paraId="48632A75" w14:textId="387AB9FD" w:rsidR="00B04E91" w:rsidRDefault="00B04E91" w:rsidP="00B04E91">
            <w:pPr>
              <w:pStyle w:val="BackCoverContactDetails"/>
              <w:rPr>
                <w:rStyle w:val="BackCoverContactBold"/>
              </w:rPr>
            </w:pPr>
            <w:r w:rsidRPr="00585C0D">
              <w:rPr>
                <w:rStyle w:val="BackCoverContactBold"/>
              </w:rPr>
              <w:t>w</w:t>
            </w:r>
            <w:r w:rsidRPr="00585C0D">
              <w:t xml:space="preserve"> </w:t>
            </w:r>
            <w:r w:rsidRPr="00585C0D">
              <w:tab/>
            </w:r>
            <w:r w:rsidR="00B06A7E" w:rsidRPr="00B06A7E">
              <w:rPr>
                <w:rStyle w:val="BackCoverContactBold"/>
                <w:b w:val="0"/>
              </w:rPr>
              <w:t>www.csiro.au/en/Research/LWF</w:t>
            </w:r>
          </w:p>
          <w:p w14:paraId="05DB364C" w14:textId="29144A63" w:rsidR="00595936" w:rsidRDefault="00595936" w:rsidP="00B04E91">
            <w:pPr>
              <w:pStyle w:val="BackCoverContactDetails"/>
            </w:pPr>
          </w:p>
        </w:tc>
      </w:tr>
    </w:tbl>
    <w:p w14:paraId="414F91FE" w14:textId="77777777" w:rsidR="00925BAA" w:rsidRDefault="00FF09F3" w:rsidP="00595936">
      <w:pPr>
        <w:pStyle w:val="BodyText"/>
        <w:sectPr w:rsidR="00925BAA" w:rsidSect="007476AA">
          <w:pgSz w:w="11906" w:h="16838" w:code="9"/>
          <w:pgMar w:top="851" w:right="1134" w:bottom="851" w:left="1134" w:header="510" w:footer="624" w:gutter="0"/>
          <w:cols w:space="850"/>
          <w:docGrid w:linePitch="360"/>
        </w:sectPr>
      </w:pPr>
      <w:r>
        <w:rPr>
          <w:noProof/>
        </w:rPr>
        <mc:AlternateContent>
          <mc:Choice Requires="wpg">
            <w:drawing>
              <wp:anchor distT="0" distB="0" distL="114300" distR="114300" simplePos="0" relativeHeight="251738112" behindDoc="1" locked="1" layoutInCell="1" allowOverlap="1" wp14:anchorId="546F3DDA" wp14:editId="105C6165">
                <wp:simplePos x="0" y="0"/>
                <wp:positionH relativeFrom="column">
                  <wp:posOffset>-1516380</wp:posOffset>
                </wp:positionH>
                <wp:positionV relativeFrom="page">
                  <wp:posOffset>-21590</wp:posOffset>
                </wp:positionV>
                <wp:extent cx="14792960" cy="10739755"/>
                <wp:effectExtent l="3810" t="0" r="5080" b="0"/>
                <wp:wrapNone/>
                <wp:docPr id="1" name="Group 331" descr="backgrou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92960" cy="10739755"/>
                          <a:chOff x="-1254" y="-40"/>
                          <a:chExt cx="23296" cy="16913"/>
                        </a:xfrm>
                      </wpg:grpSpPr>
                      <wpg:grpSp>
                        <wpg:cNvPr id="3" name="Group 332" descr="background"/>
                        <wpg:cNvGrpSpPr>
                          <a:grpSpLocks/>
                        </wpg:cNvGrpSpPr>
                        <wpg:grpSpPr bwMode="auto">
                          <a:xfrm>
                            <a:off x="-38" y="-40"/>
                            <a:ext cx="12095" cy="16913"/>
                            <a:chOff x="-38" y="-41"/>
                            <a:chExt cx="12095" cy="16913"/>
                          </a:xfrm>
                        </wpg:grpSpPr>
                        <wps:wsp>
                          <wps:cNvPr id="4" name="Rectangle 333" descr="background"/>
                          <wps:cNvSpPr>
                            <a:spLocks noChangeArrowheads="1"/>
                          </wps:cNvSpPr>
                          <wps:spPr bwMode="auto">
                            <a:xfrm>
                              <a:off x="-38" y="-41"/>
                              <a:ext cx="11966" cy="12105"/>
                            </a:xfrm>
                            <a:prstGeom prst="rect">
                              <a:avLst/>
                            </a:prstGeom>
                            <a:solidFill>
                              <a:schemeClr val="bg1">
                                <a:lumMod val="100000"/>
                                <a:lumOff val="0"/>
                              </a:scheme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Rectangle 334" descr="background"/>
                          <wps:cNvSpPr>
                            <a:spLocks noChangeArrowheads="1"/>
                          </wps:cNvSpPr>
                          <wps:spPr bwMode="auto">
                            <a:xfrm>
                              <a:off x="-38" y="11692"/>
                              <a:ext cx="12095" cy="5180"/>
                            </a:xfrm>
                            <a:prstGeom prst="rect">
                              <a:avLst/>
                            </a:prstGeom>
                            <a:solidFill>
                              <a:schemeClr val="bg2">
                                <a:lumMod val="100000"/>
                                <a:lumOff val="0"/>
                              </a:scheme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0" tIns="0" rIns="0" bIns="0" anchor="b" anchorCtr="0" upright="1">
                            <a:noAutofit/>
                          </wps:bodyPr>
                        </wps:wsp>
                      </wpg:grpSp>
                      <wpg:grpSp>
                        <wpg:cNvPr id="7" name="Canvas 1059" descr="background"/>
                        <wpg:cNvGrpSpPr>
                          <a:grpSpLocks/>
                        </wpg:cNvGrpSpPr>
                        <wpg:grpSpPr bwMode="auto">
                          <a:xfrm>
                            <a:off x="-62" y="913"/>
                            <a:ext cx="12119" cy="830"/>
                            <a:chOff x="0" y="0"/>
                            <a:chExt cx="89528" cy="6261"/>
                          </a:xfrm>
                        </wpg:grpSpPr>
                        <wps:wsp>
                          <wps:cNvPr id="8" name="AutoShape 26" descr="background"/>
                          <wps:cNvSpPr>
                            <a:spLocks noChangeAspect="1" noChangeArrowheads="1"/>
                          </wps:cNvSpPr>
                          <wps:spPr bwMode="auto">
                            <a:xfrm>
                              <a:off x="0" y="0"/>
                              <a:ext cx="89528" cy="626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34"/>
                          <wps:cNvSpPr>
                            <a:spLocks noChangeArrowheads="1"/>
                          </wps:cNvSpPr>
                          <wps:spPr bwMode="auto">
                            <a:xfrm>
                              <a:off x="146" y="190"/>
                              <a:ext cx="89223" cy="5950"/>
                            </a:xfrm>
                            <a:prstGeom prst="rect">
                              <a:avLst/>
                            </a:prstGeom>
                            <a:solidFill>
                              <a:srgbClr val="C8C7C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0" name="Group 91"/>
                          <wpg:cNvGrpSpPr>
                            <a:grpSpLocks/>
                          </wpg:cNvGrpSpPr>
                          <wpg:grpSpPr bwMode="auto">
                            <a:xfrm>
                              <a:off x="114" y="190"/>
                              <a:ext cx="89255" cy="5950"/>
                              <a:chOff x="114" y="190"/>
                              <a:chExt cx="89255" cy="5950"/>
                            </a:xfrm>
                          </wpg:grpSpPr>
                          <wps:wsp>
                            <wps:cNvPr id="11" name="Rectangle 35" descr="background"/>
                            <wps:cNvSpPr>
                              <a:spLocks noChangeArrowheads="1"/>
                            </wps:cNvSpPr>
                            <wps:spPr bwMode="auto">
                              <a:xfrm>
                                <a:off x="146" y="190"/>
                                <a:ext cx="89223" cy="5950"/>
                              </a:xfrm>
                              <a:prstGeom prst="rect">
                                <a:avLst/>
                              </a:prstGeom>
                              <a:solidFill>
                                <a:srgbClr val="BFBFB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Rectangle 36" descr="background"/>
                            <wps:cNvSpPr>
                              <a:spLocks noChangeArrowheads="1"/>
                            </wps:cNvSpPr>
                            <wps:spPr bwMode="auto">
                              <a:xfrm>
                                <a:off x="114" y="984"/>
                                <a:ext cx="89255" cy="5156"/>
                              </a:xfrm>
                              <a:prstGeom prst="rect">
                                <a:avLst/>
                              </a:prstGeom>
                              <a:solidFill>
                                <a:schemeClr val="accent2">
                                  <a:lumMod val="100000"/>
                                  <a:lumOff val="0"/>
                                </a:scheme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g:cNvPr id="14" name="Group 90" descr="background"/>
                        <wpg:cNvGrpSpPr>
                          <a:grpSpLocks/>
                        </wpg:cNvGrpSpPr>
                        <wpg:grpSpPr bwMode="auto">
                          <a:xfrm>
                            <a:off x="-1254" y="10023"/>
                            <a:ext cx="23296" cy="6253"/>
                            <a:chOff x="31" y="0"/>
                            <a:chExt cx="147930" cy="39706"/>
                          </a:xfrm>
                        </wpg:grpSpPr>
                        <wps:wsp>
                          <wps:cNvPr id="15" name="Rectangle 48"/>
                          <wps:cNvSpPr>
                            <a:spLocks noChangeArrowheads="1"/>
                          </wps:cNvSpPr>
                          <wps:spPr bwMode="auto">
                            <a:xfrm>
                              <a:off x="6432" y="10363"/>
                              <a:ext cx="76968" cy="29343"/>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Freeform 49" descr="background"/>
                          <wps:cNvSpPr>
                            <a:spLocks/>
                          </wps:cNvSpPr>
                          <wps:spPr bwMode="auto">
                            <a:xfrm>
                              <a:off x="31" y="0"/>
                              <a:ext cx="123844" cy="12071"/>
                            </a:xfrm>
                            <a:custGeom>
                              <a:avLst/>
                              <a:gdLst>
                                <a:gd name="T0" fmla="*/ 2147483647 w 3831"/>
                                <a:gd name="T1" fmla="*/ 1079275695 h 374"/>
                                <a:gd name="T2" fmla="*/ 2147483647 w 3831"/>
                                <a:gd name="T3" fmla="*/ 0 h 374"/>
                                <a:gd name="T4" fmla="*/ 0 w 3831"/>
                                <a:gd name="T5" fmla="*/ 0 h 374"/>
                                <a:gd name="T6" fmla="*/ 0 w 3831"/>
                                <a:gd name="T7" fmla="*/ 1257474349 h 374"/>
                                <a:gd name="T8" fmla="*/ 2147483647 w 3831"/>
                                <a:gd name="T9" fmla="*/ 1257474349 h 374"/>
                                <a:gd name="T10" fmla="*/ 2147483647 w 3831"/>
                                <a:gd name="T11" fmla="*/ 1079275695 h 37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831" h="374">
                                  <a:moveTo>
                                    <a:pt x="3831" y="321"/>
                                  </a:moveTo>
                                  <a:cubicBezTo>
                                    <a:pt x="3531" y="150"/>
                                    <a:pt x="3119" y="0"/>
                                    <a:pt x="2922" y="0"/>
                                  </a:cubicBezTo>
                                  <a:cubicBezTo>
                                    <a:pt x="0" y="0"/>
                                    <a:pt x="0" y="0"/>
                                    <a:pt x="0" y="0"/>
                                  </a:cubicBezTo>
                                  <a:cubicBezTo>
                                    <a:pt x="0" y="374"/>
                                    <a:pt x="0" y="374"/>
                                    <a:pt x="0" y="374"/>
                                  </a:cubicBezTo>
                                  <a:cubicBezTo>
                                    <a:pt x="3389" y="374"/>
                                    <a:pt x="3389" y="374"/>
                                    <a:pt x="3389" y="374"/>
                                  </a:cubicBezTo>
                                  <a:cubicBezTo>
                                    <a:pt x="3559" y="374"/>
                                    <a:pt x="3724" y="362"/>
                                    <a:pt x="3831" y="321"/>
                                  </a:cubicBezTo>
                                </a:path>
                              </a:pathLst>
                            </a:custGeom>
                            <a:solidFill>
                              <a:schemeClr val="accent2">
                                <a:lumMod val="100000"/>
                                <a:lumOff val="0"/>
                              </a:scheme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50" descr="background"/>
                          <wps:cNvSpPr>
                            <a:spLocks/>
                          </wps:cNvSpPr>
                          <wps:spPr bwMode="auto">
                            <a:xfrm>
                              <a:off x="31" y="14014"/>
                              <a:ext cx="98273" cy="6198"/>
                            </a:xfrm>
                            <a:custGeom>
                              <a:avLst/>
                              <a:gdLst>
                                <a:gd name="T0" fmla="*/ 2147483647 w 3040"/>
                                <a:gd name="T1" fmla="*/ 555017568 h 192"/>
                                <a:gd name="T2" fmla="*/ 2147483647 w 3040"/>
                                <a:gd name="T3" fmla="*/ 0 h 192"/>
                                <a:gd name="T4" fmla="*/ 0 w 3040"/>
                                <a:gd name="T5" fmla="*/ 0 h 192"/>
                                <a:gd name="T6" fmla="*/ 0 w 3040"/>
                                <a:gd name="T7" fmla="*/ 645838960 h 192"/>
                                <a:gd name="T8" fmla="*/ 2147483647 w 3040"/>
                                <a:gd name="T9" fmla="*/ 645838960 h 192"/>
                                <a:gd name="T10" fmla="*/ 2147483647 w 3040"/>
                                <a:gd name="T11" fmla="*/ 555017568 h 19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040" h="192">
                                  <a:moveTo>
                                    <a:pt x="3040" y="165"/>
                                  </a:moveTo>
                                  <a:cubicBezTo>
                                    <a:pt x="2886" y="77"/>
                                    <a:pt x="2675" y="0"/>
                                    <a:pt x="2402" y="0"/>
                                  </a:cubicBezTo>
                                  <a:cubicBezTo>
                                    <a:pt x="0" y="0"/>
                                    <a:pt x="0" y="0"/>
                                    <a:pt x="0" y="0"/>
                                  </a:cubicBezTo>
                                  <a:cubicBezTo>
                                    <a:pt x="0" y="192"/>
                                    <a:pt x="0" y="192"/>
                                    <a:pt x="0" y="192"/>
                                  </a:cubicBezTo>
                                  <a:cubicBezTo>
                                    <a:pt x="2641" y="192"/>
                                    <a:pt x="2641" y="192"/>
                                    <a:pt x="2641" y="192"/>
                                  </a:cubicBezTo>
                                  <a:cubicBezTo>
                                    <a:pt x="2901" y="192"/>
                                    <a:pt x="2985" y="186"/>
                                    <a:pt x="3040" y="165"/>
                                  </a:cubicBezTo>
                                </a:path>
                              </a:pathLst>
                            </a:custGeom>
                            <a:solidFill>
                              <a:schemeClr val="accent1">
                                <a:lumMod val="100000"/>
                                <a:lumOff val="0"/>
                              </a:scheme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51" descr="background"/>
                          <wps:cNvSpPr>
                            <a:spLocks/>
                          </wps:cNvSpPr>
                          <wps:spPr bwMode="auto">
                            <a:xfrm>
                              <a:off x="31" y="22694"/>
                              <a:ext cx="147930" cy="1423"/>
                            </a:xfrm>
                            <a:custGeom>
                              <a:avLst/>
                              <a:gdLst>
                                <a:gd name="T0" fmla="*/ 2147483647 w 4576"/>
                                <a:gd name="T1" fmla="*/ 128486777 h 44"/>
                                <a:gd name="T2" fmla="*/ 2147483647 w 4576"/>
                                <a:gd name="T3" fmla="*/ 0 h 44"/>
                                <a:gd name="T4" fmla="*/ 0 w 4576"/>
                                <a:gd name="T5" fmla="*/ 0 h 44"/>
                                <a:gd name="T6" fmla="*/ 0 w 4576"/>
                                <a:gd name="T7" fmla="*/ 148773712 h 44"/>
                                <a:gd name="T8" fmla="*/ 2147483647 w 4576"/>
                                <a:gd name="T9" fmla="*/ 148773712 h 44"/>
                                <a:gd name="T10" fmla="*/ 2147483647 w 4576"/>
                                <a:gd name="T11" fmla="*/ 128486777 h 4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576" h="44">
                                  <a:moveTo>
                                    <a:pt x="4576" y="38"/>
                                  </a:moveTo>
                                  <a:cubicBezTo>
                                    <a:pt x="4542" y="21"/>
                                    <a:pt x="4493" y="0"/>
                                    <a:pt x="4431" y="0"/>
                                  </a:cubicBezTo>
                                  <a:cubicBezTo>
                                    <a:pt x="0" y="0"/>
                                    <a:pt x="0" y="0"/>
                                    <a:pt x="0" y="0"/>
                                  </a:cubicBezTo>
                                  <a:cubicBezTo>
                                    <a:pt x="0" y="44"/>
                                    <a:pt x="0" y="44"/>
                                    <a:pt x="0" y="44"/>
                                  </a:cubicBezTo>
                                  <a:cubicBezTo>
                                    <a:pt x="4485" y="44"/>
                                    <a:pt x="4485" y="44"/>
                                    <a:pt x="4485" y="44"/>
                                  </a:cubicBezTo>
                                  <a:cubicBezTo>
                                    <a:pt x="4485" y="44"/>
                                    <a:pt x="4566" y="40"/>
                                    <a:pt x="4576" y="38"/>
                                  </a:cubicBezTo>
                                </a:path>
                              </a:pathLst>
                            </a:custGeom>
                            <a:solidFill>
                              <a:schemeClr val="accent2">
                                <a:lumMod val="100000"/>
                                <a:lumOff val="0"/>
                              </a:scheme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9ABE1F2" id="Group 331" o:spid="_x0000_s1026" alt="background" style="position:absolute;margin-left:-119.4pt;margin-top:-1.7pt;width:1164.8pt;height:845.65pt;z-index:-251578368;mso-position-vertical-relative:page" coordorigin="-1254,-40" coordsize="23296,16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">
                <v:group id="Group 332" o:spid="_x0000_s1027" alt="background" style="position:absolute;left:-38;top:-40;width:12095;height:16913" coordorigin="-38,-41" coordsize="12095,169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rect id="Rectangle 333" o:spid="_x0000_s1028" alt="background" style="position:absolute;left:-38;top:-41;width:11966;height:12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6CUMMA&#10;AADaAAAADwAAAGRycy9kb3ducmV2LnhtbESPT4vCMBTE74LfITxhb5oqi0jXKOu/pQge1BU9Pppn&#10;W7Z56TZR67c3guBxmJnfMONpY0pxpdoVlhX0exEI4tTqgjMFv/tVdwTCeWSNpWVScCcH00m7NcZY&#10;2xtv6brzmQgQdjEqyL2vYildmpNB17MVcfDOtjbog6wzqWu8Bbgp5SCKhtJgwWEhx4rmOaV/u4tR&#10;sFwvBqfjIal8srrMXNLg5mf5r9RHp/n+AuGp8e/wq51oBZ/wvBJugJ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6CUMMAAADaAAAADwAAAAAAAAAAAAAAAACYAgAAZHJzL2Rv&#10;d25yZXYueG1sUEsFBgAAAAAEAAQA9QAAAIgDAAAAAA==&#10;" fillcolor="white [3212]" stroked="f"/>
                  <v:rect id="Rectangle 334" o:spid="_x0000_s1029" alt="background" style="position:absolute;left:-38;top:11692;width:12095;height:518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mHTMQA&#10;AADaAAAADwAAAGRycy9kb3ducmV2LnhtbESPS4vCQBCE7wv+h6EFL4tOVJAlOhERfMF68IHircm0&#10;STDTEzITzf77nQVhj0VVfUXN5q0pxZNqV1hWMBxEIIhTqwvOFJxPq/4XCOeRNZaWScEPOZgnnY8Z&#10;xtq++EDPo89EgLCLUUHufRVL6dKcDLqBrYiDd7e1QR9knUld4yvATSlHUTSRBgsOCzlWtMwpfRwb&#10;o+D7drgWeyp3w890o8cRXm6uWSvV67aLKQhPrf8Pv9tbrWACf1fCDZDJ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Zh0zEAAAA2gAAAA8AAAAAAAAAAAAAAAAAmAIAAGRycy9k&#10;b3ducmV2LnhtbFBLBQYAAAAABAAEAPUAAACJAwAAAAA=&#10;" fillcolor="white [3214]" stroked="f">
                    <v:textbox inset="0,0,0,0"/>
                  </v:rect>
                </v:group>
                <v:group id="Canvas 1059" o:spid="_x0000_s1030" alt="background" style="position:absolute;left:-62;top:913;width:12119;height:830" coordsize="89528,6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rect id="AutoShape 26" o:spid="_x0000_s1031" alt="background" style="position:absolute;width:89528;height:6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lKg78A&#10;AADaAAAADwAAAGRycy9kb3ducmV2LnhtbERPTYvCMBC9C/6HMIIX0XQ9iFSjiCBbZEGsu56HZmyL&#10;zaQ2se3+e3MQPD7e93rbm0q01LjSsoKvWQSCOLO65FzB7+UwXYJwHlljZZkU/JOD7WY4WGOsbcdn&#10;alOfixDCLkYFhfd1LKXLCjLoZrYmDtzNNgZ9gE0udYNdCDeVnEfRQhosOTQUWNO+oOyePo2CLju1&#10;18vPtzxNronlR/LYp39HpcajfrcC4an3H/HbnWgFYWu4Em6A3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KUqDvwAAANoAAAAPAAAAAAAAAAAAAAAAAJgCAABkcnMvZG93bnJl&#10;di54bWxQSwUGAAAAAAQABAD1AAAAhAMAAAAA&#10;" filled="f" stroked="f">
                    <o:lock v:ext="edit" aspectratio="t"/>
                  </v:rect>
                  <v:rect id="Rectangle 34" o:spid="_x0000_s1032" style="position:absolute;left:146;top:190;width:89223;height:5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2asQA&#10;AADaAAAADwAAAGRycy9kb3ducmV2LnhtbESP3WoCMRSE7wu+QziCN4tmtVB0a5TS0iIUBH/a68Pm&#10;dBPcnKybuK5v3wiFXg4z8w2zXPeuFh21wXpWMJ3kIIhLry1XCo6H9/EcRIjIGmvPpOBGAdarwcMS&#10;C+2vvKNuHyuRIBwKVGBibAopQ2nIYZj4hjh5P751GJNsK6lbvCa4q+Usz5+kQ8tpwWBDr4bK0/7i&#10;FMxuH2+N3W7C6dv22ef5KzOPXabUaNi/PIOI1Mf/8F97oxUs4H4l3Q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NtmrEAAAA2gAAAA8AAAAAAAAAAAAAAAAAmAIAAGRycy9k&#10;b3ducmV2LnhtbFBLBQYAAAAABAAEAPUAAACJAwAAAAA=&#10;" fillcolor="#c8c7c7" stroked="f"/>
                  <v:group id="Group 91" o:spid="_x0000_s1033" style="position:absolute;left:114;top:190;width:89255;height:5950" coordorigin="114,190" coordsize="89255,5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rect id="Rectangle 35" o:spid="_x0000_s1034" alt="background" style="position:absolute;left:146;top:190;width:89223;height:5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Mg7cMA&#10;AADbAAAADwAAAGRycy9kb3ducmV2LnhtbERPS2vCQBC+C/6HZYReQt3YQqmpq6gYmlurFs9DdpoE&#10;s7Mhu+bRX98tFLzNx/ec1WYwteiodZVlBYt5DII4t7riQsHXOX18BeE8ssbaMikYycFmPZ2sMNG2&#10;5yN1J1+IEMIuQQWl900ipctLMujmtiEO3LdtDfoA20LqFvsQbmr5FMcv0mDFoaHEhvYl5dfTzSiI&#10;mufLrv/5zKKPNB4P75fjsogGpR5mw/YNhKfB38X/7kyH+Qv4+yUc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Mg7cMAAADbAAAADwAAAAAAAAAAAAAAAACYAgAAZHJzL2Rv&#10;d25yZXYueG1sUEsFBgAAAAAEAAQA9QAAAIgDAAAAAA==&#10;" fillcolor="#bfbfbf" stroked="f"/>
                    <v:rect id="Rectangle 36" o:spid="_x0000_s1035" alt="background" style="position:absolute;left:114;top:984;width:89255;height:5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8WW8IA&#10;AADbAAAADwAAAGRycy9kb3ducmV2LnhtbERPTWvCQBC9F/wPywjemo1KRVJXCUEllx60tdDbkJ0m&#10;wexsyK5J/PduoeBtHu9zNrvRNKKnztWWFcyjGARxYXXNpYKvz8PrGoTzyBoby6TgTg5228nLBhNt&#10;Bz5Rf/alCCHsElRQed8mUrqiIoMusi1x4H5tZ9AH2JVSdziEcNPIRRyvpMGaQ0OFLWUVFdfzzSgY&#10;j4s4//4p6Jhmpzm6j/5tf+mVmk3H9B2Ep9E/xf/uXIf5S/j7JRwgt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PxZbwgAAANsAAAAPAAAAAAAAAAAAAAAAAJgCAABkcnMvZG93&#10;bnJldi54bWxQSwUGAAAAAAQABAD1AAAAhwMAAAAA&#10;" fillcolor="#00313c [3205]" stroked="f"/>
                  </v:group>
                </v:group>
                <v:group id="Group 90" o:spid="_x0000_s1036" alt="background" style="position:absolute;left:-1254;top:10023;width:23296;height:6253" coordorigin="31" coordsize="147930,39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rect id="Rectangle 48" o:spid="_x0000_s1037" style="position:absolute;left:6432;top:10363;width:76968;height:29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84vsIA&#10;AADbAAAADwAAAGRycy9kb3ducmV2LnhtbERPTWvCQBC9F/wPywje6q7VBJu6hiIIQttDVeh1yI5J&#10;aHY2Zjcm/fduodDbPN7nbPLRNuJGna8da1jMFQjiwpmaSw3n0/5xDcIHZIONY9LwQx7y7eRhg5lx&#10;A3/S7RhKEUPYZ6ihCqHNpPRFRRb93LXEkbu4zmKIsCul6XCI4baRT0ql0mLNsaHClnYVFd/H3mrA&#10;dGWuH5fl++mtT/G5HNU++VJaz6bj6wuIQGP4F/+5DybOT+D3l3iA3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nzi+wgAAANsAAAAPAAAAAAAAAAAAAAAAAJgCAABkcnMvZG93&#10;bnJldi54bWxQSwUGAAAAAAQABAD1AAAAhwMAAAAA&#10;" stroked="f"/>
                  <v:shape id="Freeform 49" o:spid="_x0000_s1038" alt="background" style="position:absolute;left:31;width:123844;height:12071;visibility:visible;mso-wrap-style:square;v-text-anchor:top" coordsize="3831,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XmMMAA&#10;AADbAAAADwAAAGRycy9kb3ducmV2LnhtbERPTYvCMBC9C/6HMII3TRVxpWsUERRREdSF3ePYjG21&#10;mZQmav33RljwNo/3OeNpbQpxp8rllhX0uhEI4sTqnFMFP8dFZwTCeWSNhWVS8CQH00mzMcZY2wfv&#10;6X7wqQgh7GJUkHlfxlK6JCODrmtL4sCdbWXQB1ilUlf4COGmkP0oGkqDOYeGDEuaZ5RcDzejQF/K&#10;38V6xgN92tKf2S0322P+pVS7Vc++QXiq/Uf8717pMH8I71/CAXLy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kXmMMAAAADbAAAADwAAAAAAAAAAAAAAAACYAgAAZHJzL2Rvd25y&#10;ZXYueG1sUEsFBgAAAAAEAAQA9QAAAIUDAAAAAA==&#10;" path="m3831,321c3531,150,3119,,2922,,,,,,,,,374,,374,,374v3389,,3389,,3389,c3559,374,3724,362,3831,321e" fillcolor="#00313c [3205]" stroked="f">
                    <v:path arrowok="t" o:connecttype="custom" o:connectlocs="2147483646,2147483646;2147483646,0;0,0;0,2147483646;2147483646,2147483646;2147483646,2147483646" o:connectangles="0,0,0,0,0,0"/>
                  </v:shape>
                  <v:shape id="Freeform 50" o:spid="_x0000_s1039" alt="background" style="position:absolute;left:31;top:14014;width:98273;height:6198;visibility:visible;mso-wrap-style:square;v-text-anchor:top" coordsize="3040,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cu08MA&#10;AADbAAAADwAAAGRycy9kb3ducmV2LnhtbERPS2vCQBC+F/oflin0Vjd6UImuUltKKpKDD2yPQ3ZM&#10;QrOzS3abpP++Kwje5uN7znI9mEZ01PrasoLxKAFBXFhdc6ngdPx4mYPwAVljY5kU/JGH9erxYYmp&#10;tj3vqTuEUsQQ9ikqqEJwqZS+qMigH1lHHLmLbQ2GCNtS6hb7GG4aOUmSqTRYc2yo0NFbRcXP4dco&#10;yHA78U7m0/Mmy3dF82Uv7v1bqeen4XUBItAQ7uKb+1PH+TO4/hIP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cu08MAAADbAAAADwAAAAAAAAAAAAAAAACYAgAAZHJzL2Rv&#10;d25yZXYueG1sUEsFBgAAAAAEAAQA9QAAAIgDAAAAAA==&#10;" path="m3040,165c2886,77,2675,,2402,,,,,,,,,192,,192,,192v2641,,2641,,2641,c2901,192,2985,186,3040,165e" fillcolor="#00a9ce [3204]" stroked="f">
                    <v:path arrowok="t" o:connecttype="custom" o:connectlocs="2147483646,2147483646;2147483646,0;0,0;0,2147483646;2147483646,2147483646;2147483646,2147483646" o:connectangles="0,0,0,0,0,0"/>
                  </v:shape>
                  <v:shape id="Freeform 51" o:spid="_x0000_s1040" alt="background" style="position:absolute;left:31;top:22694;width:147930;height:1423;visibility:visible;mso-wrap-style:square;v-text-anchor:top" coordsize="457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XxfMQA&#10;AADbAAAADwAAAGRycy9kb3ducmV2LnhtbESPT2vCQBDF7wW/wzJCL0U3WqgaXcUKQuip/sHzmB2T&#10;YHY2ZLcxfvvOodDbDO/Ne79ZbXpXq47aUHk2MBknoIhzbysuDJxP+9EcVIjIFmvPZOBJATbrwcsK&#10;U+sffKDuGAslIRxSNFDG2KRah7wkh2HsG2LRbr51GGVtC21bfEi4q/U0ST60w4qlocSGdiXl9+OP&#10;M/DZzfT3Nb+evp6X/Xv/ds4CLTJjXof9dgkqUh//zX/XmRV8gZVfZAC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F8XzEAAAA2wAAAA8AAAAAAAAAAAAAAAAAmAIAAGRycy9k&#10;b3ducmV2LnhtbFBLBQYAAAAABAAEAPUAAACJAwAAAAA=&#10;" path="m4576,38c4542,21,4493,,4431,,,,,,,,,44,,44,,44v4485,,4485,,4485,c4485,44,4566,40,4576,38e" fillcolor="#00313c [3205]" stroked="f">
                    <v:path arrowok="t" o:connecttype="custom" o:connectlocs="2147483646,2147483646;2147483646,0;0,0;0,2147483646;2147483646,2147483646;2147483646,2147483646" o:connectangles="0,0,0,0,0,0"/>
                  </v:shape>
                </v:group>
                <w10:wrap anchory="page"/>
                <w10:anchorlock/>
              </v:group>
            </w:pict>
          </mc:Fallback>
        </mc:AlternateContent>
      </w:r>
    </w:p>
    <w:p w14:paraId="7029CF9B" w14:textId="77777777" w:rsidR="00145E16" w:rsidRDefault="00145E16" w:rsidP="00925BAA">
      <w:pPr>
        <w:pStyle w:val="BodyText"/>
        <w:rPr>
          <w:sz w:val="18"/>
        </w:rPr>
      </w:pPr>
    </w:p>
    <w:p w14:paraId="24A0826F" w14:textId="0A691025" w:rsidR="00A14107" w:rsidRPr="006C2F7A" w:rsidRDefault="001112E5" w:rsidP="00925BAA">
      <w:pPr>
        <w:pStyle w:val="BodyText"/>
        <w:rPr>
          <w:sz w:val="18"/>
        </w:rPr>
      </w:pPr>
      <w:r>
        <w:rPr>
          <w:sz w:val="18"/>
        </w:rPr>
        <w:fldChar w:fldCharType="begin"/>
      </w:r>
      <w:r>
        <w:rPr>
          <w:sz w:val="18"/>
        </w:rPr>
        <w:instrText xml:space="preserve"> ADDIN </w:instrText>
      </w:r>
      <w:r>
        <w:rPr>
          <w:sz w:val="18"/>
        </w:rPr>
        <w:fldChar w:fldCharType="end"/>
      </w:r>
    </w:p>
    <w:sectPr w:rsidR="00A14107" w:rsidRPr="006C2F7A" w:rsidSect="00925BAA">
      <w:type w:val="continuous"/>
      <w:pgSz w:w="11906" w:h="16838" w:code="9"/>
      <w:pgMar w:top="1134" w:right="1134" w:bottom="1134" w:left="1134" w:header="510" w:footer="624" w:gutter="0"/>
      <w:cols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5CCEA3" w14:textId="77777777" w:rsidR="0073787E" w:rsidRDefault="0073787E" w:rsidP="009964E7">
      <w:r>
        <w:separator/>
      </w:r>
    </w:p>
    <w:p w14:paraId="0E6FEA08" w14:textId="77777777" w:rsidR="0073787E" w:rsidRDefault="0073787E"/>
  </w:endnote>
  <w:endnote w:type="continuationSeparator" w:id="0">
    <w:p w14:paraId="0B710354" w14:textId="77777777" w:rsidR="0073787E" w:rsidRDefault="0073787E" w:rsidP="009964E7">
      <w:r>
        <w:continuationSeparator/>
      </w:r>
    </w:p>
    <w:p w14:paraId="099962CB" w14:textId="77777777" w:rsidR="0073787E" w:rsidRDefault="007378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Feijoa Medium">
    <w:altName w:val="Arial"/>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59136258"/>
      <w:docPartObj>
        <w:docPartGallery w:val="Page Numbers (Bottom of Page)"/>
        <w:docPartUnique/>
      </w:docPartObj>
    </w:sdtPr>
    <w:sdtEndPr>
      <w:rPr>
        <w:noProof/>
      </w:rPr>
    </w:sdtEndPr>
    <w:sdtContent>
      <w:p w14:paraId="56DB650E" w14:textId="25055827" w:rsidR="0073787E" w:rsidRDefault="0073787E" w:rsidP="00847C7A">
        <w:pPr>
          <w:pStyle w:val="Footer"/>
        </w:pPr>
        <w:r>
          <w:fldChar w:fldCharType="begin"/>
        </w:r>
        <w:r>
          <w:instrText xml:space="preserve"> PAGE   \* MERGEFORMAT </w:instrText>
        </w:r>
        <w:r>
          <w:fldChar w:fldCharType="separate"/>
        </w:r>
        <w:r w:rsidR="00CC2859">
          <w:rPr>
            <w:noProof/>
          </w:rPr>
          <w:t>14</w:t>
        </w:r>
        <w:r>
          <w:rPr>
            <w:noProof/>
          </w:rPr>
          <w:fldChar w:fldCharType="end"/>
        </w:r>
        <w:r>
          <w:rPr>
            <w:noProof/>
          </w:rPr>
          <w:t xml:space="preserve"> </w:t>
        </w:r>
        <w:r>
          <w:rPr>
            <w:rFonts w:asciiTheme="minorHAnsi" w:hAnsiTheme="minorHAnsi"/>
            <w:bCs/>
          </w:rPr>
          <w:sym w:font="Symbol" w:char="F07C"/>
        </w:r>
        <w:r>
          <w:rPr>
            <w:noProof/>
          </w:rPr>
          <w:t xml:space="preserve">  </w:t>
        </w:r>
        <w:r w:rsidRPr="00E05DC1">
          <w:rPr>
            <w:bCs/>
          </w:rPr>
          <w:t>Assessing the potential for a step change in energy, water and resource efficiency, 2010–2050</w:t>
        </w:r>
      </w:p>
    </w:sdtContent>
  </w:sdt>
  <w:p w14:paraId="1083FBC3" w14:textId="3C3FDE43" w:rsidR="0073787E" w:rsidRDefault="0073787E" w:rsidP="00AE0D97">
    <w:pPr>
      <w:pStyle w:val="Footer"/>
      <w:tabs>
        <w:tab w:val="clear" w:pos="4513"/>
        <w:tab w:val="clear" w:pos="9026"/>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8654455"/>
      <w:docPartObj>
        <w:docPartGallery w:val="Page Numbers (Bottom of Page)"/>
        <w:docPartUnique/>
      </w:docPartObj>
    </w:sdtPr>
    <w:sdtEndPr>
      <w:rPr>
        <w:noProof/>
      </w:rPr>
    </w:sdtEndPr>
    <w:sdtContent>
      <w:p w14:paraId="2B014601" w14:textId="4917AD7F" w:rsidR="0073787E" w:rsidRPr="00E05DC1" w:rsidRDefault="0073787E">
        <w:pPr>
          <w:pStyle w:val="Footer"/>
          <w:jc w:val="right"/>
        </w:pPr>
        <w:r w:rsidRPr="00E05DC1">
          <w:rPr>
            <w:bCs/>
          </w:rPr>
          <w:t>Assessing the potential for a step change in energy, water and resource efficiency, 2010–2050</w:t>
        </w:r>
        <w:r>
          <w:rPr>
            <w:bCs/>
          </w:rPr>
          <w:t xml:space="preserve">  </w:t>
        </w:r>
        <w:r>
          <w:rPr>
            <w:rFonts w:asciiTheme="minorHAnsi" w:hAnsiTheme="minorHAnsi"/>
            <w:bCs/>
          </w:rPr>
          <w:sym w:font="Symbol" w:char="F07C"/>
        </w:r>
        <w:r w:rsidRPr="00E05DC1">
          <w:rPr>
            <w:bCs/>
          </w:rPr>
          <w:t xml:space="preserve"> </w:t>
        </w:r>
        <w:r w:rsidRPr="00E05DC1">
          <w:fldChar w:fldCharType="begin"/>
        </w:r>
        <w:r w:rsidRPr="00E05DC1">
          <w:instrText xml:space="preserve"> PAGE   \* MERGEFORMAT </w:instrText>
        </w:r>
        <w:r w:rsidRPr="00E05DC1">
          <w:fldChar w:fldCharType="separate"/>
        </w:r>
        <w:r w:rsidR="00CC2859">
          <w:rPr>
            <w:noProof/>
          </w:rPr>
          <w:t>13</w:t>
        </w:r>
        <w:r w:rsidRPr="00E05DC1">
          <w:rPr>
            <w:noProof/>
          </w:rPr>
          <w:fldChar w:fldCharType="end"/>
        </w:r>
      </w:p>
    </w:sdtContent>
  </w:sdt>
  <w:p w14:paraId="3822DA5C" w14:textId="77777777" w:rsidR="0073787E" w:rsidRPr="007476AA" w:rsidRDefault="0073787E" w:rsidP="007476A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78AB07" w14:textId="77777777" w:rsidR="0073787E" w:rsidRDefault="0073787E" w:rsidP="009964E7">
      <w:r>
        <w:separator/>
      </w:r>
    </w:p>
    <w:p w14:paraId="3346030F" w14:textId="77777777" w:rsidR="0073787E" w:rsidRDefault="0073787E"/>
  </w:footnote>
  <w:footnote w:type="continuationSeparator" w:id="0">
    <w:p w14:paraId="5D5F4E35" w14:textId="77777777" w:rsidR="0073787E" w:rsidRDefault="0073787E" w:rsidP="009964E7">
      <w:r>
        <w:continuationSeparator/>
      </w:r>
    </w:p>
    <w:p w14:paraId="2C48303B" w14:textId="77777777" w:rsidR="0073787E" w:rsidRDefault="0073787E"/>
  </w:footnote>
  <w:footnote w:id="1">
    <w:p w14:paraId="793A45CD" w14:textId="77777777" w:rsidR="0073787E" w:rsidRDefault="0073787E" w:rsidP="0017018E">
      <w:pPr>
        <w:pStyle w:val="FootnoteText"/>
      </w:pPr>
      <w:r>
        <w:rPr>
          <w:rStyle w:val="FootnoteReference"/>
        </w:rPr>
        <w:footnoteRef/>
      </w:r>
      <w:r>
        <w:t xml:space="preserve"> </w:t>
      </w:r>
      <w:hyperlink r:id="rId1" w:history="1">
        <w:r w:rsidRPr="0038335D">
          <w:rPr>
            <w:rStyle w:val="Hyperlink"/>
          </w:rPr>
          <w:t>http://www.climateworksaustralia.org/</w:t>
        </w:r>
      </w:hyperlink>
      <w:r>
        <w:t xml:space="preserve"> </w:t>
      </w:r>
    </w:p>
  </w:footnote>
  <w:footnote w:id="2">
    <w:p w14:paraId="4B94B359" w14:textId="77777777" w:rsidR="0073787E" w:rsidRDefault="0073787E" w:rsidP="0017018E">
      <w:pPr>
        <w:pStyle w:val="FootnoteText"/>
      </w:pPr>
      <w:r>
        <w:rPr>
          <w:rStyle w:val="FootnoteReference"/>
        </w:rPr>
        <w:footnoteRef/>
      </w:r>
      <w:r>
        <w:t xml:space="preserve"> </w:t>
      </w:r>
      <w:hyperlink r:id="rId2" w:history="1">
        <w:r w:rsidRPr="0038335D">
          <w:rPr>
            <w:rStyle w:val="Hyperlink"/>
          </w:rPr>
          <w:t>http://www.innovation.gov.au/SCIENCE/INTERNATIONALCOLLABORATION/ACSRF/Pages/ANZSICCodes.aspx</w:t>
        </w:r>
      </w:hyperlink>
      <w:r>
        <w:t xml:space="preserve"> </w:t>
      </w:r>
    </w:p>
  </w:footnote>
  <w:footnote w:id="3">
    <w:p w14:paraId="22B12A23" w14:textId="3CA8E556" w:rsidR="0073787E" w:rsidRDefault="0073787E" w:rsidP="0017018E">
      <w:pPr>
        <w:pStyle w:val="FootnoteText"/>
      </w:pPr>
      <w:r>
        <w:rPr>
          <w:rStyle w:val="FootnoteReference"/>
        </w:rPr>
        <w:footnoteRef/>
      </w:r>
      <w:r>
        <w:t xml:space="preserve"> </w:t>
      </w:r>
      <w:r w:rsidRPr="00E05DC1">
        <w:rPr>
          <w:rStyle w:val="Hyperlink"/>
        </w:rPr>
        <w:t>http://www.industry.gov.au/Office-of-the-Chief-Economist/Publications/Pages/Australian-energy-statistics.aspx</w:t>
      </w:r>
      <w:r>
        <w:t xml:space="preserve"> </w:t>
      </w:r>
    </w:p>
  </w:footnote>
  <w:footnote w:id="4">
    <w:p w14:paraId="01AA3B2A" w14:textId="77777777" w:rsidR="0073787E" w:rsidRDefault="0073787E" w:rsidP="0017018E">
      <w:pPr>
        <w:pStyle w:val="FootnoteText"/>
      </w:pPr>
      <w:r>
        <w:rPr>
          <w:rStyle w:val="FootnoteReference"/>
        </w:rPr>
        <w:footnoteRef/>
      </w:r>
      <w:r>
        <w:t xml:space="preserve"> </w:t>
      </w:r>
      <w:hyperlink r:id="rId3" w:history="1">
        <w:r w:rsidRPr="0038335D">
          <w:rPr>
            <w:rStyle w:val="Hyperlink"/>
          </w:rPr>
          <w:t>http://www.climateworksaustralia.org/</w:t>
        </w:r>
      </w:hyperlink>
      <w:r>
        <w:t xml:space="preserve"> </w:t>
      </w:r>
    </w:p>
  </w:footnote>
  <w:footnote w:id="5">
    <w:p w14:paraId="676C7FFA" w14:textId="77777777" w:rsidR="0073787E" w:rsidRDefault="0073787E" w:rsidP="00D96E9D">
      <w:pPr>
        <w:pStyle w:val="FootnoteText"/>
      </w:pPr>
      <w:r>
        <w:rPr>
          <w:rStyle w:val="FootnoteReference"/>
        </w:rPr>
        <w:footnoteRef/>
      </w:r>
      <w:r>
        <w:t xml:space="preserve"> </w:t>
      </w:r>
      <w:hyperlink r:id="rId4" w:history="1">
        <w:r w:rsidRPr="0038335D">
          <w:rPr>
            <w:rStyle w:val="Hyperlink"/>
          </w:rPr>
          <w:t>http://www.nabers.gov.au/public/WebPages/Home.aspx</w:t>
        </w:r>
      </w:hyperlink>
      <w:r>
        <w:t xml:space="preserve"> </w:t>
      </w:r>
    </w:p>
  </w:footnote>
  <w:footnote w:id="6">
    <w:p w14:paraId="5A62B6F4" w14:textId="77777777" w:rsidR="0073787E" w:rsidRDefault="0073787E" w:rsidP="0017018E">
      <w:pPr>
        <w:pStyle w:val="FootnoteText"/>
      </w:pPr>
      <w:r>
        <w:rPr>
          <w:rStyle w:val="FootnoteReference"/>
        </w:rPr>
        <w:footnoteRef/>
      </w:r>
      <w:r>
        <w:t xml:space="preserve"> </w:t>
      </w:r>
      <w:hyperlink r:id="rId5" w:history="1">
        <w:r w:rsidRPr="0038335D">
          <w:rPr>
            <w:rStyle w:val="Hyperlink"/>
          </w:rPr>
          <w:t>http://www.nabers.gov.au/public/WebPages/Home.aspx</w:t>
        </w:r>
      </w:hyperlink>
      <w:r>
        <w:t xml:space="preserve"> </w:t>
      </w:r>
    </w:p>
  </w:footnote>
  <w:footnote w:id="7">
    <w:p w14:paraId="18118B1B" w14:textId="77777777" w:rsidR="0073787E" w:rsidRDefault="0073787E" w:rsidP="0017018E">
      <w:pPr>
        <w:pStyle w:val="FootnoteText"/>
      </w:pPr>
      <w:r>
        <w:rPr>
          <w:rStyle w:val="FootnoteReference"/>
        </w:rPr>
        <w:footnoteRef/>
      </w:r>
      <w:r>
        <w:t xml:space="preserve"> </w:t>
      </w:r>
      <w:hyperlink r:id="rId6" w:history="1">
        <w:r w:rsidRPr="0038335D">
          <w:rPr>
            <w:rStyle w:val="Hyperlink"/>
          </w:rPr>
          <w:t>http://www.abs.gov.au/ausstats/abs@.nsf/mf/4610.0</w:t>
        </w:r>
      </w:hyperlink>
      <w:r>
        <w:t xml:space="preserve"> </w:t>
      </w:r>
    </w:p>
  </w:footnote>
  <w:footnote w:id="8">
    <w:p w14:paraId="741243D4" w14:textId="77777777" w:rsidR="0073787E" w:rsidRDefault="0073787E" w:rsidP="0017018E">
      <w:pPr>
        <w:pStyle w:val="FootnoteText"/>
      </w:pPr>
      <w:r>
        <w:rPr>
          <w:rStyle w:val="FootnoteReference"/>
        </w:rPr>
        <w:footnoteRef/>
      </w:r>
      <w:r>
        <w:t xml:space="preserve"> </w:t>
      </w:r>
      <w:hyperlink r:id="rId7" w:history="1">
        <w:r w:rsidRPr="00EF47F4">
          <w:rPr>
            <w:rStyle w:val="Hyperlink"/>
          </w:rPr>
          <w:t>www.pacinst.org/reports/urban_usage/</w:t>
        </w:r>
      </w:hyperlink>
      <w:r>
        <w:t xml:space="preserve"> </w:t>
      </w:r>
    </w:p>
  </w:footnote>
  <w:footnote w:id="9">
    <w:p w14:paraId="7BC0FE9E" w14:textId="77777777" w:rsidR="0073787E" w:rsidRDefault="0073787E" w:rsidP="0017018E">
      <w:pPr>
        <w:pStyle w:val="FootnoteText"/>
      </w:pPr>
      <w:r>
        <w:rPr>
          <w:rStyle w:val="FootnoteReference"/>
        </w:rPr>
        <w:footnoteRef/>
      </w:r>
      <w:r>
        <w:t xml:space="preserve"> </w:t>
      </w:r>
      <w:hyperlink r:id="rId8" w:history="1">
        <w:r w:rsidRPr="00EF47F4">
          <w:rPr>
            <w:rStyle w:val="Hyperlink"/>
          </w:rPr>
          <w:t>www.nabers.gov.au/public/WebPages/Home.aspx</w:t>
        </w:r>
      </w:hyperlink>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CC3EF2D2"/>
    <w:lvl w:ilvl="0">
      <w:start w:val="1"/>
      <w:numFmt w:val="lowerLetter"/>
      <w:pStyle w:val="ListNumber2"/>
      <w:lvlText w:val="%1."/>
      <w:lvlJc w:val="left"/>
      <w:pPr>
        <w:ind w:left="643" w:hanging="360"/>
      </w:pPr>
    </w:lvl>
  </w:abstractNum>
  <w:abstractNum w:abstractNumId="1" w15:restartNumberingAfterBreak="0">
    <w:nsid w:val="FFFFFF80"/>
    <w:multiLevelType w:val="singleLevel"/>
    <w:tmpl w:val="B442ECCC"/>
    <w:lvl w:ilvl="0">
      <w:start w:val="1"/>
      <w:numFmt w:val="bullet"/>
      <w:pStyle w:val="ListNumber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B77C9CB0"/>
    <w:lvl w:ilvl="0">
      <w:start w:val="1"/>
      <w:numFmt w:val="bullet"/>
      <w:pStyle w:val="ListNumber4"/>
      <w:lvlText w:val=""/>
      <w:lvlJc w:val="left"/>
      <w:pPr>
        <w:tabs>
          <w:tab w:val="num" w:pos="1209"/>
        </w:tabs>
        <w:ind w:left="1209" w:hanging="360"/>
      </w:pPr>
      <w:rPr>
        <w:rFonts w:ascii="Symbol" w:hAnsi="Symbol" w:hint="default"/>
      </w:rPr>
    </w:lvl>
  </w:abstractNum>
  <w:abstractNum w:abstractNumId="3" w15:restartNumberingAfterBreak="0">
    <w:nsid w:val="FFFFFF83"/>
    <w:multiLevelType w:val="singleLevel"/>
    <w:tmpl w:val="2716FB9A"/>
    <w:lvl w:ilvl="0">
      <w:start w:val="1"/>
      <w:numFmt w:val="bullet"/>
      <w:pStyle w:val="ListBullet5"/>
      <w:lvlText w:val="–"/>
      <w:lvlJc w:val="left"/>
      <w:pPr>
        <w:ind w:left="360" w:hanging="360"/>
      </w:pPr>
      <w:rPr>
        <w:rFonts w:ascii="Feijoa Medium" w:hAnsi="Feijoa Medium" w:hint="default"/>
      </w:rPr>
    </w:lvl>
  </w:abstractNum>
  <w:abstractNum w:abstractNumId="4" w15:restartNumberingAfterBreak="0">
    <w:nsid w:val="FFFFFF88"/>
    <w:multiLevelType w:val="singleLevel"/>
    <w:tmpl w:val="87D43BCA"/>
    <w:lvl w:ilvl="0">
      <w:start w:val="1"/>
      <w:numFmt w:val="decimal"/>
      <w:pStyle w:val="ListBullet4"/>
      <w:lvlText w:val="%1."/>
      <w:lvlJc w:val="left"/>
      <w:pPr>
        <w:ind w:left="360" w:hanging="360"/>
      </w:pPr>
      <w:rPr>
        <w:rFonts w:cs="Times New Roman"/>
      </w:rPr>
    </w:lvl>
  </w:abstractNum>
  <w:abstractNum w:abstractNumId="5" w15:restartNumberingAfterBreak="0">
    <w:nsid w:val="2086735F"/>
    <w:multiLevelType w:val="multilevel"/>
    <w:tmpl w:val="F1420D32"/>
    <w:styleLink w:val="TableBullets"/>
    <w:lvl w:ilvl="0">
      <w:start w:val="1"/>
      <w:numFmt w:val="bullet"/>
      <w:pStyle w:val="TableBullet"/>
      <w:lvlText w:val=""/>
      <w:lvlJc w:val="left"/>
      <w:pPr>
        <w:tabs>
          <w:tab w:val="num" w:pos="170"/>
        </w:tabs>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1050236"/>
    <w:multiLevelType w:val="multilevel"/>
    <w:tmpl w:val="9432AB92"/>
    <w:styleLink w:val="Sources"/>
    <w:lvl w:ilvl="0">
      <w:start w:val="1"/>
      <w:numFmt w:val="none"/>
      <w:lvlText w:val="Source:"/>
      <w:lvlJc w:val="left"/>
      <w:pPr>
        <w:tabs>
          <w:tab w:val="num" w:pos="624"/>
        </w:tabs>
        <w:ind w:left="624" w:hanging="624"/>
      </w:pPr>
      <w:rPr>
        <w:rFonts w:cs="Times New Roman" w:hint="default"/>
      </w:rPr>
    </w:lvl>
    <w:lvl w:ilvl="1">
      <w:start w:val="1"/>
      <w:numFmt w:val="none"/>
      <w:lvlText w:val=""/>
      <w:lvlJc w:val="left"/>
      <w:pPr>
        <w:ind w:left="720" w:hanging="360"/>
      </w:pPr>
      <w:rPr>
        <w:rFonts w:cs="Times New Roman" w:hint="default"/>
      </w:rPr>
    </w:lvl>
    <w:lvl w:ilvl="2">
      <w:start w:val="1"/>
      <w:numFmt w:val="none"/>
      <w:lvlText w:val=""/>
      <w:lvlJc w:val="left"/>
      <w:pPr>
        <w:ind w:left="1080" w:hanging="360"/>
      </w:pPr>
      <w:rPr>
        <w:rFonts w:cs="Times New Roman"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7" w15:restartNumberingAfterBreak="0">
    <w:nsid w:val="28B57485"/>
    <w:multiLevelType w:val="multilevel"/>
    <w:tmpl w:val="0C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8" w15:restartNumberingAfterBreak="0">
    <w:nsid w:val="367614C6"/>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9" w15:restartNumberingAfterBreak="0">
    <w:nsid w:val="4265682E"/>
    <w:multiLevelType w:val="multilevel"/>
    <w:tmpl w:val="6E74B694"/>
    <w:styleLink w:val="Bullets"/>
    <w:lvl w:ilvl="0">
      <w:start w:val="1"/>
      <w:numFmt w:val="bullet"/>
      <w:pStyle w:val="ListBullet"/>
      <w:lvlText w:val=""/>
      <w:lvlJc w:val="left"/>
      <w:pPr>
        <w:tabs>
          <w:tab w:val="num" w:pos="199"/>
        </w:tabs>
        <w:ind w:left="199" w:hanging="199"/>
      </w:pPr>
      <w:rPr>
        <w:rFonts w:ascii="Symbol" w:hAnsi="Symbol" w:hint="default"/>
      </w:rPr>
    </w:lvl>
    <w:lvl w:ilvl="1">
      <w:start w:val="1"/>
      <w:numFmt w:val="bullet"/>
      <w:pStyle w:val="ListBullet2"/>
      <w:lvlText w:val="–"/>
      <w:lvlJc w:val="left"/>
      <w:pPr>
        <w:tabs>
          <w:tab w:val="num" w:pos="397"/>
        </w:tabs>
        <w:ind w:left="397" w:hanging="198"/>
      </w:pPr>
      <w:rPr>
        <w:rFonts w:ascii="Arial" w:hAnsi="Arial" w:hint="default"/>
      </w:rPr>
    </w:lvl>
    <w:lvl w:ilvl="2">
      <w:start w:val="1"/>
      <w:numFmt w:val="bullet"/>
      <w:lvlText w:val="–"/>
      <w:lvlJc w:val="left"/>
      <w:pPr>
        <w:tabs>
          <w:tab w:val="num" w:pos="595"/>
        </w:tabs>
        <w:ind w:left="595" w:hanging="198"/>
      </w:pPr>
      <w:rPr>
        <w:rFonts w:ascii="Arial" w:hAnsi="Arial"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left"/>
      <w:pPr>
        <w:ind w:left="4320" w:hanging="36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left"/>
      <w:pPr>
        <w:ind w:left="6480" w:hanging="360"/>
      </w:pPr>
      <w:rPr>
        <w:rFonts w:cs="Times New Roman" w:hint="default"/>
      </w:rPr>
    </w:lvl>
  </w:abstractNum>
  <w:abstractNum w:abstractNumId="10" w15:restartNumberingAfterBreak="0">
    <w:nsid w:val="59444BE6"/>
    <w:multiLevelType w:val="multilevel"/>
    <w:tmpl w:val="092ADFE4"/>
    <w:lvl w:ilvl="0">
      <w:start w:val="1"/>
      <w:numFmt w:val="decimal"/>
      <w:lvlText w:val="%1"/>
      <w:lvlJc w:val="left"/>
      <w:pPr>
        <w:ind w:left="432" w:hanging="432"/>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1" w15:restartNumberingAfterBreak="0">
    <w:nsid w:val="5A1767B6"/>
    <w:multiLevelType w:val="multilevel"/>
    <w:tmpl w:val="14C8A526"/>
    <w:styleLink w:val="Numbers"/>
    <w:lvl w:ilvl="0">
      <w:start w:val="1"/>
      <w:numFmt w:val="decimal"/>
      <w:pStyle w:val="ListNumber"/>
      <w:lvlText w:val="%1."/>
      <w:lvlJc w:val="left"/>
      <w:pPr>
        <w:tabs>
          <w:tab w:val="num" w:pos="227"/>
        </w:tabs>
        <w:ind w:left="227" w:hanging="227"/>
      </w:pPr>
      <w:rPr>
        <w:rFonts w:cs="Times New Roman" w:hint="default"/>
      </w:rPr>
    </w:lvl>
    <w:lvl w:ilvl="1">
      <w:start w:val="1"/>
      <w:numFmt w:val="none"/>
      <w:lvlText w:val=""/>
      <w:lvlJc w:val="left"/>
      <w:pPr>
        <w:ind w:left="1440" w:hanging="360"/>
      </w:pPr>
      <w:rPr>
        <w:rFonts w:cs="Times New Roman" w:hint="default"/>
      </w:rPr>
    </w:lvl>
    <w:lvl w:ilvl="2">
      <w:start w:val="1"/>
      <w:numFmt w:val="none"/>
      <w:lvlText w:val=""/>
      <w:lvlJc w:val="right"/>
      <w:pPr>
        <w:ind w:left="2160" w:hanging="180"/>
      </w:pPr>
      <w:rPr>
        <w:rFonts w:cs="Times New Roman"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right"/>
      <w:pPr>
        <w:ind w:left="4320" w:hanging="18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right"/>
      <w:pPr>
        <w:ind w:left="6480" w:hanging="180"/>
      </w:pPr>
      <w:rPr>
        <w:rFonts w:cs="Times New Roman" w:hint="default"/>
      </w:rPr>
    </w:lvl>
  </w:abstractNum>
  <w:abstractNum w:abstractNumId="12" w15:restartNumberingAfterBreak="0">
    <w:nsid w:val="5D8743A4"/>
    <w:multiLevelType w:val="hybridMultilevel"/>
    <w:tmpl w:val="771E21DE"/>
    <w:lvl w:ilvl="0" w:tplc="05920732">
      <w:start w:val="1"/>
      <w:numFmt w:val="bullet"/>
      <w:pStyle w:val="ListNumber3"/>
      <w:lvlText w:val=""/>
      <w:lvlJc w:val="left"/>
      <w:pPr>
        <w:ind w:left="126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F4C27FB"/>
    <w:multiLevelType w:val="multilevel"/>
    <w:tmpl w:val="0C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4" w15:restartNumberingAfterBreak="0">
    <w:nsid w:val="66063429"/>
    <w:multiLevelType w:val="multilevel"/>
    <w:tmpl w:val="FCBECBAC"/>
    <w:lvl w:ilvl="0">
      <w:start w:val="1"/>
      <w:numFmt w:val="upperLetter"/>
      <w:pStyle w:val="AppendixHeading1base"/>
      <w:lvlText w:val="Appendix %1 "/>
      <w:lvlJc w:val="left"/>
      <w:pPr>
        <w:ind w:left="0" w:firstLine="0"/>
      </w:pPr>
      <w:rPr>
        <w:b/>
        <w:bCs w:val="0"/>
        <w:i w:val="0"/>
        <w:iCs w:val="0"/>
        <w:caps w:val="0"/>
        <w:smallCaps w:val="0"/>
        <w:strike w:val="0"/>
        <w:dstrike w:val="0"/>
        <w:noProof w:val="0"/>
        <w:vanish w:val="0"/>
        <w:spacing w:val="0"/>
        <w:kern w:val="0"/>
        <w:position w:val="0"/>
        <w:u w:val="none"/>
        <w:effect w:val="none"/>
        <w:vertAlign w:val="baseline"/>
        <w:em w:val="none"/>
        <w:specVanish w:val="0"/>
      </w:rPr>
    </w:lvl>
    <w:lvl w:ilvl="1">
      <w:start w:val="1"/>
      <w:numFmt w:val="decimal"/>
      <w:pStyle w:val="AppendixHeading2"/>
      <w:lvlText w:val="%1.%2"/>
      <w:lvlJc w:val="left"/>
      <w:pPr>
        <w:ind w:left="0" w:firstLine="0"/>
      </w:pPr>
      <w:rPr>
        <w:rFonts w:hint="default"/>
      </w:rPr>
    </w:lvl>
    <w:lvl w:ilvl="2">
      <w:start w:val="1"/>
      <w:numFmt w:val="decimal"/>
      <w:pStyle w:val="AppendixHeading3"/>
      <w:lvlText w:val="%1.%2.%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5" w15:restartNumberingAfterBreak="0">
    <w:nsid w:val="68763BDC"/>
    <w:multiLevelType w:val="hybridMultilevel"/>
    <w:tmpl w:val="9E221A36"/>
    <w:lvl w:ilvl="0" w:tplc="F550BFA4">
      <w:start w:val="1"/>
      <w:numFmt w:val="upperLetter"/>
      <w:lvlText w:val="(%1)"/>
      <w:lvlJc w:val="left"/>
      <w:pPr>
        <w:ind w:left="720" w:hanging="360"/>
      </w:pPr>
      <w:rPr>
        <w:rFonts w:ascii="Calibri" w:eastAsia="Calibri" w:hAnsi="Calibri" w:cs="Times New Roman"/>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6" w15:restartNumberingAfterBreak="0">
    <w:nsid w:val="7607456C"/>
    <w:multiLevelType w:val="hybridMultilevel"/>
    <w:tmpl w:val="27983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63B0CF5"/>
    <w:multiLevelType w:val="hybridMultilevel"/>
    <w:tmpl w:val="799E1F1C"/>
    <w:lvl w:ilvl="0" w:tplc="0748901E">
      <w:start w:val="1"/>
      <w:numFmt w:val="bullet"/>
      <w:pStyle w:val="ListBullet3"/>
      <w:lvlText w:val=""/>
      <w:lvlJc w:val="left"/>
      <w:pPr>
        <w:ind w:left="1514" w:hanging="360"/>
      </w:pPr>
      <w:rPr>
        <w:rFonts w:ascii="Wingdings" w:hAnsi="Wingdings" w:hint="default"/>
      </w:rPr>
    </w:lvl>
    <w:lvl w:ilvl="1" w:tplc="0C090003" w:tentative="1">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9"/>
  </w:num>
  <w:num w:numId="6">
    <w:abstractNumId w:val="6"/>
  </w:num>
  <w:num w:numId="7">
    <w:abstractNumId w:val="5"/>
  </w:num>
  <w:num w:numId="8">
    <w:abstractNumId w:val="11"/>
  </w:num>
  <w:num w:numId="9">
    <w:abstractNumId w:val="8"/>
  </w:num>
  <w:num w:numId="10">
    <w:abstractNumId w:val="7"/>
  </w:num>
  <w:num w:numId="11">
    <w:abstractNumId w:val="13"/>
  </w:num>
  <w:num w:numId="12">
    <w:abstractNumId w:val="0"/>
  </w:num>
  <w:num w:numId="13">
    <w:abstractNumId w:val="10"/>
  </w:num>
  <w:num w:numId="14">
    <w:abstractNumId w:val="14"/>
  </w:num>
  <w:num w:numId="15">
    <w:abstractNumId w:val="17"/>
  </w:num>
  <w:num w:numId="16">
    <w:abstractNumId w:val="12"/>
  </w:num>
  <w:num w:numId="17">
    <w:abstractNumId w:val="16"/>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720"/>
  <w:evenAndOddHeaders/>
  <w:drawingGridHorizontalSpacing w:val="100"/>
  <w:displayHorizontalDrawingGridEvery w:val="2"/>
  <w:characterSpacingControl w:val="doNotCompress"/>
  <w:hdrShapeDefaults>
    <o:shapedefaults v:ext="edit" spidmax="43009" style="mso-position-vertical-relative:page;v-text-anchor:bottom" fill="f" fillcolor="white" stroke="f">
      <v:fill color="white" on="f"/>
      <v:stroke on="f"/>
      <v:textbox inset="0,0,0,0"/>
      <o:colormru v:ext="edit" colors="#ddd,#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lourChosen" w:val="Core"/>
    <w:docVar w:name="CoverChosen" w:val="Standard"/>
    <w:docVar w:name="EN.InstantFormat" w:val="&lt;ENInstantFormat&gt;&lt;Enabled&gt;1&lt;/Enabled&gt;&lt;ScanUnformatted&gt;1&lt;/ScanUnformatted&gt;&lt;ScanChanges&gt;1&lt;/ScanChanges&gt;&lt;Suspended&gt;0&lt;/Suspended&gt;&lt;/ENInstantFormat&gt;"/>
    <w:docVar w:name="EN.Layout" w:val="&lt;ENLayout&gt;&lt;Style&gt;Springer&lt;/Style&gt;&lt;LeftDelim&gt;{&lt;/LeftDelim&gt;&lt;RightDelim&gt;}&lt;/RightDelim&gt;&lt;FontName&gt;Calibri&lt;/FontName&gt;&lt;FontSize&gt;12&lt;/FontSize&gt;&lt;ReflistTitle&gt;&amp;#xA;&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t55vefr95ws0pgeffdlvtde0tdta909p2zv9&quot;&gt;Complete2-Saved&lt;record-ids&gt;&lt;item&gt;21&lt;/item&gt;&lt;item&gt;29&lt;/item&gt;&lt;item&gt;34&lt;/item&gt;&lt;item&gt;44&lt;/item&gt;&lt;item&gt;46&lt;/item&gt;&lt;item&gt;49&lt;/item&gt;&lt;item&gt;209&lt;/item&gt;&lt;item&gt;263&lt;/item&gt;&lt;item&gt;321&lt;/item&gt;&lt;item&gt;378&lt;/item&gt;&lt;item&gt;489&lt;/item&gt;&lt;item&gt;560&lt;/item&gt;&lt;item&gt;561&lt;/item&gt;&lt;item&gt;590&lt;/item&gt;&lt;item&gt;627&lt;/item&gt;&lt;item&gt;671&lt;/item&gt;&lt;item&gt;786&lt;/item&gt;&lt;item&gt;832&lt;/item&gt;&lt;item&gt;951&lt;/item&gt;&lt;item&gt;996&lt;/item&gt;&lt;item&gt;1614&lt;/item&gt;&lt;item&gt;1615&lt;/item&gt;&lt;/record-ids&gt;&lt;/item&gt;&lt;/Libraries&gt;"/>
  </w:docVars>
  <w:rsids>
    <w:rsidRoot w:val="0017018E"/>
    <w:rsid w:val="00000EEA"/>
    <w:rsid w:val="00001199"/>
    <w:rsid w:val="00001864"/>
    <w:rsid w:val="00002AA7"/>
    <w:rsid w:val="000031E1"/>
    <w:rsid w:val="00011FC6"/>
    <w:rsid w:val="000126EB"/>
    <w:rsid w:val="00015D21"/>
    <w:rsid w:val="00015E82"/>
    <w:rsid w:val="0001775B"/>
    <w:rsid w:val="00022CFC"/>
    <w:rsid w:val="00024F6E"/>
    <w:rsid w:val="00025FD5"/>
    <w:rsid w:val="0002686D"/>
    <w:rsid w:val="000312EA"/>
    <w:rsid w:val="000316D4"/>
    <w:rsid w:val="0003217B"/>
    <w:rsid w:val="00032C10"/>
    <w:rsid w:val="000331D4"/>
    <w:rsid w:val="00042A1A"/>
    <w:rsid w:val="00043876"/>
    <w:rsid w:val="000443E1"/>
    <w:rsid w:val="00046533"/>
    <w:rsid w:val="0005048B"/>
    <w:rsid w:val="00051219"/>
    <w:rsid w:val="00051456"/>
    <w:rsid w:val="0005226F"/>
    <w:rsid w:val="0005371F"/>
    <w:rsid w:val="00053E83"/>
    <w:rsid w:val="00056FD0"/>
    <w:rsid w:val="00061069"/>
    <w:rsid w:val="00064612"/>
    <w:rsid w:val="000667A4"/>
    <w:rsid w:val="00067077"/>
    <w:rsid w:val="00071E61"/>
    <w:rsid w:val="00074DFE"/>
    <w:rsid w:val="00075774"/>
    <w:rsid w:val="00075B0B"/>
    <w:rsid w:val="000815C2"/>
    <w:rsid w:val="00083CBE"/>
    <w:rsid w:val="00083FBD"/>
    <w:rsid w:val="00084688"/>
    <w:rsid w:val="00085636"/>
    <w:rsid w:val="00085DC0"/>
    <w:rsid w:val="00087ADA"/>
    <w:rsid w:val="000937D9"/>
    <w:rsid w:val="000979AD"/>
    <w:rsid w:val="000A6F40"/>
    <w:rsid w:val="000A79EF"/>
    <w:rsid w:val="000B0A3D"/>
    <w:rsid w:val="000B1470"/>
    <w:rsid w:val="000B3486"/>
    <w:rsid w:val="000C02C0"/>
    <w:rsid w:val="000C05F1"/>
    <w:rsid w:val="000C0940"/>
    <w:rsid w:val="000C0E41"/>
    <w:rsid w:val="000C4051"/>
    <w:rsid w:val="000C5523"/>
    <w:rsid w:val="000C61C0"/>
    <w:rsid w:val="000C7D15"/>
    <w:rsid w:val="000D0298"/>
    <w:rsid w:val="000D19DE"/>
    <w:rsid w:val="000D436B"/>
    <w:rsid w:val="000D6078"/>
    <w:rsid w:val="000D6D2F"/>
    <w:rsid w:val="000E1CF3"/>
    <w:rsid w:val="000E2422"/>
    <w:rsid w:val="000E2752"/>
    <w:rsid w:val="000E52A5"/>
    <w:rsid w:val="000E599F"/>
    <w:rsid w:val="000E6FED"/>
    <w:rsid w:val="000F1EC3"/>
    <w:rsid w:val="000F1FE4"/>
    <w:rsid w:val="00101A2A"/>
    <w:rsid w:val="00104FBD"/>
    <w:rsid w:val="00105237"/>
    <w:rsid w:val="001067F0"/>
    <w:rsid w:val="001068F9"/>
    <w:rsid w:val="001100D4"/>
    <w:rsid w:val="001112E5"/>
    <w:rsid w:val="0011346D"/>
    <w:rsid w:val="0011470B"/>
    <w:rsid w:val="00114909"/>
    <w:rsid w:val="00114B30"/>
    <w:rsid w:val="00116C3E"/>
    <w:rsid w:val="00117E59"/>
    <w:rsid w:val="0012201E"/>
    <w:rsid w:val="00123BCC"/>
    <w:rsid w:val="00123FD7"/>
    <w:rsid w:val="001249CC"/>
    <w:rsid w:val="0013089B"/>
    <w:rsid w:val="00132F76"/>
    <w:rsid w:val="0013384F"/>
    <w:rsid w:val="00134FC3"/>
    <w:rsid w:val="0013547B"/>
    <w:rsid w:val="001362D8"/>
    <w:rsid w:val="00136B7F"/>
    <w:rsid w:val="00141D5A"/>
    <w:rsid w:val="001450FE"/>
    <w:rsid w:val="00145E16"/>
    <w:rsid w:val="001473CC"/>
    <w:rsid w:val="00154168"/>
    <w:rsid w:val="0015605C"/>
    <w:rsid w:val="00157AAE"/>
    <w:rsid w:val="00161BB6"/>
    <w:rsid w:val="00165FBD"/>
    <w:rsid w:val="0017018E"/>
    <w:rsid w:val="001708B3"/>
    <w:rsid w:val="00173C4D"/>
    <w:rsid w:val="00174A49"/>
    <w:rsid w:val="00175388"/>
    <w:rsid w:val="00177270"/>
    <w:rsid w:val="001772D6"/>
    <w:rsid w:val="0017758B"/>
    <w:rsid w:val="00177E20"/>
    <w:rsid w:val="00183E29"/>
    <w:rsid w:val="00190E0B"/>
    <w:rsid w:val="00192E59"/>
    <w:rsid w:val="00193162"/>
    <w:rsid w:val="00194542"/>
    <w:rsid w:val="00195301"/>
    <w:rsid w:val="00196146"/>
    <w:rsid w:val="001968B9"/>
    <w:rsid w:val="001A1020"/>
    <w:rsid w:val="001A2621"/>
    <w:rsid w:val="001B00A0"/>
    <w:rsid w:val="001B23ED"/>
    <w:rsid w:val="001B3113"/>
    <w:rsid w:val="001B34DE"/>
    <w:rsid w:val="001B6CB5"/>
    <w:rsid w:val="001B7527"/>
    <w:rsid w:val="001B79DA"/>
    <w:rsid w:val="001B7BF3"/>
    <w:rsid w:val="001C07F5"/>
    <w:rsid w:val="001C2679"/>
    <w:rsid w:val="001C2CC5"/>
    <w:rsid w:val="001C3137"/>
    <w:rsid w:val="001C540A"/>
    <w:rsid w:val="001C5CA5"/>
    <w:rsid w:val="001C6336"/>
    <w:rsid w:val="001C663B"/>
    <w:rsid w:val="001D1412"/>
    <w:rsid w:val="001D36DC"/>
    <w:rsid w:val="001D3BF0"/>
    <w:rsid w:val="001D4D59"/>
    <w:rsid w:val="001D713C"/>
    <w:rsid w:val="001E07D6"/>
    <w:rsid w:val="001E2D97"/>
    <w:rsid w:val="001E30E8"/>
    <w:rsid w:val="001E4C59"/>
    <w:rsid w:val="001E531C"/>
    <w:rsid w:val="002001D9"/>
    <w:rsid w:val="00200202"/>
    <w:rsid w:val="0020034E"/>
    <w:rsid w:val="00201C06"/>
    <w:rsid w:val="0020338F"/>
    <w:rsid w:val="00207117"/>
    <w:rsid w:val="0020743A"/>
    <w:rsid w:val="002101A4"/>
    <w:rsid w:val="002109F9"/>
    <w:rsid w:val="0021207A"/>
    <w:rsid w:val="002137D2"/>
    <w:rsid w:val="00214440"/>
    <w:rsid w:val="00215132"/>
    <w:rsid w:val="002154A2"/>
    <w:rsid w:val="002156C8"/>
    <w:rsid w:val="00221A8F"/>
    <w:rsid w:val="00221D5A"/>
    <w:rsid w:val="0022431B"/>
    <w:rsid w:val="002254A0"/>
    <w:rsid w:val="002256CA"/>
    <w:rsid w:val="002274F9"/>
    <w:rsid w:val="00232736"/>
    <w:rsid w:val="00232B56"/>
    <w:rsid w:val="002408F2"/>
    <w:rsid w:val="002418DA"/>
    <w:rsid w:val="00241BAC"/>
    <w:rsid w:val="002421F2"/>
    <w:rsid w:val="00242609"/>
    <w:rsid w:val="0024379C"/>
    <w:rsid w:val="00251361"/>
    <w:rsid w:val="0025177C"/>
    <w:rsid w:val="00251DDE"/>
    <w:rsid w:val="00252CBB"/>
    <w:rsid w:val="002579B2"/>
    <w:rsid w:val="00260CC9"/>
    <w:rsid w:val="00263A58"/>
    <w:rsid w:val="00267364"/>
    <w:rsid w:val="0026739B"/>
    <w:rsid w:val="00273A31"/>
    <w:rsid w:val="00274483"/>
    <w:rsid w:val="00274DF1"/>
    <w:rsid w:val="00274FEA"/>
    <w:rsid w:val="00276E3E"/>
    <w:rsid w:val="00277240"/>
    <w:rsid w:val="00277610"/>
    <w:rsid w:val="00277A23"/>
    <w:rsid w:val="00280E4B"/>
    <w:rsid w:val="00284BD7"/>
    <w:rsid w:val="002852DB"/>
    <w:rsid w:val="00285F27"/>
    <w:rsid w:val="00287B9B"/>
    <w:rsid w:val="00287FBB"/>
    <w:rsid w:val="0029026E"/>
    <w:rsid w:val="0029371B"/>
    <w:rsid w:val="00293EB0"/>
    <w:rsid w:val="00295D01"/>
    <w:rsid w:val="002A1014"/>
    <w:rsid w:val="002A2FE5"/>
    <w:rsid w:val="002A47DB"/>
    <w:rsid w:val="002A5A18"/>
    <w:rsid w:val="002A5D8F"/>
    <w:rsid w:val="002A5FFC"/>
    <w:rsid w:val="002A658F"/>
    <w:rsid w:val="002B3E6E"/>
    <w:rsid w:val="002B3F7A"/>
    <w:rsid w:val="002B4524"/>
    <w:rsid w:val="002C54A6"/>
    <w:rsid w:val="002D19CD"/>
    <w:rsid w:val="002D688F"/>
    <w:rsid w:val="002D70F5"/>
    <w:rsid w:val="002E00BA"/>
    <w:rsid w:val="002E0C1E"/>
    <w:rsid w:val="002E11E5"/>
    <w:rsid w:val="002E1A2B"/>
    <w:rsid w:val="002E3B33"/>
    <w:rsid w:val="002E3BB0"/>
    <w:rsid w:val="002E6619"/>
    <w:rsid w:val="002E6A6C"/>
    <w:rsid w:val="002E7AB1"/>
    <w:rsid w:val="002E7DC9"/>
    <w:rsid w:val="002F0071"/>
    <w:rsid w:val="002F06CC"/>
    <w:rsid w:val="002F47F3"/>
    <w:rsid w:val="002F5550"/>
    <w:rsid w:val="002F6563"/>
    <w:rsid w:val="002F6753"/>
    <w:rsid w:val="002F7A19"/>
    <w:rsid w:val="00301C5C"/>
    <w:rsid w:val="003036A2"/>
    <w:rsid w:val="003053C7"/>
    <w:rsid w:val="003059EB"/>
    <w:rsid w:val="00306A4B"/>
    <w:rsid w:val="00307B3C"/>
    <w:rsid w:val="00310421"/>
    <w:rsid w:val="00312997"/>
    <w:rsid w:val="003139EB"/>
    <w:rsid w:val="00313CAE"/>
    <w:rsid w:val="0031605A"/>
    <w:rsid w:val="00317DB9"/>
    <w:rsid w:val="00322BA1"/>
    <w:rsid w:val="00326A24"/>
    <w:rsid w:val="0032796C"/>
    <w:rsid w:val="00327D13"/>
    <w:rsid w:val="00331731"/>
    <w:rsid w:val="00333EED"/>
    <w:rsid w:val="0033551F"/>
    <w:rsid w:val="00340806"/>
    <w:rsid w:val="00341FFE"/>
    <w:rsid w:val="003425BE"/>
    <w:rsid w:val="00344D63"/>
    <w:rsid w:val="003450A8"/>
    <w:rsid w:val="003461B2"/>
    <w:rsid w:val="00353138"/>
    <w:rsid w:val="00355B43"/>
    <w:rsid w:val="00357251"/>
    <w:rsid w:val="003579A8"/>
    <w:rsid w:val="00357F24"/>
    <w:rsid w:val="00361EE2"/>
    <w:rsid w:val="003626F0"/>
    <w:rsid w:val="0036319D"/>
    <w:rsid w:val="003638EF"/>
    <w:rsid w:val="0037243F"/>
    <w:rsid w:val="003735CE"/>
    <w:rsid w:val="003737CB"/>
    <w:rsid w:val="00383463"/>
    <w:rsid w:val="00383ADF"/>
    <w:rsid w:val="0038407D"/>
    <w:rsid w:val="00387974"/>
    <w:rsid w:val="00387B5E"/>
    <w:rsid w:val="00390015"/>
    <w:rsid w:val="0039270B"/>
    <w:rsid w:val="00395EF5"/>
    <w:rsid w:val="0039729E"/>
    <w:rsid w:val="003A2FF2"/>
    <w:rsid w:val="003A3052"/>
    <w:rsid w:val="003A3919"/>
    <w:rsid w:val="003A476E"/>
    <w:rsid w:val="003A47CD"/>
    <w:rsid w:val="003A4AF4"/>
    <w:rsid w:val="003A647C"/>
    <w:rsid w:val="003A710E"/>
    <w:rsid w:val="003B1238"/>
    <w:rsid w:val="003B4380"/>
    <w:rsid w:val="003B4F4B"/>
    <w:rsid w:val="003B58A6"/>
    <w:rsid w:val="003C105F"/>
    <w:rsid w:val="003C40B6"/>
    <w:rsid w:val="003D26A3"/>
    <w:rsid w:val="003D5BF3"/>
    <w:rsid w:val="003D62C9"/>
    <w:rsid w:val="003D641F"/>
    <w:rsid w:val="003D6565"/>
    <w:rsid w:val="003D778D"/>
    <w:rsid w:val="003E27E2"/>
    <w:rsid w:val="003E3972"/>
    <w:rsid w:val="003F061A"/>
    <w:rsid w:val="003F1806"/>
    <w:rsid w:val="003F1FBD"/>
    <w:rsid w:val="003F2CDB"/>
    <w:rsid w:val="003F4163"/>
    <w:rsid w:val="003F5D80"/>
    <w:rsid w:val="003F6CC0"/>
    <w:rsid w:val="003F6EAD"/>
    <w:rsid w:val="004000D5"/>
    <w:rsid w:val="0040108B"/>
    <w:rsid w:val="00401C9F"/>
    <w:rsid w:val="0040641E"/>
    <w:rsid w:val="004070AA"/>
    <w:rsid w:val="00410CB7"/>
    <w:rsid w:val="00411649"/>
    <w:rsid w:val="00411C37"/>
    <w:rsid w:val="00411FA7"/>
    <w:rsid w:val="00412553"/>
    <w:rsid w:val="004134DD"/>
    <w:rsid w:val="0041517D"/>
    <w:rsid w:val="00416DF7"/>
    <w:rsid w:val="00420CC0"/>
    <w:rsid w:val="00424719"/>
    <w:rsid w:val="00425B20"/>
    <w:rsid w:val="00426E97"/>
    <w:rsid w:val="00433376"/>
    <w:rsid w:val="004362E3"/>
    <w:rsid w:val="00440CFE"/>
    <w:rsid w:val="00440F97"/>
    <w:rsid w:val="00441D99"/>
    <w:rsid w:val="00444967"/>
    <w:rsid w:val="00444D4A"/>
    <w:rsid w:val="004459B1"/>
    <w:rsid w:val="00447CD6"/>
    <w:rsid w:val="00450B7D"/>
    <w:rsid w:val="00450C41"/>
    <w:rsid w:val="004519DA"/>
    <w:rsid w:val="00455807"/>
    <w:rsid w:val="00457440"/>
    <w:rsid w:val="004574DC"/>
    <w:rsid w:val="00460688"/>
    <w:rsid w:val="0046209B"/>
    <w:rsid w:val="00462182"/>
    <w:rsid w:val="00462708"/>
    <w:rsid w:val="00463ED6"/>
    <w:rsid w:val="00464964"/>
    <w:rsid w:val="00466556"/>
    <w:rsid w:val="004666B7"/>
    <w:rsid w:val="00467438"/>
    <w:rsid w:val="004711E8"/>
    <w:rsid w:val="004712A8"/>
    <w:rsid w:val="00471DED"/>
    <w:rsid w:val="004720C4"/>
    <w:rsid w:val="00475BB5"/>
    <w:rsid w:val="00475D23"/>
    <w:rsid w:val="00475EB7"/>
    <w:rsid w:val="004766E5"/>
    <w:rsid w:val="00477283"/>
    <w:rsid w:val="004826CF"/>
    <w:rsid w:val="0048332C"/>
    <w:rsid w:val="00483F64"/>
    <w:rsid w:val="00486B94"/>
    <w:rsid w:val="0048768F"/>
    <w:rsid w:val="00487D3D"/>
    <w:rsid w:val="00491B05"/>
    <w:rsid w:val="00492547"/>
    <w:rsid w:val="00494587"/>
    <w:rsid w:val="00494641"/>
    <w:rsid w:val="00494743"/>
    <w:rsid w:val="004A067D"/>
    <w:rsid w:val="004A26FB"/>
    <w:rsid w:val="004A2F79"/>
    <w:rsid w:val="004A4028"/>
    <w:rsid w:val="004A4950"/>
    <w:rsid w:val="004A575F"/>
    <w:rsid w:val="004A7FA7"/>
    <w:rsid w:val="004B1330"/>
    <w:rsid w:val="004B2661"/>
    <w:rsid w:val="004B2DAA"/>
    <w:rsid w:val="004B5AC9"/>
    <w:rsid w:val="004B7C2B"/>
    <w:rsid w:val="004C08B6"/>
    <w:rsid w:val="004C0D00"/>
    <w:rsid w:val="004C14AB"/>
    <w:rsid w:val="004C3462"/>
    <w:rsid w:val="004C5772"/>
    <w:rsid w:val="004D0A90"/>
    <w:rsid w:val="004D0C39"/>
    <w:rsid w:val="004D139E"/>
    <w:rsid w:val="004D1CE2"/>
    <w:rsid w:val="004D3DB4"/>
    <w:rsid w:val="004D44AC"/>
    <w:rsid w:val="004D5ED7"/>
    <w:rsid w:val="004D7860"/>
    <w:rsid w:val="004E1262"/>
    <w:rsid w:val="004E3049"/>
    <w:rsid w:val="004E411B"/>
    <w:rsid w:val="004E5109"/>
    <w:rsid w:val="004E5C69"/>
    <w:rsid w:val="004E60D0"/>
    <w:rsid w:val="004F12A6"/>
    <w:rsid w:val="004F1565"/>
    <w:rsid w:val="004F1878"/>
    <w:rsid w:val="004F2304"/>
    <w:rsid w:val="004F26F8"/>
    <w:rsid w:val="004F287F"/>
    <w:rsid w:val="004F4CC9"/>
    <w:rsid w:val="004F75D8"/>
    <w:rsid w:val="005025FE"/>
    <w:rsid w:val="00504585"/>
    <w:rsid w:val="00506DDE"/>
    <w:rsid w:val="005136AD"/>
    <w:rsid w:val="005138BA"/>
    <w:rsid w:val="00513923"/>
    <w:rsid w:val="00516657"/>
    <w:rsid w:val="00516904"/>
    <w:rsid w:val="00520CB5"/>
    <w:rsid w:val="005210CC"/>
    <w:rsid w:val="005211AF"/>
    <w:rsid w:val="005213E2"/>
    <w:rsid w:val="005276C2"/>
    <w:rsid w:val="0053308C"/>
    <w:rsid w:val="005406F8"/>
    <w:rsid w:val="0054169B"/>
    <w:rsid w:val="005417D2"/>
    <w:rsid w:val="005422E4"/>
    <w:rsid w:val="00542456"/>
    <w:rsid w:val="00543721"/>
    <w:rsid w:val="00544161"/>
    <w:rsid w:val="0054436C"/>
    <w:rsid w:val="00545CF8"/>
    <w:rsid w:val="00550E4D"/>
    <w:rsid w:val="00550F69"/>
    <w:rsid w:val="00551330"/>
    <w:rsid w:val="005523C6"/>
    <w:rsid w:val="005535C1"/>
    <w:rsid w:val="005616AE"/>
    <w:rsid w:val="00571AAC"/>
    <w:rsid w:val="00571ADF"/>
    <w:rsid w:val="00571CEA"/>
    <w:rsid w:val="00571F91"/>
    <w:rsid w:val="0057516A"/>
    <w:rsid w:val="005758A8"/>
    <w:rsid w:val="00575E75"/>
    <w:rsid w:val="00581C8A"/>
    <w:rsid w:val="00584640"/>
    <w:rsid w:val="005853F7"/>
    <w:rsid w:val="005871BD"/>
    <w:rsid w:val="005900A1"/>
    <w:rsid w:val="00590B01"/>
    <w:rsid w:val="00595936"/>
    <w:rsid w:val="005A0224"/>
    <w:rsid w:val="005A0BA6"/>
    <w:rsid w:val="005A103C"/>
    <w:rsid w:val="005A1201"/>
    <w:rsid w:val="005A15E8"/>
    <w:rsid w:val="005A35B2"/>
    <w:rsid w:val="005A3671"/>
    <w:rsid w:val="005A3F38"/>
    <w:rsid w:val="005A68C6"/>
    <w:rsid w:val="005A6C20"/>
    <w:rsid w:val="005A6F02"/>
    <w:rsid w:val="005A7902"/>
    <w:rsid w:val="005B0BCB"/>
    <w:rsid w:val="005B170A"/>
    <w:rsid w:val="005B2B2E"/>
    <w:rsid w:val="005B4C09"/>
    <w:rsid w:val="005B5A3B"/>
    <w:rsid w:val="005B753C"/>
    <w:rsid w:val="005B77B6"/>
    <w:rsid w:val="005C1B4B"/>
    <w:rsid w:val="005C2541"/>
    <w:rsid w:val="005C71E9"/>
    <w:rsid w:val="005D5D01"/>
    <w:rsid w:val="005D7700"/>
    <w:rsid w:val="005E5EEE"/>
    <w:rsid w:val="005E7012"/>
    <w:rsid w:val="005F0DA6"/>
    <w:rsid w:val="005F10ED"/>
    <w:rsid w:val="005F3111"/>
    <w:rsid w:val="005F32AD"/>
    <w:rsid w:val="005F41CD"/>
    <w:rsid w:val="005F573F"/>
    <w:rsid w:val="005F7C32"/>
    <w:rsid w:val="00601BED"/>
    <w:rsid w:val="00605F66"/>
    <w:rsid w:val="006065A9"/>
    <w:rsid w:val="006075B1"/>
    <w:rsid w:val="00607651"/>
    <w:rsid w:val="006101EB"/>
    <w:rsid w:val="006103AF"/>
    <w:rsid w:val="00610C1D"/>
    <w:rsid w:val="006131D3"/>
    <w:rsid w:val="006132C8"/>
    <w:rsid w:val="006137A9"/>
    <w:rsid w:val="00620AB1"/>
    <w:rsid w:val="00620C5C"/>
    <w:rsid w:val="00622516"/>
    <w:rsid w:val="00625BAE"/>
    <w:rsid w:val="00627195"/>
    <w:rsid w:val="00630E7C"/>
    <w:rsid w:val="00631BB9"/>
    <w:rsid w:val="0063561B"/>
    <w:rsid w:val="0064042D"/>
    <w:rsid w:val="00641AEC"/>
    <w:rsid w:val="0064524B"/>
    <w:rsid w:val="006469A4"/>
    <w:rsid w:val="00650A8F"/>
    <w:rsid w:val="00651877"/>
    <w:rsid w:val="00655388"/>
    <w:rsid w:val="00655D42"/>
    <w:rsid w:val="00656199"/>
    <w:rsid w:val="00660771"/>
    <w:rsid w:val="00664D3A"/>
    <w:rsid w:val="006668F7"/>
    <w:rsid w:val="00666B96"/>
    <w:rsid w:val="00675060"/>
    <w:rsid w:val="006759C2"/>
    <w:rsid w:val="0067631B"/>
    <w:rsid w:val="00676831"/>
    <w:rsid w:val="00677A9F"/>
    <w:rsid w:val="00681CA4"/>
    <w:rsid w:val="00682027"/>
    <w:rsid w:val="006839AA"/>
    <w:rsid w:val="00684CEF"/>
    <w:rsid w:val="00685B63"/>
    <w:rsid w:val="00687B01"/>
    <w:rsid w:val="00690252"/>
    <w:rsid w:val="0069045A"/>
    <w:rsid w:val="006906D2"/>
    <w:rsid w:val="00690D23"/>
    <w:rsid w:val="00694E1A"/>
    <w:rsid w:val="00695A1E"/>
    <w:rsid w:val="00696773"/>
    <w:rsid w:val="006A25BB"/>
    <w:rsid w:val="006A4E81"/>
    <w:rsid w:val="006A5D0B"/>
    <w:rsid w:val="006B10B6"/>
    <w:rsid w:val="006B1377"/>
    <w:rsid w:val="006B16A8"/>
    <w:rsid w:val="006B1DD2"/>
    <w:rsid w:val="006B2726"/>
    <w:rsid w:val="006B57B2"/>
    <w:rsid w:val="006C0EDC"/>
    <w:rsid w:val="006C109B"/>
    <w:rsid w:val="006C180F"/>
    <w:rsid w:val="006C2F7A"/>
    <w:rsid w:val="006C4214"/>
    <w:rsid w:val="006C63D3"/>
    <w:rsid w:val="006C6FFD"/>
    <w:rsid w:val="006C7BA6"/>
    <w:rsid w:val="006D07FA"/>
    <w:rsid w:val="006D1B2D"/>
    <w:rsid w:val="006D1E80"/>
    <w:rsid w:val="006D2E0E"/>
    <w:rsid w:val="006D555F"/>
    <w:rsid w:val="006D68BE"/>
    <w:rsid w:val="006D7E28"/>
    <w:rsid w:val="006E111B"/>
    <w:rsid w:val="006E17CD"/>
    <w:rsid w:val="006E23B6"/>
    <w:rsid w:val="006E25AB"/>
    <w:rsid w:val="006E3262"/>
    <w:rsid w:val="006E3A6D"/>
    <w:rsid w:val="006E4748"/>
    <w:rsid w:val="006E7746"/>
    <w:rsid w:val="006E7F70"/>
    <w:rsid w:val="006F34E3"/>
    <w:rsid w:val="006F4826"/>
    <w:rsid w:val="006F4D0E"/>
    <w:rsid w:val="006F738D"/>
    <w:rsid w:val="006F7682"/>
    <w:rsid w:val="00700738"/>
    <w:rsid w:val="007010D0"/>
    <w:rsid w:val="007016E9"/>
    <w:rsid w:val="00707997"/>
    <w:rsid w:val="0071029B"/>
    <w:rsid w:val="0071052E"/>
    <w:rsid w:val="00711762"/>
    <w:rsid w:val="00716588"/>
    <w:rsid w:val="00716B3F"/>
    <w:rsid w:val="00721552"/>
    <w:rsid w:val="00723DD1"/>
    <w:rsid w:val="007254E6"/>
    <w:rsid w:val="00726E5E"/>
    <w:rsid w:val="00731DAE"/>
    <w:rsid w:val="007327F4"/>
    <w:rsid w:val="007367A7"/>
    <w:rsid w:val="00736C13"/>
    <w:rsid w:val="00736E1E"/>
    <w:rsid w:val="00736F0E"/>
    <w:rsid w:val="0073787E"/>
    <w:rsid w:val="007428E4"/>
    <w:rsid w:val="007445DB"/>
    <w:rsid w:val="0074569B"/>
    <w:rsid w:val="00746FE8"/>
    <w:rsid w:val="007476AA"/>
    <w:rsid w:val="007510E2"/>
    <w:rsid w:val="007513AA"/>
    <w:rsid w:val="00752314"/>
    <w:rsid w:val="00752473"/>
    <w:rsid w:val="00752903"/>
    <w:rsid w:val="00757D44"/>
    <w:rsid w:val="00761BE7"/>
    <w:rsid w:val="00766BBE"/>
    <w:rsid w:val="00767521"/>
    <w:rsid w:val="007720CF"/>
    <w:rsid w:val="007732C9"/>
    <w:rsid w:val="007738F3"/>
    <w:rsid w:val="00773BE8"/>
    <w:rsid w:val="00773C15"/>
    <w:rsid w:val="00774985"/>
    <w:rsid w:val="00774CB6"/>
    <w:rsid w:val="00776A3D"/>
    <w:rsid w:val="0078157C"/>
    <w:rsid w:val="00782488"/>
    <w:rsid w:val="007857FB"/>
    <w:rsid w:val="00785E49"/>
    <w:rsid w:val="007868C5"/>
    <w:rsid w:val="00786A8D"/>
    <w:rsid w:val="00786B17"/>
    <w:rsid w:val="00787338"/>
    <w:rsid w:val="00787C90"/>
    <w:rsid w:val="00790A1F"/>
    <w:rsid w:val="00793B7A"/>
    <w:rsid w:val="00793C15"/>
    <w:rsid w:val="00793DA2"/>
    <w:rsid w:val="00796236"/>
    <w:rsid w:val="007A01EB"/>
    <w:rsid w:val="007A0BBF"/>
    <w:rsid w:val="007A1D08"/>
    <w:rsid w:val="007A3AE7"/>
    <w:rsid w:val="007A5DA5"/>
    <w:rsid w:val="007B0D5A"/>
    <w:rsid w:val="007B13AE"/>
    <w:rsid w:val="007B2475"/>
    <w:rsid w:val="007B249F"/>
    <w:rsid w:val="007B2ECC"/>
    <w:rsid w:val="007C1DF4"/>
    <w:rsid w:val="007C2312"/>
    <w:rsid w:val="007C5394"/>
    <w:rsid w:val="007C6BB9"/>
    <w:rsid w:val="007D1633"/>
    <w:rsid w:val="007D1651"/>
    <w:rsid w:val="007D1B60"/>
    <w:rsid w:val="007D2E6D"/>
    <w:rsid w:val="007D5501"/>
    <w:rsid w:val="007D7F23"/>
    <w:rsid w:val="007E073D"/>
    <w:rsid w:val="007E260F"/>
    <w:rsid w:val="007E35CB"/>
    <w:rsid w:val="007E4B05"/>
    <w:rsid w:val="007F16A8"/>
    <w:rsid w:val="007F6149"/>
    <w:rsid w:val="007F618C"/>
    <w:rsid w:val="007F688D"/>
    <w:rsid w:val="00801E1C"/>
    <w:rsid w:val="00802325"/>
    <w:rsid w:val="00806F44"/>
    <w:rsid w:val="00807954"/>
    <w:rsid w:val="00807B36"/>
    <w:rsid w:val="00812E7D"/>
    <w:rsid w:val="00815DBC"/>
    <w:rsid w:val="00816F1C"/>
    <w:rsid w:val="008175AA"/>
    <w:rsid w:val="00821164"/>
    <w:rsid w:val="008223E7"/>
    <w:rsid w:val="00826D20"/>
    <w:rsid w:val="00830AD0"/>
    <w:rsid w:val="00832205"/>
    <w:rsid w:val="00833678"/>
    <w:rsid w:val="00840460"/>
    <w:rsid w:val="008408C1"/>
    <w:rsid w:val="00840B15"/>
    <w:rsid w:val="008413D6"/>
    <w:rsid w:val="00843A62"/>
    <w:rsid w:val="00845686"/>
    <w:rsid w:val="0084763A"/>
    <w:rsid w:val="00847C7A"/>
    <w:rsid w:val="008503AA"/>
    <w:rsid w:val="008513CA"/>
    <w:rsid w:val="0085234E"/>
    <w:rsid w:val="00854E3D"/>
    <w:rsid w:val="00856E94"/>
    <w:rsid w:val="008575B5"/>
    <w:rsid w:val="00857E65"/>
    <w:rsid w:val="008601C5"/>
    <w:rsid w:val="008631BE"/>
    <w:rsid w:val="00863F9A"/>
    <w:rsid w:val="00864126"/>
    <w:rsid w:val="0086541B"/>
    <w:rsid w:val="00865F66"/>
    <w:rsid w:val="00867518"/>
    <w:rsid w:val="00867B5A"/>
    <w:rsid w:val="008704E4"/>
    <w:rsid w:val="00876062"/>
    <w:rsid w:val="00880650"/>
    <w:rsid w:val="00880DE8"/>
    <w:rsid w:val="00887AD9"/>
    <w:rsid w:val="00890BD7"/>
    <w:rsid w:val="00891A6E"/>
    <w:rsid w:val="008937AA"/>
    <w:rsid w:val="008941B7"/>
    <w:rsid w:val="008951FB"/>
    <w:rsid w:val="008968EB"/>
    <w:rsid w:val="00897689"/>
    <w:rsid w:val="00897FEE"/>
    <w:rsid w:val="008A3A56"/>
    <w:rsid w:val="008A405E"/>
    <w:rsid w:val="008A4DD1"/>
    <w:rsid w:val="008A4E2C"/>
    <w:rsid w:val="008A504C"/>
    <w:rsid w:val="008A51A2"/>
    <w:rsid w:val="008A51C6"/>
    <w:rsid w:val="008A51D2"/>
    <w:rsid w:val="008B2EB2"/>
    <w:rsid w:val="008B7AF1"/>
    <w:rsid w:val="008C3EB9"/>
    <w:rsid w:val="008C78E2"/>
    <w:rsid w:val="008D0832"/>
    <w:rsid w:val="008D5E56"/>
    <w:rsid w:val="008E36EC"/>
    <w:rsid w:val="008E3A6A"/>
    <w:rsid w:val="008E5CE3"/>
    <w:rsid w:val="008F10C0"/>
    <w:rsid w:val="008F1194"/>
    <w:rsid w:val="008F1C69"/>
    <w:rsid w:val="008F273A"/>
    <w:rsid w:val="008F4D85"/>
    <w:rsid w:val="008F5FA6"/>
    <w:rsid w:val="008F64BD"/>
    <w:rsid w:val="008F696F"/>
    <w:rsid w:val="008F7A9C"/>
    <w:rsid w:val="00900503"/>
    <w:rsid w:val="00903A2C"/>
    <w:rsid w:val="00906EB9"/>
    <w:rsid w:val="009103AF"/>
    <w:rsid w:val="0091299A"/>
    <w:rsid w:val="00914764"/>
    <w:rsid w:val="0091539C"/>
    <w:rsid w:val="00917437"/>
    <w:rsid w:val="00917822"/>
    <w:rsid w:val="009238C0"/>
    <w:rsid w:val="00924D99"/>
    <w:rsid w:val="00925BAA"/>
    <w:rsid w:val="00925EE3"/>
    <w:rsid w:val="0092796F"/>
    <w:rsid w:val="009317F7"/>
    <w:rsid w:val="009328FC"/>
    <w:rsid w:val="00933D7D"/>
    <w:rsid w:val="009360C5"/>
    <w:rsid w:val="00943AF1"/>
    <w:rsid w:val="00944443"/>
    <w:rsid w:val="00950842"/>
    <w:rsid w:val="009510E4"/>
    <w:rsid w:val="00957152"/>
    <w:rsid w:val="0096064B"/>
    <w:rsid w:val="00962C63"/>
    <w:rsid w:val="00963568"/>
    <w:rsid w:val="009704B0"/>
    <w:rsid w:val="00972036"/>
    <w:rsid w:val="00980217"/>
    <w:rsid w:val="00980D6C"/>
    <w:rsid w:val="00983F19"/>
    <w:rsid w:val="0098588F"/>
    <w:rsid w:val="00987853"/>
    <w:rsid w:val="009920D4"/>
    <w:rsid w:val="0099369E"/>
    <w:rsid w:val="0099432F"/>
    <w:rsid w:val="009952EB"/>
    <w:rsid w:val="00995D43"/>
    <w:rsid w:val="009964E7"/>
    <w:rsid w:val="009A180F"/>
    <w:rsid w:val="009A20E5"/>
    <w:rsid w:val="009A623A"/>
    <w:rsid w:val="009B2983"/>
    <w:rsid w:val="009B3319"/>
    <w:rsid w:val="009B4B17"/>
    <w:rsid w:val="009B532B"/>
    <w:rsid w:val="009B5F0E"/>
    <w:rsid w:val="009B6B20"/>
    <w:rsid w:val="009B7560"/>
    <w:rsid w:val="009B77E9"/>
    <w:rsid w:val="009C3E19"/>
    <w:rsid w:val="009C40B6"/>
    <w:rsid w:val="009C4684"/>
    <w:rsid w:val="009C532F"/>
    <w:rsid w:val="009C57A9"/>
    <w:rsid w:val="009C5CA3"/>
    <w:rsid w:val="009C5DC9"/>
    <w:rsid w:val="009D3AC2"/>
    <w:rsid w:val="009D3EE1"/>
    <w:rsid w:val="009D7E49"/>
    <w:rsid w:val="009D7ED6"/>
    <w:rsid w:val="009E354F"/>
    <w:rsid w:val="009E3E67"/>
    <w:rsid w:val="009E51CE"/>
    <w:rsid w:val="009E5D82"/>
    <w:rsid w:val="009E734D"/>
    <w:rsid w:val="009F0667"/>
    <w:rsid w:val="009F0EAA"/>
    <w:rsid w:val="009F38A2"/>
    <w:rsid w:val="009F42AB"/>
    <w:rsid w:val="009F5776"/>
    <w:rsid w:val="009F5A9B"/>
    <w:rsid w:val="009F5AE5"/>
    <w:rsid w:val="009F78CB"/>
    <w:rsid w:val="009F79DC"/>
    <w:rsid w:val="00A00A06"/>
    <w:rsid w:val="00A0309C"/>
    <w:rsid w:val="00A0599B"/>
    <w:rsid w:val="00A14107"/>
    <w:rsid w:val="00A20DBC"/>
    <w:rsid w:val="00A22132"/>
    <w:rsid w:val="00A23FE4"/>
    <w:rsid w:val="00A31BF7"/>
    <w:rsid w:val="00A32EDC"/>
    <w:rsid w:val="00A35817"/>
    <w:rsid w:val="00A36C54"/>
    <w:rsid w:val="00A37466"/>
    <w:rsid w:val="00A40CC4"/>
    <w:rsid w:val="00A410CD"/>
    <w:rsid w:val="00A41431"/>
    <w:rsid w:val="00A4301D"/>
    <w:rsid w:val="00A502B4"/>
    <w:rsid w:val="00A51997"/>
    <w:rsid w:val="00A51A9D"/>
    <w:rsid w:val="00A52C01"/>
    <w:rsid w:val="00A55391"/>
    <w:rsid w:val="00A63318"/>
    <w:rsid w:val="00A65678"/>
    <w:rsid w:val="00A65FB9"/>
    <w:rsid w:val="00A67112"/>
    <w:rsid w:val="00A70DD1"/>
    <w:rsid w:val="00A716CA"/>
    <w:rsid w:val="00A7397B"/>
    <w:rsid w:val="00A81299"/>
    <w:rsid w:val="00A82227"/>
    <w:rsid w:val="00A847E1"/>
    <w:rsid w:val="00A85C20"/>
    <w:rsid w:val="00A86058"/>
    <w:rsid w:val="00A86985"/>
    <w:rsid w:val="00A90BD5"/>
    <w:rsid w:val="00A90F41"/>
    <w:rsid w:val="00A943B2"/>
    <w:rsid w:val="00A9602E"/>
    <w:rsid w:val="00A965CC"/>
    <w:rsid w:val="00AA0222"/>
    <w:rsid w:val="00AA4BB9"/>
    <w:rsid w:val="00AA7076"/>
    <w:rsid w:val="00AB07A4"/>
    <w:rsid w:val="00AB181B"/>
    <w:rsid w:val="00AB2E64"/>
    <w:rsid w:val="00AB4D75"/>
    <w:rsid w:val="00AC3B69"/>
    <w:rsid w:val="00AC3E58"/>
    <w:rsid w:val="00AC3F9C"/>
    <w:rsid w:val="00AC6720"/>
    <w:rsid w:val="00AC7ECD"/>
    <w:rsid w:val="00AD0766"/>
    <w:rsid w:val="00AD083F"/>
    <w:rsid w:val="00AD2170"/>
    <w:rsid w:val="00AD275A"/>
    <w:rsid w:val="00AD3D6D"/>
    <w:rsid w:val="00AD6506"/>
    <w:rsid w:val="00AD798E"/>
    <w:rsid w:val="00AD7F00"/>
    <w:rsid w:val="00AE0559"/>
    <w:rsid w:val="00AE0D97"/>
    <w:rsid w:val="00AE22BA"/>
    <w:rsid w:val="00AE2A2A"/>
    <w:rsid w:val="00AE3B5F"/>
    <w:rsid w:val="00AE3CFD"/>
    <w:rsid w:val="00AE55D2"/>
    <w:rsid w:val="00AE7106"/>
    <w:rsid w:val="00AF06CB"/>
    <w:rsid w:val="00AF1B84"/>
    <w:rsid w:val="00AF2C2E"/>
    <w:rsid w:val="00AF37BE"/>
    <w:rsid w:val="00AF4D16"/>
    <w:rsid w:val="00AF5B4A"/>
    <w:rsid w:val="00AF6215"/>
    <w:rsid w:val="00B01CFC"/>
    <w:rsid w:val="00B01DEA"/>
    <w:rsid w:val="00B02310"/>
    <w:rsid w:val="00B03428"/>
    <w:rsid w:val="00B035CC"/>
    <w:rsid w:val="00B04E91"/>
    <w:rsid w:val="00B06606"/>
    <w:rsid w:val="00B068D9"/>
    <w:rsid w:val="00B06A7E"/>
    <w:rsid w:val="00B06E83"/>
    <w:rsid w:val="00B103CA"/>
    <w:rsid w:val="00B11EFB"/>
    <w:rsid w:val="00B11F7B"/>
    <w:rsid w:val="00B14087"/>
    <w:rsid w:val="00B21534"/>
    <w:rsid w:val="00B222AD"/>
    <w:rsid w:val="00B23303"/>
    <w:rsid w:val="00B23CE0"/>
    <w:rsid w:val="00B26878"/>
    <w:rsid w:val="00B268F6"/>
    <w:rsid w:val="00B32910"/>
    <w:rsid w:val="00B34418"/>
    <w:rsid w:val="00B3452A"/>
    <w:rsid w:val="00B34F64"/>
    <w:rsid w:val="00B45E08"/>
    <w:rsid w:val="00B51E8B"/>
    <w:rsid w:val="00B522B8"/>
    <w:rsid w:val="00B53061"/>
    <w:rsid w:val="00B5338E"/>
    <w:rsid w:val="00B5561F"/>
    <w:rsid w:val="00B55F0E"/>
    <w:rsid w:val="00B73790"/>
    <w:rsid w:val="00B73C6E"/>
    <w:rsid w:val="00B74F52"/>
    <w:rsid w:val="00B778C2"/>
    <w:rsid w:val="00B80087"/>
    <w:rsid w:val="00B816CE"/>
    <w:rsid w:val="00B823D8"/>
    <w:rsid w:val="00B827FF"/>
    <w:rsid w:val="00B8445D"/>
    <w:rsid w:val="00B846E1"/>
    <w:rsid w:val="00B9000E"/>
    <w:rsid w:val="00B9010E"/>
    <w:rsid w:val="00B9061C"/>
    <w:rsid w:val="00B90A67"/>
    <w:rsid w:val="00B93351"/>
    <w:rsid w:val="00B93FAF"/>
    <w:rsid w:val="00B96AC7"/>
    <w:rsid w:val="00B96DBD"/>
    <w:rsid w:val="00B9744A"/>
    <w:rsid w:val="00BA0D89"/>
    <w:rsid w:val="00BA3226"/>
    <w:rsid w:val="00BA6C89"/>
    <w:rsid w:val="00BB3D2F"/>
    <w:rsid w:val="00BC2074"/>
    <w:rsid w:val="00BC41E0"/>
    <w:rsid w:val="00BC46FA"/>
    <w:rsid w:val="00BC622C"/>
    <w:rsid w:val="00BD0813"/>
    <w:rsid w:val="00BD241F"/>
    <w:rsid w:val="00BD403D"/>
    <w:rsid w:val="00BD5C05"/>
    <w:rsid w:val="00BD7002"/>
    <w:rsid w:val="00BE3C7B"/>
    <w:rsid w:val="00BF0EB6"/>
    <w:rsid w:val="00BF2E42"/>
    <w:rsid w:val="00BF6512"/>
    <w:rsid w:val="00C0427F"/>
    <w:rsid w:val="00C102B5"/>
    <w:rsid w:val="00C10B42"/>
    <w:rsid w:val="00C116B4"/>
    <w:rsid w:val="00C11883"/>
    <w:rsid w:val="00C14296"/>
    <w:rsid w:val="00C148C1"/>
    <w:rsid w:val="00C23138"/>
    <w:rsid w:val="00C235CA"/>
    <w:rsid w:val="00C259C0"/>
    <w:rsid w:val="00C25CB9"/>
    <w:rsid w:val="00C27641"/>
    <w:rsid w:val="00C32E7A"/>
    <w:rsid w:val="00C422BC"/>
    <w:rsid w:val="00C42B47"/>
    <w:rsid w:val="00C44BBE"/>
    <w:rsid w:val="00C45F6C"/>
    <w:rsid w:val="00C469A4"/>
    <w:rsid w:val="00C507C3"/>
    <w:rsid w:val="00C52188"/>
    <w:rsid w:val="00C5358D"/>
    <w:rsid w:val="00C56AB8"/>
    <w:rsid w:val="00C56D03"/>
    <w:rsid w:val="00C607F8"/>
    <w:rsid w:val="00C61603"/>
    <w:rsid w:val="00C62BBB"/>
    <w:rsid w:val="00C6302E"/>
    <w:rsid w:val="00C63B3B"/>
    <w:rsid w:val="00C64AD3"/>
    <w:rsid w:val="00C64B53"/>
    <w:rsid w:val="00C66A8B"/>
    <w:rsid w:val="00C704DD"/>
    <w:rsid w:val="00C728D0"/>
    <w:rsid w:val="00C731E8"/>
    <w:rsid w:val="00C770B0"/>
    <w:rsid w:val="00C80108"/>
    <w:rsid w:val="00C832E2"/>
    <w:rsid w:val="00C83B2F"/>
    <w:rsid w:val="00C83DF8"/>
    <w:rsid w:val="00C84E06"/>
    <w:rsid w:val="00C858FA"/>
    <w:rsid w:val="00C85EF0"/>
    <w:rsid w:val="00C8699C"/>
    <w:rsid w:val="00C86A37"/>
    <w:rsid w:val="00C945DD"/>
    <w:rsid w:val="00CA0DC9"/>
    <w:rsid w:val="00CA0FAD"/>
    <w:rsid w:val="00CA23C6"/>
    <w:rsid w:val="00CA391F"/>
    <w:rsid w:val="00CA3FCC"/>
    <w:rsid w:val="00CA43A1"/>
    <w:rsid w:val="00CA4E97"/>
    <w:rsid w:val="00CA5249"/>
    <w:rsid w:val="00CB2DEC"/>
    <w:rsid w:val="00CB59D1"/>
    <w:rsid w:val="00CC0F54"/>
    <w:rsid w:val="00CC2859"/>
    <w:rsid w:val="00CC3D0D"/>
    <w:rsid w:val="00CC6FA2"/>
    <w:rsid w:val="00CD23DC"/>
    <w:rsid w:val="00CD27C9"/>
    <w:rsid w:val="00CD3296"/>
    <w:rsid w:val="00CD33C4"/>
    <w:rsid w:val="00CD4424"/>
    <w:rsid w:val="00CD5730"/>
    <w:rsid w:val="00CD5B9E"/>
    <w:rsid w:val="00CE17A5"/>
    <w:rsid w:val="00CE44C5"/>
    <w:rsid w:val="00CE5716"/>
    <w:rsid w:val="00CE6D6D"/>
    <w:rsid w:val="00CF1C3C"/>
    <w:rsid w:val="00CF1F0A"/>
    <w:rsid w:val="00CF4CF9"/>
    <w:rsid w:val="00CF561E"/>
    <w:rsid w:val="00CF6520"/>
    <w:rsid w:val="00CF65CD"/>
    <w:rsid w:val="00CF7499"/>
    <w:rsid w:val="00CF7B71"/>
    <w:rsid w:val="00D0366F"/>
    <w:rsid w:val="00D044DD"/>
    <w:rsid w:val="00D04510"/>
    <w:rsid w:val="00D051DE"/>
    <w:rsid w:val="00D1044D"/>
    <w:rsid w:val="00D105D7"/>
    <w:rsid w:val="00D11503"/>
    <w:rsid w:val="00D12D0A"/>
    <w:rsid w:val="00D132F6"/>
    <w:rsid w:val="00D14796"/>
    <w:rsid w:val="00D15A5D"/>
    <w:rsid w:val="00D1613E"/>
    <w:rsid w:val="00D16D7D"/>
    <w:rsid w:val="00D17ACB"/>
    <w:rsid w:val="00D17E87"/>
    <w:rsid w:val="00D20077"/>
    <w:rsid w:val="00D23445"/>
    <w:rsid w:val="00D251BD"/>
    <w:rsid w:val="00D262A1"/>
    <w:rsid w:val="00D26EB7"/>
    <w:rsid w:val="00D308D9"/>
    <w:rsid w:val="00D30DD9"/>
    <w:rsid w:val="00D349D1"/>
    <w:rsid w:val="00D4229E"/>
    <w:rsid w:val="00D4472A"/>
    <w:rsid w:val="00D5513A"/>
    <w:rsid w:val="00D572EB"/>
    <w:rsid w:val="00D61F41"/>
    <w:rsid w:val="00D62C77"/>
    <w:rsid w:val="00D62DA7"/>
    <w:rsid w:val="00D64017"/>
    <w:rsid w:val="00D661D5"/>
    <w:rsid w:val="00D66E56"/>
    <w:rsid w:val="00D679DE"/>
    <w:rsid w:val="00D7081E"/>
    <w:rsid w:val="00D726E8"/>
    <w:rsid w:val="00D743B6"/>
    <w:rsid w:val="00D74957"/>
    <w:rsid w:val="00D77F94"/>
    <w:rsid w:val="00D80059"/>
    <w:rsid w:val="00D81B3B"/>
    <w:rsid w:val="00D84113"/>
    <w:rsid w:val="00D86132"/>
    <w:rsid w:val="00D9266C"/>
    <w:rsid w:val="00D92DC5"/>
    <w:rsid w:val="00D92E2E"/>
    <w:rsid w:val="00D94F12"/>
    <w:rsid w:val="00D96E9D"/>
    <w:rsid w:val="00DA1A87"/>
    <w:rsid w:val="00DA28AF"/>
    <w:rsid w:val="00DA54FF"/>
    <w:rsid w:val="00DB024D"/>
    <w:rsid w:val="00DB0844"/>
    <w:rsid w:val="00DB2075"/>
    <w:rsid w:val="00DB525D"/>
    <w:rsid w:val="00DB55B9"/>
    <w:rsid w:val="00DB5EB8"/>
    <w:rsid w:val="00DB6EE5"/>
    <w:rsid w:val="00DB6FDA"/>
    <w:rsid w:val="00DC0E59"/>
    <w:rsid w:val="00DC2413"/>
    <w:rsid w:val="00DC3CE7"/>
    <w:rsid w:val="00DC5857"/>
    <w:rsid w:val="00DC739A"/>
    <w:rsid w:val="00DC7D54"/>
    <w:rsid w:val="00DD29DC"/>
    <w:rsid w:val="00DD4E93"/>
    <w:rsid w:val="00DD4F5E"/>
    <w:rsid w:val="00DD5790"/>
    <w:rsid w:val="00DD5BBB"/>
    <w:rsid w:val="00DE09D9"/>
    <w:rsid w:val="00DE1C54"/>
    <w:rsid w:val="00DE1EE3"/>
    <w:rsid w:val="00DE1FE6"/>
    <w:rsid w:val="00DE30A8"/>
    <w:rsid w:val="00DE63F9"/>
    <w:rsid w:val="00DE705D"/>
    <w:rsid w:val="00DF1A83"/>
    <w:rsid w:val="00DF238C"/>
    <w:rsid w:val="00DF4393"/>
    <w:rsid w:val="00DF498B"/>
    <w:rsid w:val="00E00B97"/>
    <w:rsid w:val="00E021E3"/>
    <w:rsid w:val="00E04447"/>
    <w:rsid w:val="00E054E3"/>
    <w:rsid w:val="00E05DC1"/>
    <w:rsid w:val="00E06970"/>
    <w:rsid w:val="00E079CA"/>
    <w:rsid w:val="00E1167F"/>
    <w:rsid w:val="00E15CA5"/>
    <w:rsid w:val="00E16B5A"/>
    <w:rsid w:val="00E16C5D"/>
    <w:rsid w:val="00E20A2C"/>
    <w:rsid w:val="00E22258"/>
    <w:rsid w:val="00E2427D"/>
    <w:rsid w:val="00E251B6"/>
    <w:rsid w:val="00E313DA"/>
    <w:rsid w:val="00E32A95"/>
    <w:rsid w:val="00E34923"/>
    <w:rsid w:val="00E34CA5"/>
    <w:rsid w:val="00E35E89"/>
    <w:rsid w:val="00E36862"/>
    <w:rsid w:val="00E404F9"/>
    <w:rsid w:val="00E414CC"/>
    <w:rsid w:val="00E4491D"/>
    <w:rsid w:val="00E467E7"/>
    <w:rsid w:val="00E50F60"/>
    <w:rsid w:val="00E539E7"/>
    <w:rsid w:val="00E6290E"/>
    <w:rsid w:val="00E66BA4"/>
    <w:rsid w:val="00E66F0F"/>
    <w:rsid w:val="00E7095D"/>
    <w:rsid w:val="00E71F2C"/>
    <w:rsid w:val="00E72FFF"/>
    <w:rsid w:val="00E75DE1"/>
    <w:rsid w:val="00E80CC5"/>
    <w:rsid w:val="00E81CC9"/>
    <w:rsid w:val="00E825CA"/>
    <w:rsid w:val="00E8285B"/>
    <w:rsid w:val="00E840BA"/>
    <w:rsid w:val="00E84118"/>
    <w:rsid w:val="00E84B8C"/>
    <w:rsid w:val="00E857E0"/>
    <w:rsid w:val="00E86979"/>
    <w:rsid w:val="00E909DE"/>
    <w:rsid w:val="00E92EF9"/>
    <w:rsid w:val="00E952E0"/>
    <w:rsid w:val="00E95956"/>
    <w:rsid w:val="00EA1519"/>
    <w:rsid w:val="00EA1D11"/>
    <w:rsid w:val="00EA3214"/>
    <w:rsid w:val="00EA4C59"/>
    <w:rsid w:val="00EB0407"/>
    <w:rsid w:val="00EB0536"/>
    <w:rsid w:val="00EB2587"/>
    <w:rsid w:val="00EB42A8"/>
    <w:rsid w:val="00EB5601"/>
    <w:rsid w:val="00EC1C03"/>
    <w:rsid w:val="00EC3B41"/>
    <w:rsid w:val="00EC501A"/>
    <w:rsid w:val="00EC526F"/>
    <w:rsid w:val="00EC5C01"/>
    <w:rsid w:val="00ED0A75"/>
    <w:rsid w:val="00ED0F1A"/>
    <w:rsid w:val="00ED68E6"/>
    <w:rsid w:val="00ED7425"/>
    <w:rsid w:val="00EF0700"/>
    <w:rsid w:val="00EF08E3"/>
    <w:rsid w:val="00EF2E4D"/>
    <w:rsid w:val="00EF3427"/>
    <w:rsid w:val="00EF5074"/>
    <w:rsid w:val="00F020F8"/>
    <w:rsid w:val="00F0278D"/>
    <w:rsid w:val="00F02EF9"/>
    <w:rsid w:val="00F04E60"/>
    <w:rsid w:val="00F10410"/>
    <w:rsid w:val="00F10924"/>
    <w:rsid w:val="00F1548E"/>
    <w:rsid w:val="00F15CEC"/>
    <w:rsid w:val="00F16569"/>
    <w:rsid w:val="00F178DE"/>
    <w:rsid w:val="00F17EF3"/>
    <w:rsid w:val="00F227E8"/>
    <w:rsid w:val="00F31ECF"/>
    <w:rsid w:val="00F34445"/>
    <w:rsid w:val="00F34BA8"/>
    <w:rsid w:val="00F35848"/>
    <w:rsid w:val="00F40B38"/>
    <w:rsid w:val="00F43209"/>
    <w:rsid w:val="00F444B7"/>
    <w:rsid w:val="00F45304"/>
    <w:rsid w:val="00F46AB9"/>
    <w:rsid w:val="00F46B5A"/>
    <w:rsid w:val="00F46CC7"/>
    <w:rsid w:val="00F50E71"/>
    <w:rsid w:val="00F519E6"/>
    <w:rsid w:val="00F52633"/>
    <w:rsid w:val="00F53C0D"/>
    <w:rsid w:val="00F53DC4"/>
    <w:rsid w:val="00F57032"/>
    <w:rsid w:val="00F57920"/>
    <w:rsid w:val="00F6104A"/>
    <w:rsid w:val="00F63FB8"/>
    <w:rsid w:val="00F65292"/>
    <w:rsid w:val="00F66234"/>
    <w:rsid w:val="00F67540"/>
    <w:rsid w:val="00F75CA3"/>
    <w:rsid w:val="00F76488"/>
    <w:rsid w:val="00F76B77"/>
    <w:rsid w:val="00F77EBE"/>
    <w:rsid w:val="00F80238"/>
    <w:rsid w:val="00F83572"/>
    <w:rsid w:val="00F8357C"/>
    <w:rsid w:val="00F85E4C"/>
    <w:rsid w:val="00F86215"/>
    <w:rsid w:val="00F86688"/>
    <w:rsid w:val="00F8713D"/>
    <w:rsid w:val="00F87ECD"/>
    <w:rsid w:val="00F90B68"/>
    <w:rsid w:val="00F91888"/>
    <w:rsid w:val="00F947AE"/>
    <w:rsid w:val="00F94EF4"/>
    <w:rsid w:val="00FA0A5E"/>
    <w:rsid w:val="00FA1C4A"/>
    <w:rsid w:val="00FA3625"/>
    <w:rsid w:val="00FA49C0"/>
    <w:rsid w:val="00FA4B9A"/>
    <w:rsid w:val="00FA61F0"/>
    <w:rsid w:val="00FA64DA"/>
    <w:rsid w:val="00FA652A"/>
    <w:rsid w:val="00FA691D"/>
    <w:rsid w:val="00FA7D7E"/>
    <w:rsid w:val="00FB4C0B"/>
    <w:rsid w:val="00FB5BF5"/>
    <w:rsid w:val="00FB6C47"/>
    <w:rsid w:val="00FB702E"/>
    <w:rsid w:val="00FB7E2B"/>
    <w:rsid w:val="00FC10DB"/>
    <w:rsid w:val="00FC1729"/>
    <w:rsid w:val="00FC21E2"/>
    <w:rsid w:val="00FC2995"/>
    <w:rsid w:val="00FC345F"/>
    <w:rsid w:val="00FC4B72"/>
    <w:rsid w:val="00FC4D89"/>
    <w:rsid w:val="00FC5206"/>
    <w:rsid w:val="00FD028C"/>
    <w:rsid w:val="00FD2217"/>
    <w:rsid w:val="00FD5AA1"/>
    <w:rsid w:val="00FD76CC"/>
    <w:rsid w:val="00FE097C"/>
    <w:rsid w:val="00FE0CF9"/>
    <w:rsid w:val="00FE3F4D"/>
    <w:rsid w:val="00FE45A9"/>
    <w:rsid w:val="00FE5074"/>
    <w:rsid w:val="00FE5DBC"/>
    <w:rsid w:val="00FE61F1"/>
    <w:rsid w:val="00FE6FDC"/>
    <w:rsid w:val="00FE71D7"/>
    <w:rsid w:val="00FF014F"/>
    <w:rsid w:val="00FF02DC"/>
    <w:rsid w:val="00FF03D7"/>
    <w:rsid w:val="00FF09F3"/>
    <w:rsid w:val="00FF6451"/>
    <w:rsid w:val="00FF793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3009" style="mso-position-vertical-relative:page;v-text-anchor:bottom" fill="f" fillcolor="white" stroke="f">
      <v:fill color="white" on="f"/>
      <v:stroke on="f"/>
      <v:textbox inset="0,0,0,0"/>
      <o:colormru v:ext="edit" colors="#ddd,#f8f8f8"/>
    </o:shapedefaults>
    <o:shapelayout v:ext="edit">
      <o:idmap v:ext="edit" data="1"/>
    </o:shapelayout>
  </w:shapeDefaults>
  <w:decimalSymbol w:val="."/>
  <w:listSeparator w:val=","/>
  <w14:docId w14:val="36C24DB2"/>
  <w15:docId w15:val="{121FE7FA-7FC1-44D7-912C-EF92C3C61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HAnsi" w:hAnsi="Calibri" w:cs="Times New Roman"/>
        <w:sz w:val="22"/>
        <w:szCs w:val="22"/>
        <w:lang w:val="en-AU" w:eastAsia="en-A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qFormat="1"/>
    <w:lsdException w:name="heading 7" w:unhideWhenUsed="1" w:qFormat="1"/>
    <w:lsdException w:name="heading 8" w:unhideWhenUsed="1" w:qFormat="1"/>
    <w:lsdException w:name="heading 9" w:uiPriority="10" w:unhideWhenUsed="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locked="1" w:semiHidden="1" w:unhideWhenUsed="1"/>
    <w:lsdException w:name="footnote text" w:locked="1" w:semiHidden="1" w:unhideWhenUsed="1" w:qFormat="1"/>
    <w:lsdException w:name="annotation text" w:locked="1" w:semiHidden="1" w:unhideWhenUsed="1"/>
    <w:lsdException w:name="header" w:locked="1" w:semiHidden="1" w:unhideWhenUsed="1"/>
    <w:lsdException w:name="footer" w:locked="1" w:semiHidden="1" w:unhideWhenUsed="1" w:qFormat="1"/>
    <w:lsdException w:name="index heading" w:locked="1" w:semiHidden="1" w:unhideWhenUsed="1"/>
    <w:lsdException w:name="caption"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2" w:unhideWhenUsed="1" w:qFormat="1"/>
    <w:lsdException w:name="List Number" w:locked="1" w:semiHidden="1" w:uiPriority="2" w:unhideWhenUsed="1" w:qFormat="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2" w:unhideWhenUsed="1" w:qFormat="1"/>
    <w:lsdException w:name="List Bullet 3" w:locked="1" w:semiHidden="1" w:unhideWhenUsed="1"/>
    <w:lsdException w:name="List Bullet 4" w:locked="1" w:semiHidden="1" w:unhideWhenUsed="1"/>
    <w:lsdException w:name="List Bullet 5" w:locked="1" w:semiHidden="1" w:unhideWhenUsed="1"/>
    <w:lsdException w:name="List Number 2" w:locked="1" w:semiHidden="1" w:uiPriority="2" w:unhideWhenUsed="1" w:qFormat="1"/>
    <w:lsdException w:name="List Number 3" w:locked="1" w:semiHidden="1" w:unhideWhenUsed="1"/>
    <w:lsdException w:name="List Number 4" w:locked="1" w:semiHidden="1" w:unhideWhenUsed="1"/>
    <w:lsdException w:name="List Number 5" w:locked="1" w:semiHidden="1" w:unhideWhenUsed="1"/>
    <w:lsdException w:name="Title" w:uiPriority="10" w:qFormat="1"/>
    <w:lsdException w:name="Closing" w:locked="1" w:semiHidden="1" w:unhideWhenUsed="1"/>
    <w:lsdException w:name="Signature" w:locked="1" w:semiHidden="1" w:unhideWhenUsed="1"/>
    <w:lsdException w:name="Default Paragraph Font" w:semiHidden="1" w:uiPriority="0" w:unhideWhenUsed="1"/>
    <w:lsdException w:name="Body Text" w:locked="1" w:semiHidden="1"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qFormat="1"/>
    <w:lsdException w:name="FollowedHyperlink" w:locked="1" w:semiHidden="1" w:unhideWhenUsed="1"/>
    <w:lsdException w:name="Strong"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1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516904"/>
    <w:pPr>
      <w:spacing w:after="120"/>
    </w:pPr>
    <w:rPr>
      <w:rFonts w:eastAsia="Calibri"/>
      <w:color w:val="000000"/>
    </w:rPr>
  </w:style>
  <w:style w:type="paragraph" w:styleId="Heading1">
    <w:name w:val="heading 1"/>
    <w:next w:val="BodyText"/>
    <w:link w:val="Heading1Char"/>
    <w:uiPriority w:val="1"/>
    <w:qFormat/>
    <w:rsid w:val="00DC2413"/>
    <w:pPr>
      <w:keepNext/>
      <w:keepLines/>
      <w:pageBreakBefore/>
      <w:tabs>
        <w:tab w:val="left" w:pos="1134"/>
      </w:tabs>
      <w:spacing w:after="960" w:line="480" w:lineRule="exact"/>
      <w:outlineLvl w:val="0"/>
    </w:pPr>
    <w:rPr>
      <w:rFonts w:eastAsiaTheme="majorEastAsia" w:cstheme="majorBidi"/>
      <w:b/>
      <w:bCs/>
      <w:color w:val="00313C" w:themeColor="accent2"/>
      <w:sz w:val="44"/>
      <w:szCs w:val="28"/>
    </w:rPr>
  </w:style>
  <w:style w:type="paragraph" w:styleId="Heading2">
    <w:name w:val="heading 2"/>
    <w:basedOn w:val="Heading1"/>
    <w:next w:val="BodyText"/>
    <w:link w:val="Heading2Char"/>
    <w:uiPriority w:val="1"/>
    <w:qFormat/>
    <w:rsid w:val="00A90F41"/>
    <w:pPr>
      <w:pageBreakBefore w:val="0"/>
      <w:numPr>
        <w:ilvl w:val="1"/>
      </w:numPr>
      <w:spacing w:before="360" w:after="240" w:line="240" w:lineRule="auto"/>
      <w:ind w:left="1134" w:hanging="1134"/>
      <w:outlineLvl w:val="1"/>
    </w:pPr>
    <w:rPr>
      <w:b w:val="0"/>
      <w:sz w:val="32"/>
      <w:szCs w:val="26"/>
    </w:rPr>
  </w:style>
  <w:style w:type="paragraph" w:styleId="Heading3">
    <w:name w:val="heading 3"/>
    <w:basedOn w:val="Heading2"/>
    <w:next w:val="BodyText"/>
    <w:link w:val="Heading3Char"/>
    <w:uiPriority w:val="1"/>
    <w:qFormat/>
    <w:rsid w:val="00E71F2C"/>
    <w:pPr>
      <w:numPr>
        <w:ilvl w:val="2"/>
      </w:numPr>
      <w:ind w:left="1134" w:hanging="1134"/>
      <w:outlineLvl w:val="2"/>
    </w:pPr>
    <w:rPr>
      <w:b/>
      <w:color w:val="auto"/>
      <w:sz w:val="26"/>
    </w:rPr>
  </w:style>
  <w:style w:type="paragraph" w:styleId="Heading4">
    <w:name w:val="heading 4"/>
    <w:basedOn w:val="Heading3"/>
    <w:next w:val="BodyText"/>
    <w:link w:val="Heading4Char"/>
    <w:uiPriority w:val="1"/>
    <w:qFormat/>
    <w:rsid w:val="00D1044D"/>
    <w:pPr>
      <w:numPr>
        <w:ilvl w:val="0"/>
      </w:numPr>
      <w:spacing w:before="240" w:after="120"/>
      <w:ind w:left="1134" w:hanging="1134"/>
      <w:outlineLvl w:val="3"/>
    </w:pPr>
    <w:rPr>
      <w:iCs/>
      <w:color w:val="007E9A" w:themeColor="accent1" w:themeShade="BF"/>
      <w:spacing w:val="1"/>
      <w:sz w:val="24"/>
    </w:rPr>
  </w:style>
  <w:style w:type="paragraph" w:styleId="Heading5">
    <w:name w:val="heading 5"/>
    <w:basedOn w:val="Heading4"/>
    <w:next w:val="BodyText"/>
    <w:link w:val="Heading5Char"/>
    <w:uiPriority w:val="1"/>
    <w:qFormat/>
    <w:rsid w:val="00C80108"/>
    <w:pPr>
      <w:outlineLvl w:val="4"/>
    </w:pPr>
    <w:rPr>
      <w:color w:val="auto"/>
      <w:sz w:val="22"/>
    </w:rPr>
  </w:style>
  <w:style w:type="paragraph" w:styleId="Heading6">
    <w:name w:val="heading 6"/>
    <w:basedOn w:val="Normal"/>
    <w:next w:val="Normal"/>
    <w:link w:val="Heading6Char"/>
    <w:uiPriority w:val="99"/>
    <w:qFormat/>
    <w:rsid w:val="001249CC"/>
    <w:pPr>
      <w:keepNext/>
      <w:keepLines/>
      <w:spacing w:before="200"/>
      <w:outlineLvl w:val="5"/>
    </w:pPr>
    <w:rPr>
      <w:rFonts w:eastAsiaTheme="majorEastAsia" w:cstheme="majorBidi"/>
      <w:i/>
      <w:iCs/>
    </w:rPr>
  </w:style>
  <w:style w:type="paragraph" w:styleId="Heading7">
    <w:name w:val="heading 7"/>
    <w:basedOn w:val="Normal"/>
    <w:next w:val="Normal"/>
    <w:link w:val="Heading7Char"/>
    <w:uiPriority w:val="99"/>
    <w:qFormat/>
    <w:locked/>
    <w:rsid w:val="00DB55B9"/>
    <w:pPr>
      <w:spacing w:before="240" w:after="60"/>
      <w:outlineLvl w:val="6"/>
    </w:pPr>
    <w:rPr>
      <w:rFonts w:asciiTheme="minorHAnsi" w:hAnsiTheme="minorHAnsi" w:cstheme="majorBidi"/>
      <w:sz w:val="24"/>
      <w:szCs w:val="24"/>
    </w:rPr>
  </w:style>
  <w:style w:type="paragraph" w:styleId="Heading8">
    <w:name w:val="heading 8"/>
    <w:basedOn w:val="Normal"/>
    <w:next w:val="Normal"/>
    <w:link w:val="Heading8Char"/>
    <w:uiPriority w:val="99"/>
    <w:qFormat/>
    <w:locked/>
    <w:rsid w:val="00DB55B9"/>
    <w:pPr>
      <w:spacing w:before="240" w:after="60"/>
      <w:outlineLvl w:val="7"/>
    </w:pPr>
    <w:rPr>
      <w:rFonts w:asciiTheme="minorHAnsi" w:hAnsiTheme="minorHAnsi" w:cstheme="majorBidi"/>
      <w:i/>
      <w:iCs/>
      <w:sz w:val="24"/>
      <w:szCs w:val="24"/>
    </w:rPr>
  </w:style>
  <w:style w:type="paragraph" w:styleId="Heading9">
    <w:name w:val="heading 9"/>
    <w:aliases w:val="Appendix Heading 1"/>
    <w:basedOn w:val="AppendixHeading1base"/>
    <w:next w:val="BodyText"/>
    <w:link w:val="Heading9Char"/>
    <w:uiPriority w:val="10"/>
    <w:locked/>
    <w:rsid w:val="00D1044D"/>
    <w:pPr>
      <w:spacing w:after="1080"/>
      <w:outlineLvl w:val="8"/>
    </w:pPr>
    <w:rPr>
      <w:color w:val="00313C"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sid w:val="00DC2413"/>
    <w:rPr>
      <w:rFonts w:eastAsiaTheme="majorEastAsia" w:cstheme="majorBidi"/>
      <w:b/>
      <w:bCs/>
      <w:color w:val="00313C" w:themeColor="accent2"/>
      <w:sz w:val="44"/>
      <w:szCs w:val="28"/>
    </w:rPr>
  </w:style>
  <w:style w:type="character" w:customStyle="1" w:styleId="Heading2Char">
    <w:name w:val="Heading 2 Char"/>
    <w:basedOn w:val="DefaultParagraphFont"/>
    <w:link w:val="Heading2"/>
    <w:uiPriority w:val="1"/>
    <w:locked/>
    <w:rsid w:val="00A90F41"/>
    <w:rPr>
      <w:rFonts w:eastAsiaTheme="majorEastAsia" w:cstheme="majorBidi"/>
      <w:bCs/>
      <w:color w:val="00313C" w:themeColor="accent2"/>
      <w:sz w:val="32"/>
      <w:szCs w:val="26"/>
    </w:rPr>
  </w:style>
  <w:style w:type="character" w:customStyle="1" w:styleId="Heading3Char">
    <w:name w:val="Heading 3 Char"/>
    <w:basedOn w:val="DefaultParagraphFont"/>
    <w:link w:val="Heading3"/>
    <w:uiPriority w:val="1"/>
    <w:locked/>
    <w:rsid w:val="00E71F2C"/>
    <w:rPr>
      <w:rFonts w:eastAsiaTheme="majorEastAsia" w:cstheme="majorBidi"/>
      <w:b/>
      <w:bCs/>
      <w:sz w:val="26"/>
      <w:szCs w:val="26"/>
    </w:rPr>
  </w:style>
  <w:style w:type="character" w:customStyle="1" w:styleId="Heading4Char">
    <w:name w:val="Heading 4 Char"/>
    <w:basedOn w:val="DefaultParagraphFont"/>
    <w:link w:val="Heading4"/>
    <w:uiPriority w:val="1"/>
    <w:locked/>
    <w:rsid w:val="00D1044D"/>
    <w:rPr>
      <w:rFonts w:eastAsiaTheme="majorEastAsia" w:cstheme="majorBidi"/>
      <w:b/>
      <w:bCs/>
      <w:iCs/>
      <w:color w:val="007E9A" w:themeColor="accent1" w:themeShade="BF"/>
      <w:spacing w:val="1"/>
      <w:sz w:val="24"/>
      <w:szCs w:val="26"/>
    </w:rPr>
  </w:style>
  <w:style w:type="character" w:customStyle="1" w:styleId="Heading5Char">
    <w:name w:val="Heading 5 Char"/>
    <w:basedOn w:val="DefaultParagraphFont"/>
    <w:link w:val="Heading5"/>
    <w:uiPriority w:val="1"/>
    <w:locked/>
    <w:rsid w:val="00C80108"/>
    <w:rPr>
      <w:rFonts w:eastAsiaTheme="majorEastAsia" w:cstheme="majorBidi"/>
      <w:b/>
      <w:bCs/>
      <w:iCs/>
      <w:spacing w:val="1"/>
      <w:szCs w:val="26"/>
    </w:rPr>
  </w:style>
  <w:style w:type="character" w:customStyle="1" w:styleId="Heading6Char">
    <w:name w:val="Heading 6 Char"/>
    <w:basedOn w:val="DefaultParagraphFont"/>
    <w:link w:val="Heading6"/>
    <w:uiPriority w:val="99"/>
    <w:locked/>
    <w:rsid w:val="00DB55B9"/>
    <w:rPr>
      <w:rFonts w:eastAsiaTheme="majorEastAsia" w:cstheme="majorBidi"/>
      <w:i/>
      <w:iCs/>
      <w:color w:val="000000"/>
    </w:rPr>
  </w:style>
  <w:style w:type="character" w:customStyle="1" w:styleId="Heading7Char">
    <w:name w:val="Heading 7 Char"/>
    <w:basedOn w:val="DefaultParagraphFont"/>
    <w:link w:val="Heading7"/>
    <w:uiPriority w:val="99"/>
    <w:locked/>
    <w:rsid w:val="00DB55B9"/>
    <w:rPr>
      <w:rFonts w:asciiTheme="minorHAnsi" w:eastAsia="Calibri" w:hAnsiTheme="minorHAnsi" w:cstheme="majorBidi"/>
      <w:color w:val="000000"/>
      <w:sz w:val="24"/>
      <w:szCs w:val="24"/>
    </w:rPr>
  </w:style>
  <w:style w:type="character" w:customStyle="1" w:styleId="Heading8Char">
    <w:name w:val="Heading 8 Char"/>
    <w:basedOn w:val="DefaultParagraphFont"/>
    <w:link w:val="Heading8"/>
    <w:uiPriority w:val="99"/>
    <w:locked/>
    <w:rsid w:val="00DB55B9"/>
    <w:rPr>
      <w:rFonts w:asciiTheme="minorHAnsi" w:eastAsia="Calibri" w:hAnsiTheme="minorHAnsi" w:cstheme="majorBidi"/>
      <w:i/>
      <w:iCs/>
      <w:color w:val="000000"/>
      <w:sz w:val="24"/>
      <w:szCs w:val="24"/>
    </w:rPr>
  </w:style>
  <w:style w:type="character" w:customStyle="1" w:styleId="Heading9Char">
    <w:name w:val="Heading 9 Char"/>
    <w:aliases w:val="Appendix Heading 1 Char"/>
    <w:basedOn w:val="DefaultParagraphFont"/>
    <w:link w:val="Heading9"/>
    <w:uiPriority w:val="10"/>
    <w:locked/>
    <w:rsid w:val="00D1044D"/>
    <w:rPr>
      <w:rFonts w:eastAsiaTheme="majorEastAsia" w:cstheme="majorBidi"/>
      <w:b/>
      <w:bCs/>
      <w:color w:val="00313C" w:themeColor="accent2"/>
      <w:sz w:val="44"/>
      <w:szCs w:val="28"/>
    </w:rPr>
  </w:style>
  <w:style w:type="paragraph" w:styleId="Header">
    <w:name w:val="header"/>
    <w:basedOn w:val="Normal"/>
    <w:link w:val="HeaderChar"/>
    <w:uiPriority w:val="99"/>
    <w:rsid w:val="00944443"/>
    <w:rPr>
      <w:caps/>
      <w:color w:val="FFFFFF"/>
      <w:spacing w:val="16"/>
    </w:rPr>
  </w:style>
  <w:style w:type="character" w:customStyle="1" w:styleId="HeaderChar">
    <w:name w:val="Header Char"/>
    <w:basedOn w:val="DefaultParagraphFont"/>
    <w:link w:val="Header"/>
    <w:uiPriority w:val="99"/>
    <w:locked/>
    <w:rsid w:val="00DB55B9"/>
    <w:rPr>
      <w:rFonts w:eastAsia="Calibri"/>
      <w:caps/>
      <w:color w:val="FFFFFF"/>
      <w:spacing w:val="16"/>
    </w:rPr>
  </w:style>
  <w:style w:type="paragraph" w:styleId="Footer">
    <w:name w:val="footer"/>
    <w:basedOn w:val="BodyText"/>
    <w:link w:val="FooterChar"/>
    <w:uiPriority w:val="99"/>
    <w:qFormat/>
    <w:rsid w:val="00DC2413"/>
    <w:pPr>
      <w:tabs>
        <w:tab w:val="center" w:pos="4513"/>
        <w:tab w:val="right" w:pos="9026"/>
      </w:tabs>
      <w:spacing w:before="0" w:line="220" w:lineRule="atLeast"/>
    </w:pPr>
    <w:rPr>
      <w:color w:val="auto"/>
      <w:sz w:val="16"/>
    </w:rPr>
  </w:style>
  <w:style w:type="character" w:customStyle="1" w:styleId="FooterChar">
    <w:name w:val="Footer Char"/>
    <w:basedOn w:val="DefaultParagraphFont"/>
    <w:link w:val="Footer"/>
    <w:uiPriority w:val="99"/>
    <w:locked/>
    <w:rsid w:val="00DC2413"/>
    <w:rPr>
      <w:rFonts w:eastAsia="Calibri"/>
      <w:sz w:val="16"/>
    </w:rPr>
  </w:style>
  <w:style w:type="paragraph" w:styleId="BalloonText">
    <w:name w:val="Balloon Text"/>
    <w:basedOn w:val="Normal"/>
    <w:link w:val="BalloonTextChar"/>
    <w:uiPriority w:val="99"/>
    <w:semiHidden/>
    <w:locked/>
    <w:rsid w:val="00064612"/>
    <w:pPr>
      <w:spacing w:after="0"/>
    </w:pPr>
    <w:rPr>
      <w:rFonts w:ascii="Tahoma" w:hAnsi="Tahoma" w:cs="Tahoma"/>
      <w:sz w:val="16"/>
      <w:szCs w:val="16"/>
    </w:rPr>
  </w:style>
  <w:style w:type="paragraph" w:styleId="ListBullet">
    <w:name w:val="List Bullet"/>
    <w:basedOn w:val="BodyText"/>
    <w:next w:val="BodyText"/>
    <w:uiPriority w:val="2"/>
    <w:qFormat/>
    <w:rsid w:val="00D349D1"/>
    <w:pPr>
      <w:numPr>
        <w:numId w:val="5"/>
      </w:numPr>
      <w:tabs>
        <w:tab w:val="left" w:pos="397"/>
      </w:tabs>
      <w:spacing w:before="60" w:after="60"/>
      <w:ind w:left="198" w:hanging="198"/>
    </w:pPr>
  </w:style>
  <w:style w:type="paragraph" w:styleId="ListNumber">
    <w:name w:val="List Number"/>
    <w:basedOn w:val="BodyText"/>
    <w:next w:val="BodyText"/>
    <w:uiPriority w:val="2"/>
    <w:qFormat/>
    <w:rsid w:val="00D349D1"/>
    <w:pPr>
      <w:numPr>
        <w:numId w:val="8"/>
      </w:numPr>
      <w:tabs>
        <w:tab w:val="clear" w:pos="227"/>
        <w:tab w:val="left" w:pos="397"/>
      </w:tabs>
      <w:ind w:left="397" w:hanging="397"/>
    </w:pPr>
  </w:style>
  <w:style w:type="paragraph" w:styleId="ListBullet2">
    <w:name w:val="List Bullet 2"/>
    <w:basedOn w:val="ListBullet"/>
    <w:next w:val="BodyText"/>
    <w:uiPriority w:val="2"/>
    <w:qFormat/>
    <w:rsid w:val="00D349D1"/>
    <w:pPr>
      <w:numPr>
        <w:ilvl w:val="1"/>
      </w:numPr>
      <w:tabs>
        <w:tab w:val="clear" w:pos="397"/>
        <w:tab w:val="left" w:pos="794"/>
      </w:tabs>
      <w:ind w:left="794" w:hanging="357"/>
    </w:pPr>
  </w:style>
  <w:style w:type="paragraph" w:styleId="TOC1">
    <w:name w:val="toc 1"/>
    <w:basedOn w:val="BodyText"/>
    <w:next w:val="TOC2"/>
    <w:uiPriority w:val="39"/>
    <w:unhideWhenUsed/>
    <w:rsid w:val="00DC2413"/>
    <w:pPr>
      <w:pBdr>
        <w:top w:val="single" w:sz="4" w:space="1" w:color="00313C" w:themeColor="accent2"/>
        <w:left w:val="single" w:sz="4" w:space="4" w:color="00313C" w:themeColor="accent2"/>
        <w:bottom w:val="single" w:sz="4" w:space="1" w:color="00313C" w:themeColor="accent2"/>
        <w:right w:val="single" w:sz="4" w:space="4" w:color="00313C" w:themeColor="accent2"/>
      </w:pBdr>
      <w:shd w:val="clear" w:color="auto" w:fill="00313C" w:themeFill="accent2"/>
      <w:tabs>
        <w:tab w:val="left" w:pos="737"/>
        <w:tab w:val="right" w:pos="9639"/>
      </w:tabs>
      <w:spacing w:before="240" w:after="180"/>
    </w:pPr>
    <w:rPr>
      <w:b/>
      <w:noProof/>
      <w:color w:val="FFFFFF"/>
    </w:rPr>
  </w:style>
  <w:style w:type="paragraph" w:styleId="TOC2">
    <w:name w:val="toc 2"/>
    <w:basedOn w:val="BodyText"/>
    <w:uiPriority w:val="39"/>
    <w:unhideWhenUsed/>
    <w:rsid w:val="00A23FE4"/>
    <w:pPr>
      <w:tabs>
        <w:tab w:val="left" w:pos="737"/>
        <w:tab w:val="left" w:pos="1531"/>
        <w:tab w:val="right" w:leader="dot" w:pos="9639"/>
      </w:tabs>
      <w:ind w:right="284"/>
    </w:pPr>
    <w:rPr>
      <w:noProof/>
      <w:color w:val="00313C" w:themeColor="accent2"/>
    </w:rPr>
  </w:style>
  <w:style w:type="table" w:styleId="TableGrid">
    <w:name w:val="Table Grid"/>
    <w:basedOn w:val="TableNormal"/>
    <w:uiPriority w:val="39"/>
    <w:rsid w:val="006F4826"/>
    <w:rPr>
      <w:sz w:val="20"/>
      <w:szCs w:val="20"/>
    </w:rPr>
    <w:tblPr>
      <w:tblBorders>
        <w:top w:val="single" w:sz="4" w:space="0" w:color="00313C"/>
        <w:left w:val="single" w:sz="4" w:space="0" w:color="00313C"/>
        <w:bottom w:val="single" w:sz="4" w:space="0" w:color="00313C"/>
        <w:right w:val="single" w:sz="4" w:space="0" w:color="00313C"/>
        <w:insideH w:val="single" w:sz="4" w:space="0" w:color="00313C"/>
        <w:insideV w:val="single" w:sz="4" w:space="0" w:color="00313C"/>
      </w:tblBorders>
    </w:tblPr>
  </w:style>
  <w:style w:type="character" w:styleId="PageNumber">
    <w:name w:val="page number"/>
    <w:basedOn w:val="DefaultParagraphFont"/>
    <w:uiPriority w:val="99"/>
    <w:semiHidden/>
    <w:rsid w:val="00752473"/>
    <w:rPr>
      <w:rFonts w:ascii="Calibri" w:hAnsi="Calibri" w:cs="Times New Roman"/>
      <w:sz w:val="16"/>
    </w:rPr>
  </w:style>
  <w:style w:type="paragraph" w:styleId="TOC3">
    <w:name w:val="toc 3"/>
    <w:basedOn w:val="BodyText"/>
    <w:uiPriority w:val="39"/>
    <w:unhideWhenUsed/>
    <w:rsid w:val="00A23FE4"/>
    <w:pPr>
      <w:tabs>
        <w:tab w:val="left" w:pos="1531"/>
        <w:tab w:val="right" w:leader="dot" w:pos="9639"/>
      </w:tabs>
      <w:spacing w:before="60"/>
      <w:ind w:left="737" w:right="284"/>
    </w:pPr>
    <w:rPr>
      <w:color w:val="00313C" w:themeColor="accent2"/>
    </w:rPr>
  </w:style>
  <w:style w:type="paragraph" w:customStyle="1" w:styleId="CoverTitle">
    <w:name w:val="CoverTitle"/>
    <w:next w:val="CoverSubtitle"/>
    <w:uiPriority w:val="12"/>
    <w:qFormat/>
    <w:rsid w:val="00F76488"/>
    <w:pPr>
      <w:spacing w:after="170" w:line="216" w:lineRule="auto"/>
    </w:pPr>
    <w:rPr>
      <w:rFonts w:eastAsiaTheme="majorEastAsia" w:cstheme="majorBidi"/>
      <w:b/>
      <w:color w:val="00313C" w:themeColor="accent2"/>
      <w:spacing w:val="5"/>
      <w:kern w:val="28"/>
      <w:sz w:val="80"/>
      <w:szCs w:val="52"/>
    </w:rPr>
  </w:style>
  <w:style w:type="paragraph" w:customStyle="1" w:styleId="PartTitle">
    <w:name w:val="PartTitle"/>
    <w:next w:val="PartSubtitle"/>
    <w:uiPriority w:val="15"/>
    <w:qFormat/>
    <w:rsid w:val="004E5109"/>
    <w:pPr>
      <w:keepNext/>
      <w:tabs>
        <w:tab w:val="left" w:pos="2552"/>
      </w:tabs>
      <w:ind w:left="2552" w:hanging="2552"/>
      <w:outlineLvl w:val="0"/>
    </w:pPr>
    <w:rPr>
      <w:rFonts w:eastAsia="Calibri"/>
      <w:b/>
      <w:color w:val="007E9A" w:themeColor="accent1" w:themeShade="BF"/>
      <w:sz w:val="80"/>
    </w:rPr>
  </w:style>
  <w:style w:type="paragraph" w:customStyle="1" w:styleId="PartSubtitle">
    <w:name w:val="PartSubtitle"/>
    <w:basedOn w:val="PartTitle"/>
    <w:next w:val="BodyText"/>
    <w:uiPriority w:val="15"/>
    <w:qFormat/>
    <w:rsid w:val="00D1044D"/>
    <w:pPr>
      <w:spacing w:before="360" w:after="240" w:line="340" w:lineRule="atLeast"/>
      <w:outlineLvl w:val="9"/>
    </w:pPr>
    <w:rPr>
      <w:b w:val="0"/>
      <w:color w:val="00313C" w:themeColor="accent2"/>
      <w:sz w:val="34"/>
    </w:rPr>
  </w:style>
  <w:style w:type="paragraph" w:customStyle="1" w:styleId="ListofFiguresandTablesTOCHeading">
    <w:name w:val="List of Figures and Tables TOC Heading"/>
    <w:basedOn w:val="TOCHeading"/>
    <w:next w:val="TableofFigures"/>
    <w:uiPriority w:val="14"/>
    <w:qFormat/>
    <w:rsid w:val="00D1044D"/>
  </w:style>
  <w:style w:type="paragraph" w:styleId="ListBullet3">
    <w:name w:val="List Bullet 3"/>
    <w:basedOn w:val="ListBullet2"/>
    <w:uiPriority w:val="99"/>
    <w:rsid w:val="00D349D1"/>
    <w:pPr>
      <w:numPr>
        <w:ilvl w:val="0"/>
        <w:numId w:val="15"/>
      </w:numPr>
      <w:tabs>
        <w:tab w:val="clear" w:pos="794"/>
        <w:tab w:val="left" w:pos="851"/>
      </w:tabs>
      <w:ind w:left="1497" w:hanging="340"/>
    </w:pPr>
  </w:style>
  <w:style w:type="paragraph" w:styleId="FootnoteText">
    <w:name w:val="footnote text"/>
    <w:basedOn w:val="BodyText"/>
    <w:link w:val="FootnoteTextChar"/>
    <w:uiPriority w:val="99"/>
    <w:qFormat/>
    <w:rsid w:val="00DC2413"/>
    <w:pPr>
      <w:spacing w:before="60" w:line="180" w:lineRule="atLeast"/>
    </w:pPr>
    <w:rPr>
      <w:sz w:val="16"/>
      <w:szCs w:val="20"/>
    </w:rPr>
  </w:style>
  <w:style w:type="character" w:customStyle="1" w:styleId="FootnoteTextChar">
    <w:name w:val="Footnote Text Char"/>
    <w:basedOn w:val="DefaultParagraphFont"/>
    <w:link w:val="FootnoteText"/>
    <w:uiPriority w:val="99"/>
    <w:locked/>
    <w:rsid w:val="00DC2413"/>
    <w:rPr>
      <w:rFonts w:eastAsia="Calibri"/>
      <w:color w:val="000000"/>
      <w:sz w:val="16"/>
      <w:szCs w:val="20"/>
    </w:rPr>
  </w:style>
  <w:style w:type="paragraph" w:customStyle="1" w:styleId="FootnoteHeading">
    <w:name w:val="Footnote Heading"/>
    <w:basedOn w:val="FootnoteText"/>
    <w:uiPriority w:val="9"/>
    <w:qFormat/>
    <w:rsid w:val="007A01EB"/>
    <w:rPr>
      <w:b/>
    </w:rPr>
  </w:style>
  <w:style w:type="paragraph" w:customStyle="1" w:styleId="FigureTableSource">
    <w:name w:val="Figure/Table Source"/>
    <w:basedOn w:val="BodyText"/>
    <w:next w:val="BodyText"/>
    <w:uiPriority w:val="4"/>
    <w:qFormat/>
    <w:rsid w:val="00DC2413"/>
    <w:pPr>
      <w:tabs>
        <w:tab w:val="left" w:pos="539"/>
      </w:tabs>
      <w:spacing w:after="240" w:line="180" w:lineRule="atLeast"/>
    </w:pPr>
    <w:rPr>
      <w:sz w:val="16"/>
      <w:szCs w:val="20"/>
    </w:rPr>
  </w:style>
  <w:style w:type="paragraph" w:customStyle="1" w:styleId="TableText">
    <w:name w:val="TableText"/>
    <w:basedOn w:val="Normal"/>
    <w:uiPriority w:val="5"/>
    <w:qFormat/>
    <w:rsid w:val="00DC2413"/>
    <w:pPr>
      <w:spacing w:before="60" w:after="60"/>
    </w:pPr>
    <w:rPr>
      <w:sz w:val="18"/>
    </w:rPr>
  </w:style>
  <w:style w:type="paragraph" w:customStyle="1" w:styleId="TableBullet">
    <w:name w:val="TableBullet"/>
    <w:basedOn w:val="TableText"/>
    <w:next w:val="TableText"/>
    <w:uiPriority w:val="5"/>
    <w:qFormat/>
    <w:rsid w:val="006131D3"/>
    <w:pPr>
      <w:numPr>
        <w:numId w:val="7"/>
      </w:numPr>
    </w:pPr>
  </w:style>
  <w:style w:type="paragraph" w:customStyle="1" w:styleId="RowHeading">
    <w:name w:val="RowHeading"/>
    <w:basedOn w:val="TableText"/>
    <w:next w:val="TableText"/>
    <w:uiPriority w:val="5"/>
    <w:qFormat/>
    <w:rsid w:val="00FB6C47"/>
    <w:rPr>
      <w:b/>
      <w:color w:val="auto"/>
    </w:rPr>
  </w:style>
  <w:style w:type="paragraph" w:customStyle="1" w:styleId="ColumnHeading">
    <w:name w:val="ColumnHeading"/>
    <w:basedOn w:val="TableText"/>
    <w:uiPriority w:val="5"/>
    <w:qFormat/>
    <w:rsid w:val="00786A8D"/>
    <w:pPr>
      <w:spacing w:after="0" w:line="180" w:lineRule="atLeast"/>
    </w:pPr>
    <w:rPr>
      <w:b/>
      <w:caps/>
      <w:color w:val="FFFFFF"/>
      <w:sz w:val="16"/>
    </w:rPr>
  </w:style>
  <w:style w:type="paragraph" w:customStyle="1" w:styleId="CoverSubtitle">
    <w:name w:val="CoverSubtitle"/>
    <w:next w:val="BodyText"/>
    <w:uiPriority w:val="12"/>
    <w:qFormat/>
    <w:rsid w:val="00071E61"/>
    <w:pPr>
      <w:numPr>
        <w:ilvl w:val="1"/>
      </w:numPr>
      <w:spacing w:after="170"/>
    </w:pPr>
    <w:rPr>
      <w:rFonts w:eastAsiaTheme="majorEastAsia" w:cstheme="majorBidi"/>
      <w:iCs/>
      <w:color w:val="000000" w:themeColor="text2"/>
      <w:spacing w:val="15"/>
      <w:sz w:val="34"/>
      <w:szCs w:val="24"/>
    </w:rPr>
  </w:style>
  <w:style w:type="paragraph" w:customStyle="1" w:styleId="BackCoverContactHeading">
    <w:name w:val="BackCover ContactHeading"/>
    <w:next w:val="BackCoverContactDetails"/>
    <w:uiPriority w:val="18"/>
    <w:qFormat/>
    <w:rsid w:val="00DC2413"/>
    <w:pPr>
      <w:spacing w:before="360" w:after="60"/>
    </w:pPr>
    <w:rPr>
      <w:rFonts w:eastAsia="Calibri"/>
      <w:caps/>
      <w:sz w:val="18"/>
      <w:szCs w:val="20"/>
    </w:rPr>
  </w:style>
  <w:style w:type="paragraph" w:customStyle="1" w:styleId="BackCoverContactDetails">
    <w:name w:val="BackCover ContactDetails"/>
    <w:uiPriority w:val="18"/>
    <w:qFormat/>
    <w:rsid w:val="00DC2413"/>
    <w:pPr>
      <w:tabs>
        <w:tab w:val="left" w:pos="199"/>
      </w:tabs>
    </w:pPr>
    <w:rPr>
      <w:rFonts w:eastAsia="Calibri"/>
      <w:sz w:val="18"/>
    </w:rPr>
  </w:style>
  <w:style w:type="character" w:customStyle="1" w:styleId="BackCoverContactBold">
    <w:name w:val="BackCover ContactBold"/>
    <w:basedOn w:val="DefaultParagraphFont"/>
    <w:uiPriority w:val="18"/>
    <w:qFormat/>
    <w:rsid w:val="00D1044D"/>
    <w:rPr>
      <w:b/>
    </w:rPr>
  </w:style>
  <w:style w:type="paragraph" w:styleId="TOCHeading">
    <w:name w:val="TOC Heading"/>
    <w:basedOn w:val="Heading1"/>
    <w:next w:val="Normal"/>
    <w:link w:val="TOCHeadingChar"/>
    <w:uiPriority w:val="19"/>
    <w:qFormat/>
    <w:rsid w:val="00462182"/>
    <w:pPr>
      <w:pageBreakBefore w:val="0"/>
      <w:spacing w:before="480" w:after="240"/>
      <w:outlineLvl w:val="1"/>
    </w:pPr>
    <w:rPr>
      <w:bCs w:val="0"/>
    </w:rPr>
  </w:style>
  <w:style w:type="character" w:styleId="Hyperlink">
    <w:name w:val="Hyperlink"/>
    <w:basedOn w:val="DefaultParagraphFont"/>
    <w:uiPriority w:val="99"/>
    <w:qFormat/>
    <w:rsid w:val="008631BE"/>
    <w:rPr>
      <w:rFonts w:cs="Times New Roman"/>
      <w:color w:val="007E9A" w:themeColor="accent1" w:themeShade="BF"/>
      <w:u w:val="none"/>
    </w:rPr>
  </w:style>
  <w:style w:type="paragraph" w:styleId="TOC4">
    <w:name w:val="toc 4"/>
    <w:basedOn w:val="Normal"/>
    <w:next w:val="Normal"/>
    <w:autoRedefine/>
    <w:uiPriority w:val="99"/>
    <w:semiHidden/>
    <w:rsid w:val="00FE3F4D"/>
    <w:pPr>
      <w:spacing w:after="100"/>
      <w:ind w:left="660"/>
    </w:pPr>
  </w:style>
  <w:style w:type="paragraph" w:styleId="TOC9">
    <w:name w:val="toc 9"/>
    <w:basedOn w:val="Normal"/>
    <w:next w:val="Normal"/>
    <w:autoRedefine/>
    <w:uiPriority w:val="99"/>
    <w:semiHidden/>
    <w:rsid w:val="00FE3F4D"/>
    <w:pPr>
      <w:spacing w:after="100"/>
      <w:ind w:left="1760"/>
    </w:pPr>
  </w:style>
  <w:style w:type="character" w:customStyle="1" w:styleId="BalloonTextChar">
    <w:name w:val="Balloon Text Char"/>
    <w:basedOn w:val="DefaultParagraphFont"/>
    <w:link w:val="BalloonText"/>
    <w:uiPriority w:val="99"/>
    <w:semiHidden/>
    <w:rsid w:val="00DB55B9"/>
    <w:rPr>
      <w:rFonts w:ascii="Tahoma" w:eastAsia="Calibri" w:hAnsi="Tahoma" w:cs="Tahoma"/>
      <w:color w:val="000000"/>
      <w:sz w:val="16"/>
      <w:szCs w:val="16"/>
    </w:rPr>
  </w:style>
  <w:style w:type="paragraph" w:styleId="Caption">
    <w:name w:val="caption"/>
    <w:basedOn w:val="BodyText"/>
    <w:next w:val="BodyText"/>
    <w:link w:val="CaptionChar"/>
    <w:uiPriority w:val="35"/>
    <w:qFormat/>
    <w:rsid w:val="00B26878"/>
    <w:pPr>
      <w:keepNext/>
      <w:spacing w:before="180" w:after="180"/>
      <w:contextualSpacing/>
    </w:pPr>
    <w:rPr>
      <w:b/>
      <w:bCs/>
      <w:color w:val="007E9A" w:themeColor="accent1" w:themeShade="BF"/>
      <w:sz w:val="20"/>
      <w:szCs w:val="18"/>
    </w:rPr>
  </w:style>
  <w:style w:type="paragraph" w:customStyle="1" w:styleId="Headerurl">
    <w:name w:val="Header url"/>
    <w:basedOn w:val="Header"/>
    <w:uiPriority w:val="99"/>
    <w:semiHidden/>
    <w:rsid w:val="00944443"/>
    <w:pPr>
      <w:tabs>
        <w:tab w:val="center" w:pos="4153"/>
        <w:tab w:val="right" w:pos="8306"/>
      </w:tabs>
      <w:spacing w:after="0"/>
    </w:pPr>
    <w:rPr>
      <w:b/>
      <w:color w:val="00313C"/>
      <w:szCs w:val="24"/>
    </w:rPr>
  </w:style>
  <w:style w:type="character" w:customStyle="1" w:styleId="PartNumber">
    <w:name w:val="PartNumber"/>
    <w:basedOn w:val="DefaultParagraphFont"/>
    <w:uiPriority w:val="15"/>
    <w:qFormat/>
    <w:rsid w:val="00D1044D"/>
    <w:rPr>
      <w:color w:val="00313C" w:themeColor="accent2"/>
    </w:rPr>
  </w:style>
  <w:style w:type="paragraph" w:customStyle="1" w:styleId="Heading1notnumbered">
    <w:name w:val="Heading 1 not numbered"/>
    <w:basedOn w:val="Heading1"/>
    <w:next w:val="BodyText"/>
    <w:uiPriority w:val="1"/>
    <w:rsid w:val="00D1044D"/>
  </w:style>
  <w:style w:type="paragraph" w:customStyle="1" w:styleId="Heading3notnumbered">
    <w:name w:val="Heading 3 not numbered"/>
    <w:basedOn w:val="Heading3"/>
    <w:next w:val="BodyText"/>
    <w:uiPriority w:val="1"/>
    <w:qFormat/>
    <w:rsid w:val="00752314"/>
    <w:pPr>
      <w:numPr>
        <w:ilvl w:val="0"/>
      </w:numPr>
      <w:ind w:left="1134" w:hanging="1134"/>
    </w:pPr>
  </w:style>
  <w:style w:type="paragraph" w:customStyle="1" w:styleId="Heading2notnumbered">
    <w:name w:val="Heading 2 not numbered"/>
    <w:basedOn w:val="Heading2"/>
    <w:next w:val="BodyText"/>
    <w:uiPriority w:val="1"/>
    <w:qFormat/>
    <w:rsid w:val="00752314"/>
    <w:pPr>
      <w:numPr>
        <w:ilvl w:val="0"/>
      </w:numPr>
      <w:ind w:left="1134" w:hanging="1134"/>
    </w:pPr>
  </w:style>
  <w:style w:type="paragraph" w:customStyle="1" w:styleId="Heading1noTOC">
    <w:name w:val="Heading 1 no TOC"/>
    <w:basedOn w:val="Heading1notnumbered"/>
    <w:next w:val="BodyText"/>
    <w:uiPriority w:val="1"/>
    <w:qFormat/>
    <w:rsid w:val="00C80108"/>
  </w:style>
  <w:style w:type="character" w:customStyle="1" w:styleId="TOCHeadingChar">
    <w:name w:val="TOC Heading Char"/>
    <w:basedOn w:val="DefaultParagraphFont"/>
    <w:link w:val="TOCHeading"/>
    <w:uiPriority w:val="19"/>
    <w:locked/>
    <w:rsid w:val="00DB55B9"/>
    <w:rPr>
      <w:rFonts w:eastAsiaTheme="majorEastAsia" w:cstheme="majorBidi"/>
      <w:b/>
      <w:color w:val="00A9CE" w:themeColor="accent1"/>
      <w:sz w:val="44"/>
      <w:szCs w:val="28"/>
    </w:rPr>
  </w:style>
  <w:style w:type="paragraph" w:styleId="BlockText">
    <w:name w:val="Block Text"/>
    <w:basedOn w:val="Normal"/>
    <w:uiPriority w:val="99"/>
    <w:semiHidden/>
    <w:locked/>
    <w:rsid w:val="00E251B6"/>
    <w:pPr>
      <w:ind w:left="1440" w:right="1440"/>
    </w:pPr>
  </w:style>
  <w:style w:type="paragraph" w:styleId="BodyText">
    <w:name w:val="Body Text"/>
    <w:link w:val="BodyTextChar"/>
    <w:uiPriority w:val="99"/>
    <w:qFormat/>
    <w:locked/>
    <w:rsid w:val="00E71F2C"/>
    <w:pPr>
      <w:spacing w:before="120" w:after="120" w:line="264" w:lineRule="auto"/>
    </w:pPr>
    <w:rPr>
      <w:rFonts w:eastAsia="Calibri"/>
      <w:color w:val="000000"/>
      <w:sz w:val="24"/>
    </w:rPr>
  </w:style>
  <w:style w:type="character" w:customStyle="1" w:styleId="BodyTextChar">
    <w:name w:val="Body Text Char"/>
    <w:basedOn w:val="DefaultParagraphFont"/>
    <w:link w:val="BodyText"/>
    <w:uiPriority w:val="99"/>
    <w:locked/>
    <w:rsid w:val="00E71F2C"/>
    <w:rPr>
      <w:rFonts w:eastAsia="Calibri"/>
      <w:color w:val="000000"/>
      <w:sz w:val="24"/>
    </w:rPr>
  </w:style>
  <w:style w:type="paragraph" w:styleId="BodyText2">
    <w:name w:val="Body Text 2"/>
    <w:basedOn w:val="Normal"/>
    <w:link w:val="BodyText2Char"/>
    <w:uiPriority w:val="99"/>
    <w:semiHidden/>
    <w:locked/>
    <w:rsid w:val="00E251B6"/>
    <w:pPr>
      <w:spacing w:line="480" w:lineRule="auto"/>
    </w:pPr>
  </w:style>
  <w:style w:type="character" w:customStyle="1" w:styleId="BodyText2Char">
    <w:name w:val="Body Text 2 Char"/>
    <w:basedOn w:val="DefaultParagraphFont"/>
    <w:link w:val="BodyText2"/>
    <w:uiPriority w:val="99"/>
    <w:semiHidden/>
    <w:locked/>
    <w:rsid w:val="00DB55B9"/>
    <w:rPr>
      <w:rFonts w:eastAsia="Calibri"/>
      <w:color w:val="000000"/>
    </w:rPr>
  </w:style>
  <w:style w:type="paragraph" w:styleId="BodyText3">
    <w:name w:val="Body Text 3"/>
    <w:basedOn w:val="Normal"/>
    <w:link w:val="BodyText3Char"/>
    <w:uiPriority w:val="99"/>
    <w:semiHidden/>
    <w:locked/>
    <w:rsid w:val="00E251B6"/>
    <w:rPr>
      <w:sz w:val="16"/>
      <w:szCs w:val="16"/>
    </w:rPr>
  </w:style>
  <w:style w:type="character" w:customStyle="1" w:styleId="BodyText3Char">
    <w:name w:val="Body Text 3 Char"/>
    <w:basedOn w:val="DefaultParagraphFont"/>
    <w:link w:val="BodyText3"/>
    <w:uiPriority w:val="99"/>
    <w:semiHidden/>
    <w:locked/>
    <w:rsid w:val="00DB55B9"/>
    <w:rPr>
      <w:rFonts w:eastAsia="Calibri"/>
      <w:color w:val="000000"/>
      <w:sz w:val="16"/>
      <w:szCs w:val="16"/>
    </w:rPr>
  </w:style>
  <w:style w:type="paragraph" w:styleId="BodyTextFirstIndent">
    <w:name w:val="Body Text First Indent"/>
    <w:basedOn w:val="BodyText"/>
    <w:link w:val="BodyTextFirstIndentChar"/>
    <w:uiPriority w:val="99"/>
    <w:semiHidden/>
    <w:locked/>
    <w:rsid w:val="00E251B6"/>
    <w:pPr>
      <w:ind w:firstLine="210"/>
    </w:pPr>
  </w:style>
  <w:style w:type="character" w:customStyle="1" w:styleId="BodyTextFirstIndentChar">
    <w:name w:val="Body Text First Indent Char"/>
    <w:basedOn w:val="BodyTextChar"/>
    <w:link w:val="BodyTextFirstIndent"/>
    <w:uiPriority w:val="99"/>
    <w:semiHidden/>
    <w:locked/>
    <w:rsid w:val="00DB55B9"/>
    <w:rPr>
      <w:rFonts w:eastAsia="Calibri"/>
      <w:color w:val="000000"/>
      <w:sz w:val="24"/>
    </w:rPr>
  </w:style>
  <w:style w:type="paragraph" w:styleId="BodyTextIndent">
    <w:name w:val="Body Text Indent"/>
    <w:basedOn w:val="Normal"/>
    <w:link w:val="BodyTextIndentChar"/>
    <w:uiPriority w:val="99"/>
    <w:semiHidden/>
    <w:locked/>
    <w:rsid w:val="00E251B6"/>
    <w:pPr>
      <w:ind w:left="283"/>
    </w:pPr>
  </w:style>
  <w:style w:type="character" w:customStyle="1" w:styleId="BodyTextIndentChar">
    <w:name w:val="Body Text Indent Char"/>
    <w:basedOn w:val="DefaultParagraphFont"/>
    <w:link w:val="BodyTextIndent"/>
    <w:uiPriority w:val="99"/>
    <w:semiHidden/>
    <w:locked/>
    <w:rsid w:val="00DB55B9"/>
    <w:rPr>
      <w:rFonts w:eastAsia="Calibri"/>
      <w:color w:val="000000"/>
    </w:rPr>
  </w:style>
  <w:style w:type="paragraph" w:styleId="BodyTextFirstIndent2">
    <w:name w:val="Body Text First Indent 2"/>
    <w:basedOn w:val="BodyTextIndent"/>
    <w:link w:val="BodyTextFirstIndent2Char"/>
    <w:uiPriority w:val="99"/>
    <w:semiHidden/>
    <w:locked/>
    <w:rsid w:val="00E251B6"/>
    <w:pPr>
      <w:ind w:firstLine="210"/>
    </w:pPr>
  </w:style>
  <w:style w:type="character" w:customStyle="1" w:styleId="BodyTextFirstIndent2Char">
    <w:name w:val="Body Text First Indent 2 Char"/>
    <w:basedOn w:val="BodyTextIndentChar"/>
    <w:link w:val="BodyTextFirstIndent2"/>
    <w:uiPriority w:val="99"/>
    <w:semiHidden/>
    <w:locked/>
    <w:rsid w:val="00DB55B9"/>
    <w:rPr>
      <w:rFonts w:eastAsia="Calibri"/>
      <w:color w:val="000000"/>
    </w:rPr>
  </w:style>
  <w:style w:type="paragraph" w:styleId="BodyTextIndent2">
    <w:name w:val="Body Text Indent 2"/>
    <w:basedOn w:val="Normal"/>
    <w:link w:val="BodyTextIndent2Char"/>
    <w:uiPriority w:val="99"/>
    <w:semiHidden/>
    <w:locked/>
    <w:rsid w:val="00E251B6"/>
    <w:pPr>
      <w:spacing w:line="480" w:lineRule="auto"/>
      <w:ind w:left="283"/>
    </w:pPr>
  </w:style>
  <w:style w:type="character" w:customStyle="1" w:styleId="BodyTextIndent2Char">
    <w:name w:val="Body Text Indent 2 Char"/>
    <w:basedOn w:val="DefaultParagraphFont"/>
    <w:link w:val="BodyTextIndent2"/>
    <w:uiPriority w:val="99"/>
    <w:semiHidden/>
    <w:locked/>
    <w:rsid w:val="00DB55B9"/>
    <w:rPr>
      <w:rFonts w:eastAsia="Calibri"/>
      <w:color w:val="000000"/>
    </w:rPr>
  </w:style>
  <w:style w:type="paragraph" w:styleId="BodyTextIndent3">
    <w:name w:val="Body Text Indent 3"/>
    <w:basedOn w:val="Normal"/>
    <w:link w:val="BodyTextIndent3Char"/>
    <w:uiPriority w:val="99"/>
    <w:semiHidden/>
    <w:locked/>
    <w:rsid w:val="00E251B6"/>
    <w:pPr>
      <w:ind w:left="283"/>
    </w:pPr>
    <w:rPr>
      <w:sz w:val="16"/>
      <w:szCs w:val="16"/>
    </w:rPr>
  </w:style>
  <w:style w:type="character" w:customStyle="1" w:styleId="BodyTextIndent3Char">
    <w:name w:val="Body Text Indent 3 Char"/>
    <w:basedOn w:val="DefaultParagraphFont"/>
    <w:link w:val="BodyTextIndent3"/>
    <w:uiPriority w:val="99"/>
    <w:semiHidden/>
    <w:locked/>
    <w:rsid w:val="00DB55B9"/>
    <w:rPr>
      <w:rFonts w:eastAsia="Calibri"/>
      <w:color w:val="000000"/>
      <w:sz w:val="16"/>
      <w:szCs w:val="16"/>
    </w:rPr>
  </w:style>
  <w:style w:type="paragraph" w:styleId="Closing">
    <w:name w:val="Closing"/>
    <w:basedOn w:val="Normal"/>
    <w:link w:val="ClosingChar"/>
    <w:uiPriority w:val="99"/>
    <w:semiHidden/>
    <w:locked/>
    <w:rsid w:val="00E251B6"/>
    <w:pPr>
      <w:ind w:left="4252"/>
    </w:pPr>
  </w:style>
  <w:style w:type="character" w:customStyle="1" w:styleId="ClosingChar">
    <w:name w:val="Closing Char"/>
    <w:basedOn w:val="DefaultParagraphFont"/>
    <w:link w:val="Closing"/>
    <w:uiPriority w:val="99"/>
    <w:semiHidden/>
    <w:locked/>
    <w:rsid w:val="00DB55B9"/>
    <w:rPr>
      <w:rFonts w:eastAsia="Calibri"/>
      <w:color w:val="000000"/>
    </w:rPr>
  </w:style>
  <w:style w:type="paragraph" w:styleId="Date">
    <w:name w:val="Date"/>
    <w:basedOn w:val="Normal"/>
    <w:next w:val="Normal"/>
    <w:link w:val="DateChar"/>
    <w:uiPriority w:val="99"/>
    <w:semiHidden/>
    <w:locked/>
    <w:rsid w:val="00E251B6"/>
  </w:style>
  <w:style w:type="character" w:customStyle="1" w:styleId="DateChar">
    <w:name w:val="Date Char"/>
    <w:basedOn w:val="DefaultParagraphFont"/>
    <w:link w:val="Date"/>
    <w:uiPriority w:val="99"/>
    <w:semiHidden/>
    <w:locked/>
    <w:rsid w:val="00DB55B9"/>
    <w:rPr>
      <w:rFonts w:eastAsia="Calibri"/>
      <w:color w:val="000000"/>
    </w:rPr>
  </w:style>
  <w:style w:type="paragraph" w:styleId="E-mailSignature">
    <w:name w:val="E-mail Signature"/>
    <w:basedOn w:val="Normal"/>
    <w:link w:val="E-mailSignatureChar"/>
    <w:uiPriority w:val="99"/>
    <w:semiHidden/>
    <w:locked/>
    <w:rsid w:val="00E251B6"/>
  </w:style>
  <w:style w:type="character" w:customStyle="1" w:styleId="E-mailSignatureChar">
    <w:name w:val="E-mail Signature Char"/>
    <w:basedOn w:val="DefaultParagraphFont"/>
    <w:link w:val="E-mailSignature"/>
    <w:uiPriority w:val="99"/>
    <w:semiHidden/>
    <w:locked/>
    <w:rsid w:val="00DB55B9"/>
    <w:rPr>
      <w:rFonts w:eastAsia="Calibri"/>
      <w:color w:val="000000"/>
    </w:rPr>
  </w:style>
  <w:style w:type="character" w:styleId="Emphasis">
    <w:name w:val="Emphasis"/>
    <w:basedOn w:val="DefaultParagraphFont"/>
    <w:uiPriority w:val="20"/>
    <w:qFormat/>
    <w:locked/>
    <w:rsid w:val="001249CC"/>
    <w:rPr>
      <w:rFonts w:cs="Times New Roman"/>
      <w:i/>
      <w:iCs/>
    </w:rPr>
  </w:style>
  <w:style w:type="paragraph" w:styleId="EnvelopeAddress">
    <w:name w:val="envelope address"/>
    <w:basedOn w:val="Normal"/>
    <w:uiPriority w:val="99"/>
    <w:semiHidden/>
    <w:locked/>
    <w:rsid w:val="00E251B6"/>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uiPriority w:val="99"/>
    <w:semiHidden/>
    <w:locked/>
    <w:rsid w:val="00E251B6"/>
    <w:rPr>
      <w:rFonts w:ascii="Arial" w:hAnsi="Arial" w:cs="Arial"/>
      <w:sz w:val="20"/>
      <w:szCs w:val="20"/>
    </w:rPr>
  </w:style>
  <w:style w:type="character" w:styleId="FollowedHyperlink">
    <w:name w:val="FollowedHyperlink"/>
    <w:basedOn w:val="DefaultParagraphFont"/>
    <w:uiPriority w:val="99"/>
    <w:semiHidden/>
    <w:locked/>
    <w:rsid w:val="003D6565"/>
    <w:rPr>
      <w:rFonts w:cs="Times New Roman"/>
      <w:color w:val="auto"/>
      <w:u w:val="none"/>
    </w:rPr>
  </w:style>
  <w:style w:type="character" w:styleId="FootnoteReference">
    <w:name w:val="footnote reference"/>
    <w:basedOn w:val="DefaultParagraphFont"/>
    <w:uiPriority w:val="99"/>
    <w:locked/>
    <w:rsid w:val="00E251B6"/>
    <w:rPr>
      <w:rFonts w:cs="Times New Roman"/>
      <w:vertAlign w:val="superscript"/>
    </w:rPr>
  </w:style>
  <w:style w:type="character" w:styleId="HTMLAcronym">
    <w:name w:val="HTML Acronym"/>
    <w:basedOn w:val="DefaultParagraphFont"/>
    <w:uiPriority w:val="99"/>
    <w:semiHidden/>
    <w:locked/>
    <w:rsid w:val="00E251B6"/>
    <w:rPr>
      <w:rFonts w:cs="Times New Roman"/>
    </w:rPr>
  </w:style>
  <w:style w:type="paragraph" w:styleId="HTMLAddress">
    <w:name w:val="HTML Address"/>
    <w:basedOn w:val="Normal"/>
    <w:link w:val="HTMLAddressChar"/>
    <w:uiPriority w:val="99"/>
    <w:semiHidden/>
    <w:locked/>
    <w:rsid w:val="00E251B6"/>
    <w:rPr>
      <w:i/>
      <w:iCs/>
    </w:rPr>
  </w:style>
  <w:style w:type="character" w:customStyle="1" w:styleId="HTMLAddressChar">
    <w:name w:val="HTML Address Char"/>
    <w:basedOn w:val="DefaultParagraphFont"/>
    <w:link w:val="HTMLAddress"/>
    <w:uiPriority w:val="99"/>
    <w:semiHidden/>
    <w:locked/>
    <w:rsid w:val="00DB55B9"/>
    <w:rPr>
      <w:rFonts w:eastAsia="Calibri"/>
      <w:i/>
      <w:iCs/>
      <w:color w:val="000000"/>
    </w:rPr>
  </w:style>
  <w:style w:type="character" w:styleId="HTMLCite">
    <w:name w:val="HTML Cite"/>
    <w:basedOn w:val="DefaultParagraphFont"/>
    <w:uiPriority w:val="99"/>
    <w:semiHidden/>
    <w:locked/>
    <w:rsid w:val="00E251B6"/>
    <w:rPr>
      <w:rFonts w:cs="Times New Roman"/>
      <w:i/>
      <w:iCs/>
    </w:rPr>
  </w:style>
  <w:style w:type="character" w:styleId="HTMLCode">
    <w:name w:val="HTML Code"/>
    <w:basedOn w:val="DefaultParagraphFont"/>
    <w:uiPriority w:val="99"/>
    <w:semiHidden/>
    <w:locked/>
    <w:rsid w:val="00E251B6"/>
    <w:rPr>
      <w:rFonts w:ascii="Courier New" w:hAnsi="Courier New" w:cs="Courier New"/>
      <w:sz w:val="20"/>
      <w:szCs w:val="20"/>
    </w:rPr>
  </w:style>
  <w:style w:type="character" w:styleId="HTMLDefinition">
    <w:name w:val="HTML Definition"/>
    <w:basedOn w:val="DefaultParagraphFont"/>
    <w:uiPriority w:val="99"/>
    <w:semiHidden/>
    <w:locked/>
    <w:rsid w:val="00E251B6"/>
    <w:rPr>
      <w:rFonts w:cs="Times New Roman"/>
      <w:i/>
      <w:iCs/>
    </w:rPr>
  </w:style>
  <w:style w:type="character" w:styleId="HTMLKeyboard">
    <w:name w:val="HTML Keyboard"/>
    <w:basedOn w:val="DefaultParagraphFont"/>
    <w:uiPriority w:val="99"/>
    <w:semiHidden/>
    <w:locked/>
    <w:rsid w:val="00E251B6"/>
    <w:rPr>
      <w:rFonts w:ascii="Courier New" w:hAnsi="Courier New" w:cs="Courier New"/>
      <w:sz w:val="20"/>
      <w:szCs w:val="20"/>
    </w:rPr>
  </w:style>
  <w:style w:type="paragraph" w:styleId="HTMLPreformatted">
    <w:name w:val="HTML Preformatted"/>
    <w:basedOn w:val="Normal"/>
    <w:link w:val="HTMLPreformattedChar"/>
    <w:uiPriority w:val="99"/>
    <w:semiHidden/>
    <w:locked/>
    <w:rsid w:val="00E251B6"/>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DB55B9"/>
    <w:rPr>
      <w:rFonts w:ascii="Courier New" w:eastAsia="Calibri" w:hAnsi="Courier New" w:cs="Courier New"/>
      <w:color w:val="000000"/>
      <w:sz w:val="20"/>
      <w:szCs w:val="20"/>
    </w:rPr>
  </w:style>
  <w:style w:type="character" w:styleId="HTMLSample">
    <w:name w:val="HTML Sample"/>
    <w:basedOn w:val="DefaultParagraphFont"/>
    <w:uiPriority w:val="99"/>
    <w:semiHidden/>
    <w:locked/>
    <w:rsid w:val="00E251B6"/>
    <w:rPr>
      <w:rFonts w:ascii="Courier New" w:hAnsi="Courier New" w:cs="Courier New"/>
    </w:rPr>
  </w:style>
  <w:style w:type="character" w:styleId="HTMLTypewriter">
    <w:name w:val="HTML Typewriter"/>
    <w:basedOn w:val="DefaultParagraphFont"/>
    <w:uiPriority w:val="99"/>
    <w:semiHidden/>
    <w:locked/>
    <w:rsid w:val="00E251B6"/>
    <w:rPr>
      <w:rFonts w:ascii="Courier New" w:hAnsi="Courier New" w:cs="Courier New"/>
      <w:sz w:val="20"/>
      <w:szCs w:val="20"/>
    </w:rPr>
  </w:style>
  <w:style w:type="character" w:styleId="HTMLVariable">
    <w:name w:val="HTML Variable"/>
    <w:basedOn w:val="DefaultParagraphFont"/>
    <w:uiPriority w:val="99"/>
    <w:semiHidden/>
    <w:locked/>
    <w:rsid w:val="00E251B6"/>
    <w:rPr>
      <w:rFonts w:cs="Times New Roman"/>
      <w:i/>
      <w:iCs/>
    </w:rPr>
  </w:style>
  <w:style w:type="character" w:styleId="LineNumber">
    <w:name w:val="line number"/>
    <w:basedOn w:val="DefaultParagraphFont"/>
    <w:uiPriority w:val="99"/>
    <w:semiHidden/>
    <w:locked/>
    <w:rsid w:val="00E251B6"/>
    <w:rPr>
      <w:rFonts w:cs="Times New Roman"/>
    </w:rPr>
  </w:style>
  <w:style w:type="paragraph" w:styleId="List">
    <w:name w:val="List"/>
    <w:basedOn w:val="Normal"/>
    <w:uiPriority w:val="99"/>
    <w:semiHidden/>
    <w:locked/>
    <w:rsid w:val="00E251B6"/>
    <w:pPr>
      <w:ind w:left="283" w:hanging="283"/>
    </w:pPr>
  </w:style>
  <w:style w:type="paragraph" w:styleId="List2">
    <w:name w:val="List 2"/>
    <w:basedOn w:val="Normal"/>
    <w:uiPriority w:val="99"/>
    <w:semiHidden/>
    <w:locked/>
    <w:rsid w:val="00E251B6"/>
    <w:pPr>
      <w:ind w:left="566" w:hanging="283"/>
    </w:pPr>
  </w:style>
  <w:style w:type="paragraph" w:styleId="List3">
    <w:name w:val="List 3"/>
    <w:basedOn w:val="Normal"/>
    <w:uiPriority w:val="99"/>
    <w:semiHidden/>
    <w:locked/>
    <w:rsid w:val="00E251B6"/>
    <w:pPr>
      <w:ind w:left="849" w:hanging="283"/>
    </w:pPr>
  </w:style>
  <w:style w:type="paragraph" w:styleId="List4">
    <w:name w:val="List 4"/>
    <w:basedOn w:val="Normal"/>
    <w:uiPriority w:val="99"/>
    <w:semiHidden/>
    <w:locked/>
    <w:rsid w:val="00E251B6"/>
    <w:pPr>
      <w:ind w:left="1132" w:hanging="283"/>
    </w:pPr>
  </w:style>
  <w:style w:type="paragraph" w:styleId="List5">
    <w:name w:val="List 5"/>
    <w:basedOn w:val="Normal"/>
    <w:uiPriority w:val="99"/>
    <w:semiHidden/>
    <w:locked/>
    <w:rsid w:val="00E251B6"/>
    <w:pPr>
      <w:ind w:left="1415" w:hanging="283"/>
    </w:pPr>
  </w:style>
  <w:style w:type="paragraph" w:styleId="ListBullet4">
    <w:name w:val="List Bullet 4"/>
    <w:basedOn w:val="Normal"/>
    <w:uiPriority w:val="99"/>
    <w:semiHidden/>
    <w:locked/>
    <w:rsid w:val="00E251B6"/>
    <w:pPr>
      <w:numPr>
        <w:numId w:val="1"/>
      </w:numPr>
      <w:tabs>
        <w:tab w:val="num" w:pos="1209"/>
      </w:tabs>
      <w:ind w:left="1209"/>
    </w:pPr>
  </w:style>
  <w:style w:type="paragraph" w:styleId="ListBullet5">
    <w:name w:val="List Bullet 5"/>
    <w:basedOn w:val="Normal"/>
    <w:uiPriority w:val="99"/>
    <w:semiHidden/>
    <w:locked/>
    <w:rsid w:val="00E251B6"/>
    <w:pPr>
      <w:numPr>
        <w:numId w:val="2"/>
      </w:numPr>
      <w:tabs>
        <w:tab w:val="num" w:pos="926"/>
        <w:tab w:val="num" w:pos="1492"/>
      </w:tabs>
      <w:ind w:left="1492"/>
    </w:pPr>
  </w:style>
  <w:style w:type="paragraph" w:styleId="ListContinue">
    <w:name w:val="List Continue"/>
    <w:basedOn w:val="Normal"/>
    <w:uiPriority w:val="99"/>
    <w:semiHidden/>
    <w:locked/>
    <w:rsid w:val="00E251B6"/>
    <w:pPr>
      <w:ind w:left="283"/>
    </w:pPr>
  </w:style>
  <w:style w:type="paragraph" w:styleId="ListContinue2">
    <w:name w:val="List Continue 2"/>
    <w:basedOn w:val="Normal"/>
    <w:uiPriority w:val="99"/>
    <w:semiHidden/>
    <w:locked/>
    <w:rsid w:val="00E251B6"/>
    <w:pPr>
      <w:ind w:left="566"/>
    </w:pPr>
  </w:style>
  <w:style w:type="paragraph" w:styleId="ListContinue3">
    <w:name w:val="List Continue 3"/>
    <w:basedOn w:val="Normal"/>
    <w:uiPriority w:val="99"/>
    <w:semiHidden/>
    <w:locked/>
    <w:rsid w:val="00E251B6"/>
    <w:pPr>
      <w:ind w:left="849"/>
    </w:pPr>
  </w:style>
  <w:style w:type="paragraph" w:styleId="ListContinue4">
    <w:name w:val="List Continue 4"/>
    <w:basedOn w:val="Normal"/>
    <w:uiPriority w:val="99"/>
    <w:semiHidden/>
    <w:locked/>
    <w:rsid w:val="00E251B6"/>
    <w:pPr>
      <w:ind w:left="1132"/>
    </w:pPr>
  </w:style>
  <w:style w:type="paragraph" w:styleId="ListContinue5">
    <w:name w:val="List Continue 5"/>
    <w:basedOn w:val="Normal"/>
    <w:uiPriority w:val="99"/>
    <w:semiHidden/>
    <w:locked/>
    <w:rsid w:val="00E251B6"/>
    <w:pPr>
      <w:ind w:left="1415"/>
    </w:pPr>
  </w:style>
  <w:style w:type="paragraph" w:styleId="ListNumber3">
    <w:name w:val="List Number 3"/>
    <w:basedOn w:val="ListNumber2"/>
    <w:uiPriority w:val="99"/>
    <w:locked/>
    <w:rsid w:val="00D349D1"/>
    <w:pPr>
      <w:numPr>
        <w:numId w:val="16"/>
      </w:numPr>
      <w:tabs>
        <w:tab w:val="clear" w:pos="397"/>
      </w:tabs>
      <w:ind w:left="1078" w:hanging="284"/>
    </w:pPr>
  </w:style>
  <w:style w:type="paragraph" w:styleId="ListNumber4">
    <w:name w:val="List Number 4"/>
    <w:basedOn w:val="Normal"/>
    <w:uiPriority w:val="99"/>
    <w:semiHidden/>
    <w:locked/>
    <w:rsid w:val="00E251B6"/>
    <w:pPr>
      <w:numPr>
        <w:numId w:val="3"/>
      </w:numPr>
    </w:pPr>
  </w:style>
  <w:style w:type="paragraph" w:styleId="ListNumber5">
    <w:name w:val="List Number 5"/>
    <w:basedOn w:val="Normal"/>
    <w:uiPriority w:val="99"/>
    <w:semiHidden/>
    <w:locked/>
    <w:rsid w:val="00E251B6"/>
    <w:pPr>
      <w:numPr>
        <w:numId w:val="4"/>
      </w:numPr>
    </w:pPr>
  </w:style>
  <w:style w:type="paragraph" w:styleId="MessageHeader">
    <w:name w:val="Message Header"/>
    <w:basedOn w:val="Normal"/>
    <w:link w:val="MessageHeaderChar"/>
    <w:uiPriority w:val="99"/>
    <w:semiHidden/>
    <w:locked/>
    <w:rsid w:val="00E251B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uiPriority w:val="99"/>
    <w:semiHidden/>
    <w:locked/>
    <w:rsid w:val="00DB55B9"/>
    <w:rPr>
      <w:rFonts w:ascii="Arial" w:eastAsia="Calibri" w:hAnsi="Arial" w:cs="Arial"/>
      <w:color w:val="000000"/>
      <w:sz w:val="24"/>
      <w:szCs w:val="24"/>
      <w:shd w:val="pct20" w:color="auto" w:fill="auto"/>
    </w:rPr>
  </w:style>
  <w:style w:type="paragraph" w:styleId="NormalWeb">
    <w:name w:val="Normal (Web)"/>
    <w:basedOn w:val="Normal"/>
    <w:uiPriority w:val="99"/>
    <w:semiHidden/>
    <w:locked/>
    <w:rsid w:val="00E251B6"/>
    <w:rPr>
      <w:rFonts w:ascii="Times New Roman" w:hAnsi="Times New Roman"/>
      <w:sz w:val="24"/>
      <w:szCs w:val="24"/>
    </w:rPr>
  </w:style>
  <w:style w:type="paragraph" w:styleId="NormalIndent">
    <w:name w:val="Normal Indent"/>
    <w:basedOn w:val="Normal"/>
    <w:uiPriority w:val="99"/>
    <w:semiHidden/>
    <w:locked/>
    <w:rsid w:val="00E251B6"/>
    <w:pPr>
      <w:ind w:left="720"/>
    </w:pPr>
  </w:style>
  <w:style w:type="paragraph" w:styleId="NoteHeading">
    <w:name w:val="Note Heading"/>
    <w:basedOn w:val="Normal"/>
    <w:next w:val="Normal"/>
    <w:link w:val="NoteHeadingChar"/>
    <w:uiPriority w:val="99"/>
    <w:semiHidden/>
    <w:locked/>
    <w:rsid w:val="00E251B6"/>
  </w:style>
  <w:style w:type="character" w:customStyle="1" w:styleId="NoteHeadingChar">
    <w:name w:val="Note Heading Char"/>
    <w:basedOn w:val="DefaultParagraphFont"/>
    <w:link w:val="NoteHeading"/>
    <w:uiPriority w:val="99"/>
    <w:semiHidden/>
    <w:locked/>
    <w:rsid w:val="00DB55B9"/>
    <w:rPr>
      <w:rFonts w:eastAsia="Calibri"/>
      <w:color w:val="000000"/>
    </w:rPr>
  </w:style>
  <w:style w:type="paragraph" w:styleId="PlainText">
    <w:name w:val="Plain Text"/>
    <w:basedOn w:val="Normal"/>
    <w:link w:val="PlainTextChar"/>
    <w:uiPriority w:val="99"/>
    <w:semiHidden/>
    <w:locked/>
    <w:rsid w:val="00E251B6"/>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DB55B9"/>
    <w:rPr>
      <w:rFonts w:ascii="Courier New" w:eastAsia="Calibri" w:hAnsi="Courier New" w:cs="Courier New"/>
      <w:color w:val="000000"/>
      <w:sz w:val="20"/>
      <w:szCs w:val="20"/>
    </w:rPr>
  </w:style>
  <w:style w:type="paragraph" w:styleId="Salutation">
    <w:name w:val="Salutation"/>
    <w:basedOn w:val="Normal"/>
    <w:next w:val="Normal"/>
    <w:link w:val="SalutationChar"/>
    <w:uiPriority w:val="99"/>
    <w:semiHidden/>
    <w:locked/>
    <w:rsid w:val="00E251B6"/>
  </w:style>
  <w:style w:type="character" w:customStyle="1" w:styleId="SalutationChar">
    <w:name w:val="Salutation Char"/>
    <w:basedOn w:val="DefaultParagraphFont"/>
    <w:link w:val="Salutation"/>
    <w:uiPriority w:val="99"/>
    <w:semiHidden/>
    <w:locked/>
    <w:rsid w:val="00DB55B9"/>
    <w:rPr>
      <w:rFonts w:eastAsia="Calibri"/>
      <w:color w:val="000000"/>
    </w:rPr>
  </w:style>
  <w:style w:type="paragraph" w:styleId="Signature">
    <w:name w:val="Signature"/>
    <w:basedOn w:val="Normal"/>
    <w:link w:val="SignatureChar"/>
    <w:uiPriority w:val="99"/>
    <w:semiHidden/>
    <w:locked/>
    <w:rsid w:val="00E251B6"/>
    <w:pPr>
      <w:ind w:left="4252"/>
    </w:pPr>
  </w:style>
  <w:style w:type="character" w:customStyle="1" w:styleId="SignatureChar">
    <w:name w:val="Signature Char"/>
    <w:basedOn w:val="DefaultParagraphFont"/>
    <w:link w:val="Signature"/>
    <w:uiPriority w:val="99"/>
    <w:semiHidden/>
    <w:locked/>
    <w:rsid w:val="00DB55B9"/>
    <w:rPr>
      <w:rFonts w:eastAsia="Calibri"/>
      <w:color w:val="000000"/>
    </w:rPr>
  </w:style>
  <w:style w:type="character" w:styleId="Strong">
    <w:name w:val="Strong"/>
    <w:basedOn w:val="DefaultParagraphFont"/>
    <w:uiPriority w:val="99"/>
    <w:qFormat/>
    <w:locked/>
    <w:rsid w:val="001249CC"/>
    <w:rPr>
      <w:rFonts w:cs="Times New Roman"/>
      <w:b/>
      <w:bCs/>
    </w:rPr>
  </w:style>
  <w:style w:type="table" w:styleId="Table3Deffects1">
    <w:name w:val="Table 3D effects 1"/>
    <w:basedOn w:val="TableNormal"/>
    <w:uiPriority w:val="99"/>
    <w:locked/>
    <w:rsid w:val="00E251B6"/>
    <w:pPr>
      <w:spacing w:after="120"/>
    </w:pPr>
    <w:rPr>
      <w:rFonts w:eastAsia="Times New Roman"/>
      <w:sz w:val="20"/>
      <w:szCs w:val="20"/>
    </w:rP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locked/>
    <w:rsid w:val="00E251B6"/>
    <w:pPr>
      <w:spacing w:after="120"/>
    </w:pPr>
    <w:rPr>
      <w:rFonts w:eastAsia="Times New Roman"/>
      <w:sz w:val="20"/>
      <w:szCs w:val="20"/>
    </w:rPr>
    <w:tblPr>
      <w:tblStyleRowBandSize w:val="1"/>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3Deffects3">
    <w:name w:val="Table 3D effects 3"/>
    <w:basedOn w:val="TableNormal"/>
    <w:uiPriority w:val="99"/>
    <w:locked/>
    <w:rsid w:val="00E251B6"/>
    <w:pPr>
      <w:spacing w:after="120"/>
    </w:pPr>
    <w:rPr>
      <w:rFonts w:eastAsia="Times New Roman"/>
      <w:sz w:val="20"/>
      <w:szCs w:val="20"/>
    </w:rPr>
    <w:tblPr>
      <w:tblStyleRowBandSize w:val="1"/>
      <w:tblStyleColBandSize w:val="1"/>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1">
    <w:name w:val="Table Classic 1"/>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2">
    <w:name w:val="Table Classic 2"/>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Classic3">
    <w:name w:val="Table Classic 3"/>
    <w:basedOn w:val="TableNormal"/>
    <w:uiPriority w:val="99"/>
    <w:locked/>
    <w:rsid w:val="00E251B6"/>
    <w:pPr>
      <w:spacing w:after="120"/>
    </w:pPr>
    <w:rPr>
      <w:rFonts w:eastAsia="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Classic4">
    <w:name w:val="Table Classic 4"/>
    <w:basedOn w:val="TableNormal"/>
    <w:uiPriority w:val="99"/>
    <w:locked/>
    <w:rsid w:val="00E251B6"/>
    <w:pPr>
      <w:spacing w:after="120"/>
    </w:pPr>
    <w:rPr>
      <w:rFonts w:eastAsia="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orful1">
    <w:name w:val="Table Colorful 1"/>
    <w:basedOn w:val="TableNormal"/>
    <w:uiPriority w:val="99"/>
    <w:locked/>
    <w:rsid w:val="00E251B6"/>
    <w:pPr>
      <w:spacing w:after="120"/>
    </w:pPr>
    <w:rPr>
      <w:rFonts w:eastAsia="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Colorful2">
    <w:name w:val="Table Colorful 2"/>
    <w:basedOn w:val="TableNormal"/>
    <w:uiPriority w:val="99"/>
    <w:locked/>
    <w:rsid w:val="00E251B6"/>
    <w:pPr>
      <w:spacing w:after="120"/>
    </w:pPr>
    <w:rPr>
      <w:rFonts w:eastAsia="Times New Roman"/>
      <w:sz w:val="20"/>
      <w:szCs w:val="20"/>
    </w:rPr>
    <w:tblPr>
      <w:tblBorders>
        <w:bottom w:val="single" w:sz="12" w:space="0" w:color="000000"/>
      </w:tblBorders>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Colorful3">
    <w:name w:val="Table Colorful 3"/>
    <w:basedOn w:val="TableNormal"/>
    <w:uiPriority w:val="99"/>
    <w:locked/>
    <w:rsid w:val="00E251B6"/>
    <w:pPr>
      <w:spacing w:after="120"/>
    </w:pPr>
    <w:rPr>
      <w:rFonts w:eastAsia="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locked/>
    <w:rsid w:val="00E251B6"/>
    <w:pPr>
      <w:spacing w:after="120"/>
    </w:pPr>
    <w:rPr>
      <w:rFonts w:eastAsia="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2">
    <w:name w:val="Table Columns 2"/>
    <w:basedOn w:val="TableNormal"/>
    <w:uiPriority w:val="99"/>
    <w:locked/>
    <w:rsid w:val="00E251B6"/>
    <w:pPr>
      <w:spacing w:after="120"/>
    </w:pPr>
    <w:rPr>
      <w:rFonts w:eastAsia="Times New Roman"/>
      <w:b/>
      <w:bCs/>
      <w:sz w:val="20"/>
      <w:szCs w:val="20"/>
    </w:rPr>
    <w:tblPr>
      <w:tblStyleColBandSize w:val="1"/>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3">
    <w:name w:val="Table Columns 3"/>
    <w:basedOn w:val="TableNormal"/>
    <w:uiPriority w:val="99"/>
    <w:locked/>
    <w:rsid w:val="00E251B6"/>
    <w:pPr>
      <w:spacing w:after="120"/>
    </w:pPr>
    <w:rPr>
      <w:rFonts w:eastAsia="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TableColumns4">
    <w:name w:val="Table Columns 4"/>
    <w:basedOn w:val="TableNormal"/>
    <w:uiPriority w:val="99"/>
    <w:locked/>
    <w:rsid w:val="00E251B6"/>
    <w:pPr>
      <w:spacing w:after="120"/>
    </w:pPr>
    <w:rPr>
      <w:rFonts w:eastAsia="Times New Roman"/>
      <w:sz w:val="20"/>
      <w:szCs w:val="20"/>
    </w:rPr>
    <w:tblPr>
      <w:tblStyleColBandSize w:val="1"/>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TableColumns5">
    <w:name w:val="Table Columns 5"/>
    <w:basedOn w:val="TableNormal"/>
    <w:uiPriority w:val="99"/>
    <w:locked/>
    <w:rsid w:val="00E251B6"/>
    <w:pPr>
      <w:spacing w:after="120"/>
    </w:pPr>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Contemporary">
    <w:name w:val="Table Contemporary"/>
    <w:basedOn w:val="TableNormal"/>
    <w:uiPriority w:val="99"/>
    <w:locked/>
    <w:rsid w:val="00E251B6"/>
    <w:pPr>
      <w:spacing w:after="120"/>
    </w:pPr>
    <w:rPr>
      <w:rFonts w:eastAsia="Times New Roman"/>
      <w:sz w:val="20"/>
      <w:szCs w:val="20"/>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locked/>
    <w:rsid w:val="00E251B6"/>
    <w:pPr>
      <w:spacing w:after="120"/>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table" w:styleId="TableGrid1">
    <w:name w:val="Table Grid 1"/>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2">
    <w:name w:val="Table Grid 2"/>
    <w:basedOn w:val="TableNormal"/>
    <w:uiPriority w:val="99"/>
    <w:locked/>
    <w:rsid w:val="00E251B6"/>
    <w:pPr>
      <w:spacing w:after="120"/>
    </w:pPr>
    <w:rPr>
      <w:rFonts w:eastAsia="Times New Roman"/>
      <w:sz w:val="20"/>
      <w:szCs w:val="20"/>
    </w:rPr>
    <w:tblPr>
      <w:tblBorders>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3">
    <w:name w:val="Table Grid 3"/>
    <w:basedOn w:val="TableNormal"/>
    <w:uiPriority w:val="99"/>
    <w:locked/>
    <w:rsid w:val="00E251B6"/>
    <w:pPr>
      <w:spacing w:after="120"/>
    </w:pPr>
    <w:rPr>
      <w:rFonts w:eastAsia="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4">
    <w:name w:val="Table Grid 4"/>
    <w:basedOn w:val="TableNormal"/>
    <w:uiPriority w:val="99"/>
    <w:locked/>
    <w:rsid w:val="00E251B6"/>
    <w:pPr>
      <w:spacing w:after="120"/>
    </w:pPr>
    <w:rPr>
      <w:rFonts w:eastAsia="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TableGrid5">
    <w:name w:val="Table Grid 5"/>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locked/>
    <w:rsid w:val="00E251B6"/>
    <w:pPr>
      <w:spacing w:after="120"/>
    </w:pPr>
    <w:rPr>
      <w:rFonts w:eastAsia="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locked/>
    <w:rsid w:val="00E251B6"/>
    <w:pPr>
      <w:spacing w:after="120"/>
    </w:pPr>
    <w:rPr>
      <w:rFonts w:eastAsia="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List1">
    <w:name w:val="Table List 1"/>
    <w:basedOn w:val="TableNormal"/>
    <w:uiPriority w:val="99"/>
    <w:locked/>
    <w:rsid w:val="00E251B6"/>
    <w:pPr>
      <w:spacing w:after="120"/>
    </w:pPr>
    <w:rPr>
      <w:rFonts w:eastAsia="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2">
    <w:name w:val="Table List 2"/>
    <w:basedOn w:val="TableNormal"/>
    <w:uiPriority w:val="99"/>
    <w:locked/>
    <w:rsid w:val="00E251B6"/>
    <w:pPr>
      <w:spacing w:after="120"/>
    </w:pPr>
    <w:rPr>
      <w:rFonts w:eastAsia="Times New Roman"/>
      <w:sz w:val="20"/>
      <w:szCs w:val="20"/>
    </w:rPr>
    <w:tblPr>
      <w:tblStyleRowBandSize w:val="2"/>
      <w:tblBorders>
        <w:bottom w:val="single" w:sz="12" w:space="0" w:color="808080"/>
      </w:tblBorders>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3">
    <w:name w:val="Table List 3"/>
    <w:basedOn w:val="TableNormal"/>
    <w:uiPriority w:val="99"/>
    <w:locked/>
    <w:rsid w:val="00E251B6"/>
    <w:pPr>
      <w:spacing w:after="120"/>
    </w:pPr>
    <w:rPr>
      <w:rFonts w:eastAsia="Times New Roman"/>
      <w:sz w:val="20"/>
      <w:szCs w:val="20"/>
    </w:rPr>
    <w:tblPr>
      <w:tblBorders>
        <w:top w:val="single" w:sz="12" w:space="0" w:color="000000"/>
        <w:bottom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4">
    <w:name w:val="Table List 4"/>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List6">
    <w:name w:val="Table List 6"/>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locked/>
    <w:rsid w:val="00E251B6"/>
    <w:pPr>
      <w:spacing w:after="120"/>
    </w:pPr>
    <w:rPr>
      <w:rFonts w:eastAsia="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locked/>
    <w:rsid w:val="00E251B6"/>
    <w:pPr>
      <w:spacing w:after="120"/>
    </w:pPr>
    <w:rPr>
      <w:rFonts w:eastAsia="Times New Roman"/>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locked/>
    <w:rsid w:val="00E251B6"/>
    <w:pPr>
      <w:spacing w:after="120"/>
    </w:pPr>
    <w:rPr>
      <w:rFonts w:eastAsia="Times New Roman"/>
      <w:sz w:val="20"/>
      <w:szCs w:val="20"/>
    </w:rP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locked/>
    <w:rsid w:val="00E251B6"/>
    <w:pPr>
      <w:spacing w:after="120"/>
    </w:pPr>
    <w:rPr>
      <w:rFonts w:eastAsia="Times New Roman"/>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Subtle2">
    <w:name w:val="Table Subtle 2"/>
    <w:basedOn w:val="TableNormal"/>
    <w:uiPriority w:val="99"/>
    <w:locked/>
    <w:rsid w:val="00E251B6"/>
    <w:pPr>
      <w:spacing w:after="120"/>
    </w:pPr>
    <w:rPr>
      <w:rFonts w:eastAsia="Times New Roman"/>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Theme">
    <w:name w:val="Table Theme"/>
    <w:basedOn w:val="TableNormal"/>
    <w:uiPriority w:val="99"/>
    <w:locked/>
    <w:rsid w:val="00E251B6"/>
    <w:pPr>
      <w:spacing w:after="120"/>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locked/>
    <w:rsid w:val="00E251B6"/>
    <w:pPr>
      <w:spacing w:after="120"/>
    </w:pPr>
    <w:rPr>
      <w:rFonts w:eastAsia="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2">
    <w:name w:val="Table Web 2"/>
    <w:basedOn w:val="TableNormal"/>
    <w:uiPriority w:val="99"/>
    <w:locked/>
    <w:rsid w:val="00E251B6"/>
    <w:pPr>
      <w:spacing w:after="120"/>
    </w:pPr>
    <w:rPr>
      <w:rFonts w:eastAsia="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3">
    <w:name w:val="Table Web 3"/>
    <w:basedOn w:val="TableNormal"/>
    <w:uiPriority w:val="99"/>
    <w:locked/>
    <w:rsid w:val="00E251B6"/>
    <w:pPr>
      <w:spacing w:after="120"/>
    </w:pPr>
    <w:rPr>
      <w:rFonts w:eastAsia="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paragraph" w:customStyle="1" w:styleId="VersoPageHeading">
    <w:name w:val="Verso Page Heading"/>
    <w:uiPriority w:val="12"/>
    <w:qFormat/>
    <w:rsid w:val="00D1044D"/>
    <w:pPr>
      <w:spacing w:before="180" w:after="60"/>
    </w:pPr>
    <w:rPr>
      <w:rFonts w:eastAsia="Times New Roman"/>
      <w:bCs/>
      <w:color w:val="00313C" w:themeColor="accent2"/>
      <w:sz w:val="24"/>
      <w:szCs w:val="26"/>
      <w:lang w:eastAsia="en-US"/>
    </w:rPr>
  </w:style>
  <w:style w:type="paragraph" w:customStyle="1" w:styleId="BusinessUnitName">
    <w:name w:val="Business Unit Name"/>
    <w:uiPriority w:val="12"/>
    <w:qFormat/>
    <w:rsid w:val="00897FEE"/>
    <w:rPr>
      <w:b/>
      <w:caps/>
      <w:noProof/>
      <w:color w:val="FFFFFF"/>
      <w:spacing w:val="16"/>
      <w:szCs w:val="24"/>
      <w:lang w:eastAsia="en-US"/>
    </w:rPr>
  </w:style>
  <w:style w:type="character" w:styleId="CommentReference">
    <w:name w:val="annotation reference"/>
    <w:basedOn w:val="DefaultParagraphFont"/>
    <w:uiPriority w:val="99"/>
    <w:semiHidden/>
    <w:locked/>
    <w:rsid w:val="00AD275A"/>
    <w:rPr>
      <w:rFonts w:cs="Times New Roman"/>
      <w:sz w:val="16"/>
      <w:szCs w:val="16"/>
    </w:rPr>
  </w:style>
  <w:style w:type="paragraph" w:styleId="CommentText">
    <w:name w:val="annotation text"/>
    <w:basedOn w:val="Normal"/>
    <w:link w:val="CommentTextChar"/>
    <w:uiPriority w:val="99"/>
    <w:semiHidden/>
    <w:locked/>
    <w:rsid w:val="00AD275A"/>
    <w:rPr>
      <w:sz w:val="20"/>
      <w:szCs w:val="20"/>
    </w:rPr>
  </w:style>
  <w:style w:type="character" w:customStyle="1" w:styleId="CommentTextChar">
    <w:name w:val="Comment Text Char"/>
    <w:basedOn w:val="DefaultParagraphFont"/>
    <w:link w:val="CommentText"/>
    <w:uiPriority w:val="99"/>
    <w:semiHidden/>
    <w:rsid w:val="00DB55B9"/>
    <w:rPr>
      <w:rFonts w:eastAsia="Calibri"/>
      <w:color w:val="000000"/>
      <w:sz w:val="20"/>
      <w:szCs w:val="20"/>
    </w:rPr>
  </w:style>
  <w:style w:type="paragraph" w:styleId="CommentSubject">
    <w:name w:val="annotation subject"/>
    <w:basedOn w:val="CommentText"/>
    <w:next w:val="CommentText"/>
    <w:link w:val="CommentSubjectChar"/>
    <w:uiPriority w:val="99"/>
    <w:semiHidden/>
    <w:locked/>
    <w:rsid w:val="00AD275A"/>
    <w:rPr>
      <w:b/>
      <w:bCs/>
    </w:rPr>
  </w:style>
  <w:style w:type="character" w:customStyle="1" w:styleId="CommentSubjectChar">
    <w:name w:val="Comment Subject Char"/>
    <w:basedOn w:val="CommentTextChar"/>
    <w:link w:val="CommentSubject"/>
    <w:uiPriority w:val="99"/>
    <w:semiHidden/>
    <w:rsid w:val="00DB55B9"/>
    <w:rPr>
      <w:rFonts w:eastAsia="Calibri"/>
      <w:b/>
      <w:bCs/>
      <w:color w:val="000000"/>
      <w:sz w:val="20"/>
      <w:szCs w:val="20"/>
    </w:rPr>
  </w:style>
  <w:style w:type="paragraph" w:styleId="DocumentMap">
    <w:name w:val="Document Map"/>
    <w:basedOn w:val="Normal"/>
    <w:link w:val="DocumentMapChar"/>
    <w:uiPriority w:val="99"/>
    <w:semiHidden/>
    <w:locked/>
    <w:rsid w:val="00AD275A"/>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DB55B9"/>
    <w:rPr>
      <w:rFonts w:ascii="Tahoma" w:eastAsia="Calibri" w:hAnsi="Tahoma" w:cs="Tahoma"/>
      <w:color w:val="000000"/>
      <w:sz w:val="20"/>
      <w:szCs w:val="20"/>
      <w:shd w:val="clear" w:color="auto" w:fill="000080"/>
    </w:rPr>
  </w:style>
  <w:style w:type="character" w:styleId="EndnoteReference">
    <w:name w:val="endnote reference"/>
    <w:basedOn w:val="DefaultParagraphFont"/>
    <w:uiPriority w:val="99"/>
    <w:semiHidden/>
    <w:locked/>
    <w:rsid w:val="00AD275A"/>
    <w:rPr>
      <w:rFonts w:cs="Times New Roman"/>
      <w:vertAlign w:val="superscript"/>
    </w:rPr>
  </w:style>
  <w:style w:type="paragraph" w:styleId="EndnoteText">
    <w:name w:val="endnote text"/>
    <w:basedOn w:val="Normal"/>
    <w:link w:val="EndnoteTextChar"/>
    <w:uiPriority w:val="99"/>
    <w:semiHidden/>
    <w:locked/>
    <w:rsid w:val="00AD275A"/>
    <w:rPr>
      <w:sz w:val="20"/>
      <w:szCs w:val="20"/>
    </w:rPr>
  </w:style>
  <w:style w:type="character" w:customStyle="1" w:styleId="EndnoteTextChar">
    <w:name w:val="Endnote Text Char"/>
    <w:basedOn w:val="DefaultParagraphFont"/>
    <w:link w:val="EndnoteText"/>
    <w:uiPriority w:val="99"/>
    <w:semiHidden/>
    <w:rsid w:val="00DB55B9"/>
    <w:rPr>
      <w:rFonts w:eastAsia="Calibri"/>
      <w:color w:val="000000"/>
      <w:sz w:val="20"/>
      <w:szCs w:val="20"/>
    </w:rPr>
  </w:style>
  <w:style w:type="paragraph" w:styleId="Index1">
    <w:name w:val="index 1"/>
    <w:basedOn w:val="Normal"/>
    <w:next w:val="Normal"/>
    <w:autoRedefine/>
    <w:uiPriority w:val="99"/>
    <w:semiHidden/>
    <w:locked/>
    <w:rsid w:val="00AD275A"/>
    <w:pPr>
      <w:ind w:left="220" w:hanging="220"/>
    </w:pPr>
  </w:style>
  <w:style w:type="paragraph" w:styleId="Index2">
    <w:name w:val="index 2"/>
    <w:basedOn w:val="Normal"/>
    <w:next w:val="Normal"/>
    <w:autoRedefine/>
    <w:uiPriority w:val="99"/>
    <w:semiHidden/>
    <w:locked/>
    <w:rsid w:val="00AD275A"/>
    <w:pPr>
      <w:ind w:left="440" w:hanging="220"/>
    </w:pPr>
  </w:style>
  <w:style w:type="paragraph" w:styleId="Index3">
    <w:name w:val="index 3"/>
    <w:basedOn w:val="Normal"/>
    <w:next w:val="Normal"/>
    <w:autoRedefine/>
    <w:uiPriority w:val="99"/>
    <w:semiHidden/>
    <w:locked/>
    <w:rsid w:val="00AD275A"/>
    <w:pPr>
      <w:ind w:left="660" w:hanging="220"/>
    </w:pPr>
  </w:style>
  <w:style w:type="paragraph" w:styleId="Index4">
    <w:name w:val="index 4"/>
    <w:basedOn w:val="Normal"/>
    <w:next w:val="Normal"/>
    <w:autoRedefine/>
    <w:uiPriority w:val="99"/>
    <w:semiHidden/>
    <w:locked/>
    <w:rsid w:val="00AD275A"/>
    <w:pPr>
      <w:ind w:left="880" w:hanging="220"/>
    </w:pPr>
  </w:style>
  <w:style w:type="paragraph" w:styleId="Index5">
    <w:name w:val="index 5"/>
    <w:basedOn w:val="Normal"/>
    <w:next w:val="Normal"/>
    <w:autoRedefine/>
    <w:uiPriority w:val="99"/>
    <w:semiHidden/>
    <w:locked/>
    <w:rsid w:val="00AD275A"/>
    <w:pPr>
      <w:ind w:left="1100" w:hanging="220"/>
    </w:pPr>
  </w:style>
  <w:style w:type="paragraph" w:styleId="Index6">
    <w:name w:val="index 6"/>
    <w:basedOn w:val="Normal"/>
    <w:next w:val="Normal"/>
    <w:autoRedefine/>
    <w:uiPriority w:val="99"/>
    <w:semiHidden/>
    <w:locked/>
    <w:rsid w:val="00AD275A"/>
    <w:pPr>
      <w:ind w:left="1320" w:hanging="220"/>
    </w:pPr>
  </w:style>
  <w:style w:type="paragraph" w:styleId="Index7">
    <w:name w:val="index 7"/>
    <w:basedOn w:val="Normal"/>
    <w:next w:val="Normal"/>
    <w:autoRedefine/>
    <w:uiPriority w:val="99"/>
    <w:semiHidden/>
    <w:locked/>
    <w:rsid w:val="00AD275A"/>
    <w:pPr>
      <w:ind w:left="1540" w:hanging="220"/>
    </w:pPr>
  </w:style>
  <w:style w:type="paragraph" w:styleId="Index8">
    <w:name w:val="index 8"/>
    <w:basedOn w:val="Normal"/>
    <w:next w:val="Normal"/>
    <w:autoRedefine/>
    <w:uiPriority w:val="99"/>
    <w:semiHidden/>
    <w:locked/>
    <w:rsid w:val="00AD275A"/>
    <w:pPr>
      <w:ind w:left="1760" w:hanging="220"/>
    </w:pPr>
  </w:style>
  <w:style w:type="paragraph" w:styleId="Index9">
    <w:name w:val="index 9"/>
    <w:basedOn w:val="Normal"/>
    <w:next w:val="Normal"/>
    <w:autoRedefine/>
    <w:uiPriority w:val="99"/>
    <w:semiHidden/>
    <w:locked/>
    <w:rsid w:val="00AD275A"/>
    <w:pPr>
      <w:ind w:left="1980" w:hanging="220"/>
    </w:pPr>
  </w:style>
  <w:style w:type="paragraph" w:styleId="IndexHeading">
    <w:name w:val="index heading"/>
    <w:basedOn w:val="Normal"/>
    <w:next w:val="Index1"/>
    <w:uiPriority w:val="99"/>
    <w:semiHidden/>
    <w:locked/>
    <w:rsid w:val="00AD275A"/>
    <w:rPr>
      <w:rFonts w:ascii="Arial" w:hAnsi="Arial" w:cs="Arial"/>
      <w:b/>
      <w:bCs/>
    </w:rPr>
  </w:style>
  <w:style w:type="paragraph" w:styleId="MacroText">
    <w:name w:val="macro"/>
    <w:link w:val="MacroTextChar"/>
    <w:uiPriority w:val="99"/>
    <w:semiHidden/>
    <w:locked/>
    <w:rsid w:val="00AD275A"/>
    <w:pPr>
      <w:tabs>
        <w:tab w:val="left" w:pos="480"/>
        <w:tab w:val="left" w:pos="960"/>
        <w:tab w:val="left" w:pos="1440"/>
        <w:tab w:val="left" w:pos="1920"/>
        <w:tab w:val="left" w:pos="2400"/>
        <w:tab w:val="left" w:pos="2880"/>
        <w:tab w:val="left" w:pos="3360"/>
        <w:tab w:val="left" w:pos="3840"/>
        <w:tab w:val="left" w:pos="4320"/>
      </w:tabs>
      <w:spacing w:after="120"/>
    </w:pPr>
    <w:rPr>
      <w:rFonts w:ascii="Courier New" w:hAnsi="Courier New" w:cs="Courier New"/>
      <w:color w:val="000000"/>
      <w:sz w:val="20"/>
      <w:szCs w:val="20"/>
      <w:lang w:eastAsia="en-US"/>
    </w:rPr>
  </w:style>
  <w:style w:type="character" w:customStyle="1" w:styleId="MacroTextChar">
    <w:name w:val="Macro Text Char"/>
    <w:basedOn w:val="DefaultParagraphFont"/>
    <w:link w:val="MacroText"/>
    <w:uiPriority w:val="99"/>
    <w:semiHidden/>
    <w:rsid w:val="00DB55B9"/>
    <w:rPr>
      <w:rFonts w:ascii="Courier New" w:hAnsi="Courier New" w:cs="Courier New"/>
      <w:color w:val="000000"/>
      <w:sz w:val="20"/>
      <w:szCs w:val="20"/>
      <w:lang w:eastAsia="en-US"/>
    </w:rPr>
  </w:style>
  <w:style w:type="paragraph" w:styleId="TableofAuthorities">
    <w:name w:val="table of authorities"/>
    <w:basedOn w:val="Normal"/>
    <w:next w:val="Normal"/>
    <w:uiPriority w:val="99"/>
    <w:semiHidden/>
    <w:locked/>
    <w:rsid w:val="00AD275A"/>
    <w:pPr>
      <w:ind w:left="220" w:hanging="220"/>
    </w:pPr>
  </w:style>
  <w:style w:type="paragraph" w:styleId="TableofFigures">
    <w:name w:val="table of figures"/>
    <w:basedOn w:val="BodyText"/>
    <w:next w:val="BodyText"/>
    <w:uiPriority w:val="99"/>
    <w:locked/>
    <w:rsid w:val="00DC2413"/>
    <w:pPr>
      <w:tabs>
        <w:tab w:val="right" w:leader="dot" w:pos="9639"/>
      </w:tabs>
      <w:spacing w:before="0"/>
      <w:ind w:right="284"/>
    </w:pPr>
  </w:style>
  <w:style w:type="paragraph" w:styleId="TOAHeading">
    <w:name w:val="toa heading"/>
    <w:basedOn w:val="Normal"/>
    <w:next w:val="Normal"/>
    <w:uiPriority w:val="99"/>
    <w:semiHidden/>
    <w:locked/>
    <w:rsid w:val="00AD275A"/>
    <w:pPr>
      <w:spacing w:before="120"/>
    </w:pPr>
    <w:rPr>
      <w:rFonts w:ascii="Arial" w:hAnsi="Arial" w:cs="Arial"/>
      <w:b/>
      <w:bCs/>
      <w:sz w:val="24"/>
      <w:szCs w:val="24"/>
    </w:rPr>
  </w:style>
  <w:style w:type="paragraph" w:styleId="TOC5">
    <w:name w:val="toc 5"/>
    <w:basedOn w:val="Normal"/>
    <w:next w:val="Normal"/>
    <w:autoRedefine/>
    <w:uiPriority w:val="99"/>
    <w:semiHidden/>
    <w:rsid w:val="00AD275A"/>
    <w:pPr>
      <w:ind w:left="880"/>
    </w:pPr>
  </w:style>
  <w:style w:type="paragraph" w:styleId="TOC6">
    <w:name w:val="toc 6"/>
    <w:basedOn w:val="Normal"/>
    <w:next w:val="Normal"/>
    <w:autoRedefine/>
    <w:uiPriority w:val="99"/>
    <w:semiHidden/>
    <w:rsid w:val="00AD275A"/>
    <w:pPr>
      <w:ind w:left="1100"/>
    </w:pPr>
  </w:style>
  <w:style w:type="paragraph" w:styleId="TOC7">
    <w:name w:val="toc 7"/>
    <w:basedOn w:val="Normal"/>
    <w:next w:val="Normal"/>
    <w:autoRedefine/>
    <w:uiPriority w:val="99"/>
    <w:semiHidden/>
    <w:rsid w:val="00AD275A"/>
    <w:pPr>
      <w:ind w:left="1320"/>
    </w:pPr>
  </w:style>
  <w:style w:type="paragraph" w:styleId="TOC8">
    <w:name w:val="toc 8"/>
    <w:basedOn w:val="Normal"/>
    <w:next w:val="Normal"/>
    <w:autoRedefine/>
    <w:uiPriority w:val="99"/>
    <w:semiHidden/>
    <w:rsid w:val="00AD275A"/>
    <w:pPr>
      <w:ind w:left="1540"/>
    </w:pPr>
  </w:style>
  <w:style w:type="numbering" w:customStyle="1" w:styleId="TableBullets">
    <w:name w:val="TableBullets"/>
    <w:uiPriority w:val="99"/>
    <w:rsid w:val="008861FC"/>
    <w:pPr>
      <w:numPr>
        <w:numId w:val="7"/>
      </w:numPr>
    </w:pPr>
  </w:style>
  <w:style w:type="numbering" w:customStyle="1" w:styleId="Sources">
    <w:name w:val="Sources"/>
    <w:rsid w:val="008861FC"/>
    <w:pPr>
      <w:numPr>
        <w:numId w:val="6"/>
      </w:numPr>
    </w:pPr>
  </w:style>
  <w:style w:type="numbering" w:styleId="1ai">
    <w:name w:val="Outline List 1"/>
    <w:basedOn w:val="NoList"/>
    <w:uiPriority w:val="99"/>
    <w:semiHidden/>
    <w:unhideWhenUsed/>
    <w:locked/>
    <w:rsid w:val="008861FC"/>
    <w:pPr>
      <w:numPr>
        <w:numId w:val="10"/>
      </w:numPr>
    </w:pPr>
  </w:style>
  <w:style w:type="numbering" w:styleId="111111">
    <w:name w:val="Outline List 2"/>
    <w:basedOn w:val="NoList"/>
    <w:uiPriority w:val="99"/>
    <w:semiHidden/>
    <w:unhideWhenUsed/>
    <w:locked/>
    <w:rsid w:val="008861FC"/>
    <w:pPr>
      <w:numPr>
        <w:numId w:val="9"/>
      </w:numPr>
    </w:pPr>
  </w:style>
  <w:style w:type="numbering" w:customStyle="1" w:styleId="Bullets">
    <w:name w:val="Bullets"/>
    <w:rsid w:val="008861FC"/>
    <w:pPr>
      <w:numPr>
        <w:numId w:val="5"/>
      </w:numPr>
    </w:pPr>
  </w:style>
  <w:style w:type="numbering" w:customStyle="1" w:styleId="Numbers">
    <w:name w:val="Numbers"/>
    <w:rsid w:val="008861FC"/>
    <w:pPr>
      <w:numPr>
        <w:numId w:val="8"/>
      </w:numPr>
    </w:pPr>
  </w:style>
  <w:style w:type="numbering" w:styleId="ArticleSection">
    <w:name w:val="Outline List 3"/>
    <w:basedOn w:val="NoList"/>
    <w:uiPriority w:val="99"/>
    <w:semiHidden/>
    <w:unhideWhenUsed/>
    <w:locked/>
    <w:rsid w:val="008861FC"/>
    <w:pPr>
      <w:numPr>
        <w:numId w:val="11"/>
      </w:numPr>
    </w:pPr>
  </w:style>
  <w:style w:type="paragraph" w:customStyle="1" w:styleId="AppendixHeading1base">
    <w:name w:val="Appendix Heading 1 base"/>
    <w:uiPriority w:val="20"/>
    <w:semiHidden/>
    <w:qFormat/>
    <w:rsid w:val="005C1B4B"/>
    <w:pPr>
      <w:keepNext/>
      <w:pageBreakBefore/>
      <w:numPr>
        <w:numId w:val="14"/>
      </w:numPr>
      <w:tabs>
        <w:tab w:val="left" w:pos="2268"/>
      </w:tabs>
    </w:pPr>
    <w:rPr>
      <w:rFonts w:eastAsiaTheme="majorEastAsia" w:cstheme="majorBidi"/>
      <w:b/>
      <w:bCs/>
      <w:color w:val="00A9CE" w:themeColor="accent1"/>
      <w:sz w:val="44"/>
      <w:szCs w:val="28"/>
    </w:rPr>
  </w:style>
  <w:style w:type="paragraph" w:customStyle="1" w:styleId="AppendixHeading2">
    <w:name w:val="Appendix Heading 2"/>
    <w:basedOn w:val="Heading2"/>
    <w:next w:val="BodyText"/>
    <w:uiPriority w:val="11"/>
    <w:qFormat/>
    <w:rsid w:val="00C80108"/>
    <w:pPr>
      <w:numPr>
        <w:numId w:val="14"/>
      </w:numPr>
      <w:ind w:left="1134" w:hanging="1134"/>
    </w:pPr>
  </w:style>
  <w:style w:type="paragraph" w:customStyle="1" w:styleId="AppendixHeading3">
    <w:name w:val="Appendix Heading 3"/>
    <w:basedOn w:val="Heading3"/>
    <w:next w:val="BodyText"/>
    <w:uiPriority w:val="11"/>
    <w:qFormat/>
    <w:rsid w:val="00C80108"/>
    <w:pPr>
      <w:numPr>
        <w:numId w:val="14"/>
      </w:numPr>
      <w:ind w:left="1134" w:hanging="1134"/>
    </w:pPr>
  </w:style>
  <w:style w:type="paragraph" w:customStyle="1" w:styleId="AppendixHeading4">
    <w:name w:val="Appendix Heading 4"/>
    <w:basedOn w:val="Heading4"/>
    <w:next w:val="BodyText"/>
    <w:uiPriority w:val="11"/>
    <w:qFormat/>
    <w:rsid w:val="00880650"/>
  </w:style>
  <w:style w:type="paragraph" w:customStyle="1" w:styleId="Equation">
    <w:name w:val="Equation"/>
    <w:basedOn w:val="BodyText"/>
    <w:next w:val="BodyText"/>
    <w:uiPriority w:val="7"/>
    <w:qFormat/>
    <w:rsid w:val="009E354F"/>
    <w:pPr>
      <w:tabs>
        <w:tab w:val="right" w:pos="9639"/>
      </w:tabs>
      <w:spacing w:before="240" w:after="240"/>
      <w:ind w:left="567"/>
    </w:pPr>
    <w:rPr>
      <w:rFonts w:asciiTheme="minorHAnsi" w:eastAsia="Times New Roman" w:hAnsiTheme="minorHAnsi"/>
      <w:color w:val="auto"/>
      <w:szCs w:val="24"/>
      <w:lang w:eastAsia="en-US"/>
    </w:rPr>
  </w:style>
  <w:style w:type="paragraph" w:customStyle="1" w:styleId="Reference">
    <w:name w:val="Reference"/>
    <w:basedOn w:val="BodyText"/>
    <w:next w:val="BodyText"/>
    <w:uiPriority w:val="9"/>
    <w:qFormat/>
    <w:rsid w:val="00DC2413"/>
    <w:pPr>
      <w:ind w:left="567" w:hanging="567"/>
    </w:pPr>
  </w:style>
  <w:style w:type="paragraph" w:styleId="ListNumber2">
    <w:name w:val="List Number 2"/>
    <w:basedOn w:val="ListNumber"/>
    <w:next w:val="BodyText"/>
    <w:uiPriority w:val="2"/>
    <w:qFormat/>
    <w:locked/>
    <w:rsid w:val="00D349D1"/>
    <w:pPr>
      <w:numPr>
        <w:numId w:val="12"/>
      </w:numPr>
      <w:tabs>
        <w:tab w:val="left" w:pos="794"/>
      </w:tabs>
      <w:spacing w:before="60" w:after="60"/>
      <w:ind w:left="794" w:hanging="397"/>
    </w:pPr>
  </w:style>
  <w:style w:type="character" w:customStyle="1" w:styleId="Italics">
    <w:name w:val="Italics"/>
    <w:basedOn w:val="DefaultParagraphFont"/>
    <w:uiPriority w:val="3"/>
    <w:qFormat/>
    <w:rsid w:val="0005371F"/>
    <w:rPr>
      <w:i/>
    </w:rPr>
  </w:style>
  <w:style w:type="table" w:customStyle="1" w:styleId="LightShading1">
    <w:name w:val="Light Shading1"/>
    <w:basedOn w:val="TableNormal"/>
    <w:uiPriority w:val="60"/>
    <w:rsid w:val="009B5F0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CSIRO">
    <w:name w:val="Table_CSIRO"/>
    <w:basedOn w:val="TableNormal"/>
    <w:uiPriority w:val="99"/>
    <w:qFormat/>
    <w:rsid w:val="004D3DB4"/>
    <w:tblPr>
      <w:tblStyleRowBandSize w:val="1"/>
      <w:tblInd w:w="113" w:type="dxa"/>
      <w:tblBorders>
        <w:bottom w:val="single" w:sz="4" w:space="0" w:color="auto"/>
      </w:tblBorders>
      <w:tblCellMar>
        <w:left w:w="85" w:type="dxa"/>
        <w:bottom w:w="28" w:type="dxa"/>
        <w:right w:w="85" w:type="dxa"/>
      </w:tblCellMar>
    </w:tblPr>
    <w:tblStylePr w:type="firstRow">
      <w:pPr>
        <w:spacing w:before="0" w:after="0" w:line="240" w:lineRule="auto"/>
      </w:pPr>
      <w:rPr>
        <w:b/>
        <w:bCs/>
        <w:color w:val="FFFFFF" w:themeColor="background1"/>
      </w:rPr>
      <w:tblPr/>
      <w:tcPr>
        <w:tcBorders>
          <w:top w:val="nil"/>
          <w:left w:val="nil"/>
          <w:bottom w:val="nil"/>
          <w:right w:val="nil"/>
          <w:insideH w:val="nil"/>
          <w:insideV w:val="nil"/>
          <w:tl2br w:val="nil"/>
          <w:tr2bl w:val="nil"/>
        </w:tcBorders>
        <w:shd w:val="clear" w:color="auto" w:fill="000000" w:themeFill="text1"/>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Horz">
      <w:tblPr/>
      <w:tcPr>
        <w:tcBorders>
          <w:left w:val="nil"/>
          <w:right w:val="nil"/>
          <w:insideH w:val="nil"/>
          <w:insideV w:val="nil"/>
        </w:tcBorders>
        <w:shd w:val="clear" w:color="auto" w:fill="EDEDED"/>
      </w:tcPr>
    </w:tblStylePr>
  </w:style>
  <w:style w:type="paragraph" w:customStyle="1" w:styleId="CaptionNote">
    <w:name w:val="Caption Note"/>
    <w:basedOn w:val="Caption"/>
    <w:next w:val="BodyText"/>
    <w:uiPriority w:val="4"/>
    <w:qFormat/>
    <w:rsid w:val="00B26878"/>
    <w:pPr>
      <w:spacing w:before="0"/>
    </w:pPr>
  </w:style>
  <w:style w:type="character" w:customStyle="1" w:styleId="Bold">
    <w:name w:val="Bold"/>
    <w:basedOn w:val="DefaultParagraphFont"/>
    <w:uiPriority w:val="3"/>
    <w:qFormat/>
    <w:rsid w:val="00856E94"/>
    <w:rPr>
      <w:b/>
    </w:rPr>
  </w:style>
  <w:style w:type="paragraph" w:styleId="ListParagraph">
    <w:name w:val="List Paragraph"/>
    <w:basedOn w:val="Normal"/>
    <w:uiPriority w:val="34"/>
    <w:qFormat/>
    <w:rsid w:val="009C5CA3"/>
    <w:pPr>
      <w:spacing w:before="180" w:line="264" w:lineRule="auto"/>
      <w:ind w:left="720"/>
      <w:contextualSpacing/>
    </w:pPr>
    <w:rPr>
      <w:sz w:val="24"/>
      <w:szCs w:val="24"/>
    </w:rPr>
  </w:style>
  <w:style w:type="character" w:styleId="IntenseEmphasis">
    <w:name w:val="Intense Emphasis"/>
    <w:basedOn w:val="DefaultParagraphFont"/>
    <w:uiPriority w:val="21"/>
    <w:qFormat/>
    <w:rsid w:val="00A65678"/>
    <w:rPr>
      <w:b/>
      <w:bCs/>
      <w:i/>
      <w:iCs/>
      <w:color w:val="00313C" w:themeColor="accent2"/>
    </w:rPr>
  </w:style>
  <w:style w:type="character" w:styleId="SubtleEmphasis">
    <w:name w:val="Subtle Emphasis"/>
    <w:basedOn w:val="DefaultParagraphFont"/>
    <w:uiPriority w:val="19"/>
    <w:semiHidden/>
    <w:qFormat/>
    <w:rsid w:val="00A65678"/>
    <w:rPr>
      <w:i/>
      <w:iCs/>
      <w:color w:val="595959" w:themeColor="text1" w:themeTint="A6"/>
    </w:rPr>
  </w:style>
  <w:style w:type="paragraph" w:styleId="IntenseQuote">
    <w:name w:val="Intense Quote"/>
    <w:basedOn w:val="Normal"/>
    <w:next w:val="Normal"/>
    <w:link w:val="IntenseQuoteChar"/>
    <w:uiPriority w:val="30"/>
    <w:semiHidden/>
    <w:qFormat/>
    <w:rsid w:val="00A65678"/>
    <w:pPr>
      <w:pBdr>
        <w:bottom w:val="single" w:sz="4" w:space="4" w:color="00313C" w:themeColor="accent2"/>
      </w:pBdr>
      <w:spacing w:before="200" w:after="280"/>
      <w:ind w:left="936" w:right="936"/>
    </w:pPr>
    <w:rPr>
      <w:b/>
      <w:bCs/>
      <w:i/>
      <w:iCs/>
      <w:color w:val="00313C" w:themeColor="accent2"/>
    </w:rPr>
  </w:style>
  <w:style w:type="character" w:customStyle="1" w:styleId="IntenseQuoteChar">
    <w:name w:val="Intense Quote Char"/>
    <w:basedOn w:val="DefaultParagraphFont"/>
    <w:link w:val="IntenseQuote"/>
    <w:uiPriority w:val="30"/>
    <w:semiHidden/>
    <w:rsid w:val="00A65678"/>
    <w:rPr>
      <w:rFonts w:eastAsia="Calibri"/>
      <w:b/>
      <w:bCs/>
      <w:i/>
      <w:iCs/>
      <w:color w:val="00313C" w:themeColor="accent2"/>
    </w:rPr>
  </w:style>
  <w:style w:type="paragraph" w:customStyle="1" w:styleId="Boxedheading">
    <w:name w:val="Boxed heading"/>
    <w:uiPriority w:val="19"/>
    <w:qFormat/>
    <w:rsid w:val="000937D9"/>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1F6FF" w:themeFill="accent2" w:themeFillTint="1A"/>
      <w:spacing w:before="360" w:after="240"/>
      <w:ind w:left="227" w:right="227"/>
    </w:pPr>
    <w:rPr>
      <w:rFonts w:eastAsia="Calibri"/>
      <w:b/>
      <w:color w:val="000000"/>
      <w:sz w:val="28"/>
      <w:szCs w:val="28"/>
    </w:rPr>
  </w:style>
  <w:style w:type="paragraph" w:customStyle="1" w:styleId="Boxedtext">
    <w:name w:val="Boxed text"/>
    <w:uiPriority w:val="19"/>
    <w:qFormat/>
    <w:rsid w:val="000937D9"/>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1F6FF" w:themeFill="accent2" w:themeFillTint="1A"/>
      <w:spacing w:before="180" w:after="180"/>
      <w:ind w:left="227" w:right="227"/>
    </w:pPr>
    <w:rPr>
      <w:rFonts w:eastAsia="Calibri"/>
      <w:color w:val="000000"/>
      <w:sz w:val="24"/>
      <w:szCs w:val="24"/>
    </w:rPr>
  </w:style>
  <w:style w:type="paragraph" w:customStyle="1" w:styleId="References">
    <w:name w:val="References"/>
    <w:basedOn w:val="Normal"/>
    <w:link w:val="ReferencesChar"/>
    <w:qFormat/>
    <w:rsid w:val="0017018E"/>
    <w:pPr>
      <w:ind w:left="284" w:hanging="284"/>
    </w:pPr>
    <w:rPr>
      <w:color w:val="auto"/>
      <w:sz w:val="20"/>
      <w:lang w:eastAsia="en-US"/>
    </w:rPr>
  </w:style>
  <w:style w:type="character" w:customStyle="1" w:styleId="ReferencesChar">
    <w:name w:val="References Char"/>
    <w:basedOn w:val="DefaultParagraphFont"/>
    <w:link w:val="References"/>
    <w:rsid w:val="0017018E"/>
    <w:rPr>
      <w:rFonts w:eastAsia="Calibri"/>
      <w:sz w:val="20"/>
      <w:lang w:eastAsia="en-US"/>
    </w:rPr>
  </w:style>
  <w:style w:type="paragraph" w:customStyle="1" w:styleId="Title1">
    <w:name w:val="Title1"/>
    <w:rsid w:val="0017018E"/>
    <w:pPr>
      <w:keepNext/>
    </w:pPr>
    <w:rPr>
      <w:rFonts w:ascii="Helvetica" w:eastAsia="Arial Unicode MS" w:hAnsi="Helvetica"/>
      <w:b/>
      <w:color w:val="000000"/>
      <w:sz w:val="72"/>
      <w:szCs w:val="20"/>
    </w:rPr>
  </w:style>
  <w:style w:type="paragraph" w:customStyle="1" w:styleId="Subtitle1">
    <w:name w:val="Subtitle1"/>
    <w:rsid w:val="0017018E"/>
    <w:pPr>
      <w:keepNext/>
    </w:pPr>
    <w:rPr>
      <w:rFonts w:ascii="Helvetica" w:eastAsia="Arial Unicode MS" w:hAnsi="Helvetica"/>
      <w:color w:val="000000"/>
      <w:sz w:val="48"/>
      <w:szCs w:val="20"/>
    </w:rPr>
  </w:style>
  <w:style w:type="paragraph" w:customStyle="1" w:styleId="Body1">
    <w:name w:val="Body 1"/>
    <w:rsid w:val="0017018E"/>
    <w:rPr>
      <w:rFonts w:ascii="Helvetica" w:eastAsia="Arial Unicode MS" w:hAnsi="Helvetica"/>
      <w:color w:val="000000"/>
      <w:sz w:val="24"/>
      <w:szCs w:val="20"/>
    </w:rPr>
  </w:style>
  <w:style w:type="paragraph" w:customStyle="1" w:styleId="Figureheading">
    <w:name w:val="Figure heading"/>
    <w:basedOn w:val="Normal"/>
    <w:link w:val="FigureheadingChar"/>
    <w:uiPriority w:val="99"/>
    <w:rsid w:val="0017018E"/>
    <w:pPr>
      <w:keepNext/>
      <w:keepLines/>
      <w:tabs>
        <w:tab w:val="left" w:pos="880"/>
      </w:tabs>
      <w:spacing w:after="0" w:line="264" w:lineRule="auto"/>
    </w:pPr>
    <w:rPr>
      <w:b/>
      <w:color w:val="4F81BD"/>
      <w:sz w:val="20"/>
      <w:szCs w:val="20"/>
      <w:lang w:eastAsia="en-US"/>
    </w:rPr>
  </w:style>
  <w:style w:type="character" w:customStyle="1" w:styleId="FigureheadingChar">
    <w:name w:val="Figure heading Char"/>
    <w:basedOn w:val="DefaultParagraphFont"/>
    <w:link w:val="Figureheading"/>
    <w:uiPriority w:val="99"/>
    <w:locked/>
    <w:rsid w:val="0017018E"/>
    <w:rPr>
      <w:rFonts w:eastAsia="Calibri"/>
      <w:b/>
      <w:color w:val="4F81BD"/>
      <w:sz w:val="20"/>
      <w:szCs w:val="20"/>
      <w:lang w:eastAsia="en-US"/>
    </w:rPr>
  </w:style>
  <w:style w:type="paragraph" w:styleId="Title">
    <w:name w:val="Title"/>
    <w:basedOn w:val="Normal"/>
    <w:next w:val="Normal"/>
    <w:link w:val="TitleChar"/>
    <w:uiPriority w:val="10"/>
    <w:qFormat/>
    <w:rsid w:val="0017018E"/>
    <w:pPr>
      <w:keepNext/>
      <w:keepLines/>
      <w:spacing w:line="264" w:lineRule="auto"/>
      <w:outlineLvl w:val="0"/>
    </w:pPr>
    <w:rPr>
      <w:rFonts w:eastAsia="Times New Roman"/>
      <w:b/>
      <w:bCs/>
      <w:color w:val="4F81BD"/>
      <w:kern w:val="28"/>
      <w:szCs w:val="32"/>
      <w:lang w:eastAsia="en-US"/>
    </w:rPr>
  </w:style>
  <w:style w:type="character" w:customStyle="1" w:styleId="TitleChar">
    <w:name w:val="Title Char"/>
    <w:basedOn w:val="DefaultParagraphFont"/>
    <w:link w:val="Title"/>
    <w:uiPriority w:val="10"/>
    <w:rsid w:val="0017018E"/>
    <w:rPr>
      <w:rFonts w:eastAsia="Times New Roman"/>
      <w:b/>
      <w:bCs/>
      <w:color w:val="4F81BD"/>
      <w:kern w:val="28"/>
      <w:szCs w:val="32"/>
      <w:lang w:eastAsia="en-US"/>
    </w:rPr>
  </w:style>
  <w:style w:type="paragraph" w:styleId="Quote">
    <w:name w:val="Quote"/>
    <w:basedOn w:val="Normal"/>
    <w:next w:val="Normal"/>
    <w:link w:val="QuoteChar"/>
    <w:uiPriority w:val="29"/>
    <w:qFormat/>
    <w:rsid w:val="0017018E"/>
    <w:pPr>
      <w:spacing w:after="200" w:line="276" w:lineRule="auto"/>
    </w:pPr>
    <w:rPr>
      <w:i/>
      <w:iCs/>
      <w:lang w:eastAsia="en-US"/>
    </w:rPr>
  </w:style>
  <w:style w:type="character" w:customStyle="1" w:styleId="QuoteChar">
    <w:name w:val="Quote Char"/>
    <w:basedOn w:val="DefaultParagraphFont"/>
    <w:link w:val="Quote"/>
    <w:uiPriority w:val="29"/>
    <w:rsid w:val="0017018E"/>
    <w:rPr>
      <w:rFonts w:eastAsia="Calibri"/>
      <w:i/>
      <w:iCs/>
      <w:color w:val="000000"/>
      <w:lang w:eastAsia="en-US"/>
    </w:rPr>
  </w:style>
  <w:style w:type="character" w:customStyle="1" w:styleId="CaptionChar">
    <w:name w:val="Caption Char"/>
    <w:basedOn w:val="DefaultParagraphFont"/>
    <w:link w:val="Caption"/>
    <w:uiPriority w:val="35"/>
    <w:rsid w:val="0017018E"/>
    <w:rPr>
      <w:rFonts w:eastAsia="Calibri"/>
      <w:b/>
      <w:bCs/>
      <w:color w:val="007E9A" w:themeColor="accent1" w:themeShade="BF"/>
      <w:sz w:val="20"/>
      <w:szCs w:val="18"/>
    </w:rPr>
  </w:style>
  <w:style w:type="paragraph" w:customStyle="1" w:styleId="Source">
    <w:name w:val="Source"/>
    <w:basedOn w:val="Normal"/>
    <w:next w:val="Normal"/>
    <w:uiPriority w:val="6"/>
    <w:qFormat/>
    <w:rsid w:val="0017018E"/>
    <w:pPr>
      <w:tabs>
        <w:tab w:val="left" w:pos="539"/>
      </w:tabs>
      <w:spacing w:line="180" w:lineRule="atLeast"/>
      <w:ind w:left="624" w:hanging="624"/>
    </w:pPr>
    <w:rPr>
      <w:sz w:val="16"/>
      <w:szCs w:val="20"/>
    </w:rPr>
  </w:style>
  <w:style w:type="paragraph" w:styleId="Revision">
    <w:name w:val="Revision"/>
    <w:hidden/>
    <w:uiPriority w:val="99"/>
    <w:semiHidden/>
    <w:rsid w:val="00DB024D"/>
    <w:rPr>
      <w:rFonts w:eastAsia="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268001">
      <w:bodyDiv w:val="1"/>
      <w:marLeft w:val="0"/>
      <w:marRight w:val="0"/>
      <w:marTop w:val="0"/>
      <w:marBottom w:val="0"/>
      <w:divBdr>
        <w:top w:val="none" w:sz="0" w:space="0" w:color="auto"/>
        <w:left w:val="none" w:sz="0" w:space="0" w:color="auto"/>
        <w:bottom w:val="none" w:sz="0" w:space="0" w:color="auto"/>
        <w:right w:val="none" w:sz="0" w:space="0" w:color="auto"/>
      </w:divBdr>
      <w:divsChild>
        <w:div w:id="1550845265">
          <w:marLeft w:val="0"/>
          <w:marRight w:val="0"/>
          <w:marTop w:val="0"/>
          <w:marBottom w:val="0"/>
          <w:divBdr>
            <w:top w:val="none" w:sz="0" w:space="0" w:color="auto"/>
            <w:left w:val="none" w:sz="0" w:space="0" w:color="auto"/>
            <w:bottom w:val="none" w:sz="0" w:space="0" w:color="auto"/>
            <w:right w:val="none" w:sz="0" w:space="0" w:color="auto"/>
          </w:divBdr>
        </w:div>
      </w:divsChild>
    </w:div>
    <w:div w:id="835002939">
      <w:bodyDiv w:val="1"/>
      <w:marLeft w:val="0"/>
      <w:marRight w:val="0"/>
      <w:marTop w:val="0"/>
      <w:marBottom w:val="0"/>
      <w:divBdr>
        <w:top w:val="none" w:sz="0" w:space="0" w:color="auto"/>
        <w:left w:val="none" w:sz="0" w:space="0" w:color="auto"/>
        <w:bottom w:val="none" w:sz="0" w:space="0" w:color="auto"/>
        <w:right w:val="none" w:sz="0" w:space="0" w:color="auto"/>
      </w:divBdr>
    </w:div>
    <w:div w:id="1480532522">
      <w:bodyDiv w:val="1"/>
      <w:marLeft w:val="0"/>
      <w:marRight w:val="0"/>
      <w:marTop w:val="0"/>
      <w:marBottom w:val="0"/>
      <w:divBdr>
        <w:top w:val="none" w:sz="0" w:space="0" w:color="auto"/>
        <w:left w:val="none" w:sz="0" w:space="0" w:color="auto"/>
        <w:bottom w:val="none" w:sz="0" w:space="0" w:color="auto"/>
        <w:right w:val="none" w:sz="0" w:space="0" w:color="auto"/>
      </w:divBdr>
    </w:div>
    <w:div w:id="1646856026">
      <w:bodyDiv w:val="1"/>
      <w:marLeft w:val="0"/>
      <w:marRight w:val="0"/>
      <w:marTop w:val="0"/>
      <w:marBottom w:val="0"/>
      <w:divBdr>
        <w:top w:val="none" w:sz="0" w:space="0" w:color="auto"/>
        <w:left w:val="none" w:sz="0" w:space="0" w:color="auto"/>
        <w:bottom w:val="none" w:sz="0" w:space="0" w:color="auto"/>
        <w:right w:val="none" w:sz="0" w:space="0" w:color="auto"/>
      </w:divBdr>
    </w:div>
    <w:div w:id="1792746220">
      <w:bodyDiv w:val="1"/>
      <w:marLeft w:val="0"/>
      <w:marRight w:val="0"/>
      <w:marTop w:val="0"/>
      <w:marBottom w:val="0"/>
      <w:divBdr>
        <w:top w:val="none" w:sz="0" w:space="0" w:color="auto"/>
        <w:left w:val="none" w:sz="0" w:space="0" w:color="auto"/>
        <w:bottom w:val="none" w:sz="0" w:space="0" w:color="auto"/>
        <w:right w:val="none" w:sz="0" w:space="0" w:color="auto"/>
      </w:divBdr>
      <w:divsChild>
        <w:div w:id="870921903">
          <w:marLeft w:val="0"/>
          <w:marRight w:val="0"/>
          <w:marTop w:val="0"/>
          <w:marBottom w:val="0"/>
          <w:divBdr>
            <w:top w:val="none" w:sz="0" w:space="0" w:color="auto"/>
            <w:left w:val="none" w:sz="0" w:space="0" w:color="auto"/>
            <w:bottom w:val="none" w:sz="0" w:space="0" w:color="auto"/>
            <w:right w:val="none" w:sz="0" w:space="0" w:color="auto"/>
          </w:divBdr>
          <w:divsChild>
            <w:div w:id="2130002723">
              <w:marLeft w:val="0"/>
              <w:marRight w:val="0"/>
              <w:marTop w:val="0"/>
              <w:marBottom w:val="0"/>
              <w:divBdr>
                <w:top w:val="none" w:sz="0" w:space="0" w:color="auto"/>
                <w:left w:val="none" w:sz="0" w:space="0" w:color="auto"/>
                <w:bottom w:val="none" w:sz="0" w:space="0" w:color="auto"/>
                <w:right w:val="none" w:sz="0" w:space="0" w:color="auto"/>
              </w:divBdr>
              <w:divsChild>
                <w:div w:id="1520461568">
                  <w:marLeft w:val="0"/>
                  <w:marRight w:val="0"/>
                  <w:marTop w:val="270"/>
                  <w:marBottom w:val="0"/>
                  <w:divBdr>
                    <w:top w:val="single" w:sz="24" w:space="0" w:color="0776B8"/>
                    <w:left w:val="none" w:sz="0" w:space="0" w:color="auto"/>
                    <w:bottom w:val="none" w:sz="0" w:space="0" w:color="auto"/>
                    <w:right w:val="none" w:sz="0" w:space="0" w:color="auto"/>
                  </w:divBdr>
                  <w:divsChild>
                    <w:div w:id="81148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industry.gov.au/Office-of-the-Chief-Economist/Publications/Pages/Australian-energy-statistics.aspx" TargetMode="Externa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chart" Target="charts/chart1.xml"/></Relationships>
</file>

<file path=word/_rels/footnotes.xml.rels><?xml version="1.0" encoding="UTF-8" standalone="yes"?>
<Relationships xmlns="http://schemas.openxmlformats.org/package/2006/relationships"><Relationship Id="rId8" Type="http://schemas.openxmlformats.org/officeDocument/2006/relationships/hyperlink" Target="http://www.nabers.gov.au/public/WebPages/Home.aspx" TargetMode="External"/><Relationship Id="rId3" Type="http://schemas.openxmlformats.org/officeDocument/2006/relationships/hyperlink" Target="http://www.climateworksaustralia.org/" TargetMode="External"/><Relationship Id="rId7" Type="http://schemas.openxmlformats.org/officeDocument/2006/relationships/hyperlink" Target="http://www.pacinst.org/reports/urban_usage/" TargetMode="External"/><Relationship Id="rId2" Type="http://schemas.openxmlformats.org/officeDocument/2006/relationships/hyperlink" Target="http://www.innovation.gov.au/SCIENCE/INTERNATIONALCOLLABORATION/ACSRF/Pages/ANZSICCodes.aspx" TargetMode="External"/><Relationship Id="rId1" Type="http://schemas.openxmlformats.org/officeDocument/2006/relationships/hyperlink" Target="http://www.climateworksaustralia.org/" TargetMode="External"/><Relationship Id="rId6" Type="http://schemas.openxmlformats.org/officeDocument/2006/relationships/hyperlink" Target="http://www.abs.gov.au/ausstats/abs@.nsf/mf/4610.0" TargetMode="External"/><Relationship Id="rId5" Type="http://schemas.openxmlformats.org/officeDocument/2006/relationships/hyperlink" Target="http://www.nabers.gov.au/public/WebPages/Home.aspx" TargetMode="External"/><Relationship Id="rId4" Type="http://schemas.openxmlformats.org/officeDocument/2006/relationships/hyperlink" Target="http://www.nabers.gov.au/public/WebPages/Home.asp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d087\AppData\Roaming\Microsoft\Templates\Technical%20Report%20-%20Formal.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bay029\My%20Documents\MEFISTO\Modelling\MEFISTOv0.4_ValueAdd_Compound_Efficiency.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2707704228722"/>
          <c:y val="0.123440860215054"/>
          <c:w val="0.81832940202301296"/>
          <c:h val="0.78343623176135002"/>
        </c:manualLayout>
      </c:layout>
      <c:scatterChart>
        <c:scatterStyle val="smoothMarker"/>
        <c:varyColors val="0"/>
        <c:ser>
          <c:idx val="0"/>
          <c:order val="0"/>
          <c:tx>
            <c:strRef>
              <c:f>'ValueAdded-rawdata'!$B$3</c:f>
              <c:strCache>
                <c:ptCount val="1"/>
                <c:pt idx="0">
                  <c:v>Agriculture</c:v>
                </c:pt>
              </c:strCache>
            </c:strRef>
          </c:tx>
          <c:xVal>
            <c:numRef>
              <c:f>'ValueAdded-rawdata'!$C$2:$BZ$2</c:f>
              <c:numCache>
                <c:formatCode>General</c:formatCode>
                <c:ptCount val="76"/>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pt idx="38">
                  <c:v>2013</c:v>
                </c:pt>
                <c:pt idx="39">
                  <c:v>2014</c:v>
                </c:pt>
                <c:pt idx="40">
                  <c:v>2015</c:v>
                </c:pt>
                <c:pt idx="41">
                  <c:v>2016</c:v>
                </c:pt>
                <c:pt idx="42">
                  <c:v>2017</c:v>
                </c:pt>
                <c:pt idx="43">
                  <c:v>2018</c:v>
                </c:pt>
                <c:pt idx="44">
                  <c:v>2019</c:v>
                </c:pt>
                <c:pt idx="45">
                  <c:v>2020</c:v>
                </c:pt>
                <c:pt idx="46">
                  <c:v>2021</c:v>
                </c:pt>
                <c:pt idx="47">
                  <c:v>2022</c:v>
                </c:pt>
                <c:pt idx="48">
                  <c:v>2023</c:v>
                </c:pt>
                <c:pt idx="49">
                  <c:v>2024</c:v>
                </c:pt>
                <c:pt idx="50">
                  <c:v>2025</c:v>
                </c:pt>
                <c:pt idx="51">
                  <c:v>2026</c:v>
                </c:pt>
                <c:pt idx="52">
                  <c:v>2027</c:v>
                </c:pt>
                <c:pt idx="53">
                  <c:v>2028</c:v>
                </c:pt>
                <c:pt idx="54">
                  <c:v>2029</c:v>
                </c:pt>
                <c:pt idx="55">
                  <c:v>2030</c:v>
                </c:pt>
                <c:pt idx="56">
                  <c:v>2031</c:v>
                </c:pt>
                <c:pt idx="57">
                  <c:v>2032</c:v>
                </c:pt>
                <c:pt idx="58">
                  <c:v>2033</c:v>
                </c:pt>
                <c:pt idx="59">
                  <c:v>2034</c:v>
                </c:pt>
                <c:pt idx="60">
                  <c:v>2035</c:v>
                </c:pt>
                <c:pt idx="61">
                  <c:v>2036</c:v>
                </c:pt>
                <c:pt idx="62">
                  <c:v>2037</c:v>
                </c:pt>
                <c:pt idx="63">
                  <c:v>2038</c:v>
                </c:pt>
                <c:pt idx="64">
                  <c:v>2039</c:v>
                </c:pt>
                <c:pt idx="65">
                  <c:v>2040</c:v>
                </c:pt>
                <c:pt idx="66">
                  <c:v>2041</c:v>
                </c:pt>
                <c:pt idx="67">
                  <c:v>2042</c:v>
                </c:pt>
                <c:pt idx="68">
                  <c:v>2043</c:v>
                </c:pt>
                <c:pt idx="69">
                  <c:v>2044</c:v>
                </c:pt>
                <c:pt idx="70">
                  <c:v>2045</c:v>
                </c:pt>
                <c:pt idx="71">
                  <c:v>2046</c:v>
                </c:pt>
                <c:pt idx="72">
                  <c:v>2047</c:v>
                </c:pt>
                <c:pt idx="73">
                  <c:v>2048</c:v>
                </c:pt>
                <c:pt idx="74">
                  <c:v>2049</c:v>
                </c:pt>
                <c:pt idx="75">
                  <c:v>2050</c:v>
                </c:pt>
              </c:numCache>
            </c:numRef>
          </c:xVal>
          <c:yVal>
            <c:numRef>
              <c:f>'ValueAdded-rawdata'!$C$3:$BZ$3</c:f>
              <c:numCache>
                <c:formatCode>"$"#,##0</c:formatCode>
                <c:ptCount val="76"/>
                <c:pt idx="0">
                  <c:v>13.084</c:v>
                </c:pt>
                <c:pt idx="1">
                  <c:v>14.167</c:v>
                </c:pt>
                <c:pt idx="2">
                  <c:v>14.545</c:v>
                </c:pt>
                <c:pt idx="3">
                  <c:v>14.069000000000001</c:v>
                </c:pt>
                <c:pt idx="4">
                  <c:v>17.123000000000001</c:v>
                </c:pt>
                <c:pt idx="5">
                  <c:v>15.018000000000001</c:v>
                </c:pt>
                <c:pt idx="6">
                  <c:v>13.166</c:v>
                </c:pt>
                <c:pt idx="7">
                  <c:v>15.32</c:v>
                </c:pt>
                <c:pt idx="8">
                  <c:v>11.97</c:v>
                </c:pt>
                <c:pt idx="9">
                  <c:v>17.152999999999999</c:v>
                </c:pt>
                <c:pt idx="10">
                  <c:v>17.187000000000001</c:v>
                </c:pt>
                <c:pt idx="11">
                  <c:v>15.987</c:v>
                </c:pt>
                <c:pt idx="12">
                  <c:v>16.158000000000001</c:v>
                </c:pt>
                <c:pt idx="13">
                  <c:v>15.80900000000001</c:v>
                </c:pt>
                <c:pt idx="14">
                  <c:v>16.507000000000001</c:v>
                </c:pt>
                <c:pt idx="15">
                  <c:v>17.859000000000009</c:v>
                </c:pt>
                <c:pt idx="16">
                  <c:v>18.849</c:v>
                </c:pt>
                <c:pt idx="17">
                  <c:v>17.849</c:v>
                </c:pt>
                <c:pt idx="18">
                  <c:v>18.78699999999996</c:v>
                </c:pt>
                <c:pt idx="19">
                  <c:v>19.564999999999991</c:v>
                </c:pt>
                <c:pt idx="20">
                  <c:v>16.699000000000009</c:v>
                </c:pt>
                <c:pt idx="21">
                  <c:v>20.25</c:v>
                </c:pt>
                <c:pt idx="22">
                  <c:v>21.895</c:v>
                </c:pt>
                <c:pt idx="23">
                  <c:v>21.913</c:v>
                </c:pt>
                <c:pt idx="24">
                  <c:v>24.007000000000001</c:v>
                </c:pt>
                <c:pt idx="25">
                  <c:v>25.523</c:v>
                </c:pt>
                <c:pt idx="26">
                  <c:v>26.49199999999999</c:v>
                </c:pt>
                <c:pt idx="27">
                  <c:v>27.204999999999991</c:v>
                </c:pt>
                <c:pt idx="28">
                  <c:v>21.422999999999959</c:v>
                </c:pt>
                <c:pt idx="29">
                  <c:v>26.885000000000002</c:v>
                </c:pt>
                <c:pt idx="30">
                  <c:v>27.951000000000001</c:v>
                </c:pt>
                <c:pt idx="31">
                  <c:v>28.724</c:v>
                </c:pt>
                <c:pt idx="32">
                  <c:v>24.343</c:v>
                </c:pt>
                <c:pt idx="33">
                  <c:v>26.03</c:v>
                </c:pt>
                <c:pt idx="34">
                  <c:v>30.622</c:v>
                </c:pt>
                <c:pt idx="35">
                  <c:v>30.055</c:v>
                </c:pt>
                <c:pt idx="36">
                  <c:v>32.156000000000013</c:v>
                </c:pt>
                <c:pt idx="37">
                  <c:v>34.17</c:v>
                </c:pt>
                <c:pt idx="38">
                  <c:v>32.411286764705793</c:v>
                </c:pt>
                <c:pt idx="39">
                  <c:v>33.073691176470447</c:v>
                </c:pt>
                <c:pt idx="40">
                  <c:v>33.73609558823523</c:v>
                </c:pt>
                <c:pt idx="41">
                  <c:v>34.398500000000013</c:v>
                </c:pt>
                <c:pt idx="42">
                  <c:v>35.060904411764419</c:v>
                </c:pt>
                <c:pt idx="43">
                  <c:v>35.7233088235295</c:v>
                </c:pt>
                <c:pt idx="44">
                  <c:v>36.385713235294133</c:v>
                </c:pt>
                <c:pt idx="45">
                  <c:v>37.048117647058703</c:v>
                </c:pt>
                <c:pt idx="46">
                  <c:v>37.710522058823472</c:v>
                </c:pt>
                <c:pt idx="47">
                  <c:v>38.372926470588247</c:v>
                </c:pt>
                <c:pt idx="48">
                  <c:v>39.035330882352902</c:v>
                </c:pt>
                <c:pt idx="49">
                  <c:v>39.697735294117663</c:v>
                </c:pt>
                <c:pt idx="50">
                  <c:v>40.360139705882361</c:v>
                </c:pt>
                <c:pt idx="51">
                  <c:v>41.022544117646881</c:v>
                </c:pt>
                <c:pt idx="52">
                  <c:v>41.684948529411713</c:v>
                </c:pt>
                <c:pt idx="53">
                  <c:v>42.347352941176503</c:v>
                </c:pt>
                <c:pt idx="54">
                  <c:v>43.009757352941051</c:v>
                </c:pt>
                <c:pt idx="55">
                  <c:v>43.672161764705862</c:v>
                </c:pt>
                <c:pt idx="56">
                  <c:v>44.334566176470602</c:v>
                </c:pt>
                <c:pt idx="57">
                  <c:v>44.996970588235172</c:v>
                </c:pt>
                <c:pt idx="58">
                  <c:v>45.659374999999962</c:v>
                </c:pt>
                <c:pt idx="59">
                  <c:v>46.321779411764588</c:v>
                </c:pt>
                <c:pt idx="60">
                  <c:v>46.9841838235293</c:v>
                </c:pt>
                <c:pt idx="61">
                  <c:v>47.646588235294082</c:v>
                </c:pt>
                <c:pt idx="62">
                  <c:v>48.308992647058929</c:v>
                </c:pt>
                <c:pt idx="63">
                  <c:v>48.971397058823342</c:v>
                </c:pt>
                <c:pt idx="64">
                  <c:v>49.633801470588203</c:v>
                </c:pt>
                <c:pt idx="65">
                  <c:v>50.296205882353043</c:v>
                </c:pt>
                <c:pt idx="66">
                  <c:v>50.958610294117527</c:v>
                </c:pt>
                <c:pt idx="67">
                  <c:v>51.621014705882303</c:v>
                </c:pt>
                <c:pt idx="68">
                  <c:v>52.283419117646993</c:v>
                </c:pt>
                <c:pt idx="69">
                  <c:v>52.945823529411527</c:v>
                </c:pt>
                <c:pt idx="70">
                  <c:v>53.608227941176438</c:v>
                </c:pt>
                <c:pt idx="71">
                  <c:v>54.270632352941263</c:v>
                </c:pt>
                <c:pt idx="72">
                  <c:v>54.933036764705783</c:v>
                </c:pt>
                <c:pt idx="73">
                  <c:v>55.595441176470558</c:v>
                </c:pt>
                <c:pt idx="74">
                  <c:v>56.257845588235213</c:v>
                </c:pt>
                <c:pt idx="75">
                  <c:v>56.920249999999903</c:v>
                </c:pt>
              </c:numCache>
            </c:numRef>
          </c:yVal>
          <c:smooth val="1"/>
        </c:ser>
        <c:ser>
          <c:idx val="1"/>
          <c:order val="1"/>
          <c:tx>
            <c:strRef>
              <c:f>'ValueAdded-rawdata'!$B$4</c:f>
              <c:strCache>
                <c:ptCount val="1"/>
                <c:pt idx="0">
                  <c:v>Mining</c:v>
                </c:pt>
              </c:strCache>
            </c:strRef>
          </c:tx>
          <c:xVal>
            <c:numRef>
              <c:f>'ValueAdded-rawdata'!$C$2:$BZ$2</c:f>
              <c:numCache>
                <c:formatCode>General</c:formatCode>
                <c:ptCount val="76"/>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pt idx="38">
                  <c:v>2013</c:v>
                </c:pt>
                <c:pt idx="39">
                  <c:v>2014</c:v>
                </c:pt>
                <c:pt idx="40">
                  <c:v>2015</c:v>
                </c:pt>
                <c:pt idx="41">
                  <c:v>2016</c:v>
                </c:pt>
                <c:pt idx="42">
                  <c:v>2017</c:v>
                </c:pt>
                <c:pt idx="43">
                  <c:v>2018</c:v>
                </c:pt>
                <c:pt idx="44">
                  <c:v>2019</c:v>
                </c:pt>
                <c:pt idx="45">
                  <c:v>2020</c:v>
                </c:pt>
                <c:pt idx="46">
                  <c:v>2021</c:v>
                </c:pt>
                <c:pt idx="47">
                  <c:v>2022</c:v>
                </c:pt>
                <c:pt idx="48">
                  <c:v>2023</c:v>
                </c:pt>
                <c:pt idx="49">
                  <c:v>2024</c:v>
                </c:pt>
                <c:pt idx="50">
                  <c:v>2025</c:v>
                </c:pt>
                <c:pt idx="51">
                  <c:v>2026</c:v>
                </c:pt>
                <c:pt idx="52">
                  <c:v>2027</c:v>
                </c:pt>
                <c:pt idx="53">
                  <c:v>2028</c:v>
                </c:pt>
                <c:pt idx="54">
                  <c:v>2029</c:v>
                </c:pt>
                <c:pt idx="55">
                  <c:v>2030</c:v>
                </c:pt>
                <c:pt idx="56">
                  <c:v>2031</c:v>
                </c:pt>
                <c:pt idx="57">
                  <c:v>2032</c:v>
                </c:pt>
                <c:pt idx="58">
                  <c:v>2033</c:v>
                </c:pt>
                <c:pt idx="59">
                  <c:v>2034</c:v>
                </c:pt>
                <c:pt idx="60">
                  <c:v>2035</c:v>
                </c:pt>
                <c:pt idx="61">
                  <c:v>2036</c:v>
                </c:pt>
                <c:pt idx="62">
                  <c:v>2037</c:v>
                </c:pt>
                <c:pt idx="63">
                  <c:v>2038</c:v>
                </c:pt>
                <c:pt idx="64">
                  <c:v>2039</c:v>
                </c:pt>
                <c:pt idx="65">
                  <c:v>2040</c:v>
                </c:pt>
                <c:pt idx="66">
                  <c:v>2041</c:v>
                </c:pt>
                <c:pt idx="67">
                  <c:v>2042</c:v>
                </c:pt>
                <c:pt idx="68">
                  <c:v>2043</c:v>
                </c:pt>
                <c:pt idx="69">
                  <c:v>2044</c:v>
                </c:pt>
                <c:pt idx="70">
                  <c:v>2045</c:v>
                </c:pt>
                <c:pt idx="71">
                  <c:v>2046</c:v>
                </c:pt>
                <c:pt idx="72">
                  <c:v>2047</c:v>
                </c:pt>
                <c:pt idx="73">
                  <c:v>2048</c:v>
                </c:pt>
                <c:pt idx="74">
                  <c:v>2049</c:v>
                </c:pt>
                <c:pt idx="75">
                  <c:v>2050</c:v>
                </c:pt>
              </c:numCache>
            </c:numRef>
          </c:xVal>
          <c:yVal>
            <c:numRef>
              <c:f>'ValueAdded-rawdata'!$C$4:$BZ$4</c:f>
              <c:numCache>
                <c:formatCode>"$"#,##0</c:formatCode>
                <c:ptCount val="76"/>
                <c:pt idx="0">
                  <c:v>35.052</c:v>
                </c:pt>
                <c:pt idx="1">
                  <c:v>34.151000000000003</c:v>
                </c:pt>
                <c:pt idx="2">
                  <c:v>36.368000000000002</c:v>
                </c:pt>
                <c:pt idx="3">
                  <c:v>37.163000000000011</c:v>
                </c:pt>
                <c:pt idx="4">
                  <c:v>37.97</c:v>
                </c:pt>
                <c:pt idx="5">
                  <c:v>36.696000000000012</c:v>
                </c:pt>
                <c:pt idx="6">
                  <c:v>37.049999999999997</c:v>
                </c:pt>
                <c:pt idx="7">
                  <c:v>35.898000000000003</c:v>
                </c:pt>
                <c:pt idx="8">
                  <c:v>37.613</c:v>
                </c:pt>
                <c:pt idx="9">
                  <c:v>40.824000000000012</c:v>
                </c:pt>
                <c:pt idx="10">
                  <c:v>46.515000000000001</c:v>
                </c:pt>
                <c:pt idx="11">
                  <c:v>51.227000000000011</c:v>
                </c:pt>
                <c:pt idx="12">
                  <c:v>48.197000000000003</c:v>
                </c:pt>
                <c:pt idx="13">
                  <c:v>56.817999999999998</c:v>
                </c:pt>
                <c:pt idx="14">
                  <c:v>59.647000000000013</c:v>
                </c:pt>
                <c:pt idx="15">
                  <c:v>65.628999999999948</c:v>
                </c:pt>
                <c:pt idx="16">
                  <c:v>69.36</c:v>
                </c:pt>
                <c:pt idx="17">
                  <c:v>72.531999999999996</c:v>
                </c:pt>
                <c:pt idx="18">
                  <c:v>73.254000000000005</c:v>
                </c:pt>
                <c:pt idx="19">
                  <c:v>74.533000000000001</c:v>
                </c:pt>
                <c:pt idx="20">
                  <c:v>79.873999999999981</c:v>
                </c:pt>
                <c:pt idx="21">
                  <c:v>87.092000000000013</c:v>
                </c:pt>
                <c:pt idx="22">
                  <c:v>88.233999999999995</c:v>
                </c:pt>
                <c:pt idx="23">
                  <c:v>91.245000000000005</c:v>
                </c:pt>
                <c:pt idx="24">
                  <c:v>90.733000000000004</c:v>
                </c:pt>
                <c:pt idx="25">
                  <c:v>95.039000000000001</c:v>
                </c:pt>
                <c:pt idx="26">
                  <c:v>102.818</c:v>
                </c:pt>
                <c:pt idx="27">
                  <c:v>103.191</c:v>
                </c:pt>
                <c:pt idx="28">
                  <c:v>103.875</c:v>
                </c:pt>
                <c:pt idx="29">
                  <c:v>100.846</c:v>
                </c:pt>
                <c:pt idx="30">
                  <c:v>106.108</c:v>
                </c:pt>
                <c:pt idx="31">
                  <c:v>108.13</c:v>
                </c:pt>
                <c:pt idx="32">
                  <c:v>117.2910000000001</c:v>
                </c:pt>
                <c:pt idx="33">
                  <c:v>119.661</c:v>
                </c:pt>
                <c:pt idx="34">
                  <c:v>123.31</c:v>
                </c:pt>
                <c:pt idx="35">
                  <c:v>133.01400000000001</c:v>
                </c:pt>
                <c:pt idx="36">
                  <c:v>131.10900000000001</c:v>
                </c:pt>
                <c:pt idx="37">
                  <c:v>139.947</c:v>
                </c:pt>
                <c:pt idx="38">
                  <c:v>136.79845588235281</c:v>
                </c:pt>
                <c:pt idx="39">
                  <c:v>139.9614019607846</c:v>
                </c:pt>
                <c:pt idx="40">
                  <c:v>143.12434803921599</c:v>
                </c:pt>
                <c:pt idx="41">
                  <c:v>146.28729411764741</c:v>
                </c:pt>
                <c:pt idx="42">
                  <c:v>149.45024019607811</c:v>
                </c:pt>
                <c:pt idx="43">
                  <c:v>152.6131862745093</c:v>
                </c:pt>
                <c:pt idx="44">
                  <c:v>155.7761323529412</c:v>
                </c:pt>
                <c:pt idx="45">
                  <c:v>158.93907843137251</c:v>
                </c:pt>
                <c:pt idx="46">
                  <c:v>162.10202450980429</c:v>
                </c:pt>
                <c:pt idx="47">
                  <c:v>165.264970588235</c:v>
                </c:pt>
                <c:pt idx="48">
                  <c:v>168.42791666666679</c:v>
                </c:pt>
                <c:pt idx="49">
                  <c:v>171.59086274509801</c:v>
                </c:pt>
                <c:pt idx="50">
                  <c:v>174.75380882352971</c:v>
                </c:pt>
                <c:pt idx="51">
                  <c:v>177.91675490196079</c:v>
                </c:pt>
                <c:pt idx="52">
                  <c:v>181.07970098039181</c:v>
                </c:pt>
                <c:pt idx="53">
                  <c:v>184.24264705882371</c:v>
                </c:pt>
                <c:pt idx="54">
                  <c:v>187.40559313725501</c:v>
                </c:pt>
                <c:pt idx="55">
                  <c:v>190.5685392156868</c:v>
                </c:pt>
                <c:pt idx="56">
                  <c:v>193.73148529411651</c:v>
                </c:pt>
                <c:pt idx="57">
                  <c:v>196.89443137254881</c:v>
                </c:pt>
                <c:pt idx="58">
                  <c:v>200.05737745098099</c:v>
                </c:pt>
                <c:pt idx="59">
                  <c:v>203.22032352941179</c:v>
                </c:pt>
                <c:pt idx="60">
                  <c:v>206.3832696078434</c:v>
                </c:pt>
                <c:pt idx="61">
                  <c:v>209.54621568627411</c:v>
                </c:pt>
                <c:pt idx="62">
                  <c:v>212.7091617647045</c:v>
                </c:pt>
                <c:pt idx="63">
                  <c:v>215.87210784313751</c:v>
                </c:pt>
                <c:pt idx="64">
                  <c:v>219.03505392156791</c:v>
                </c:pt>
                <c:pt idx="65">
                  <c:v>222.19800000000041</c:v>
                </c:pt>
                <c:pt idx="66">
                  <c:v>225.36094607843151</c:v>
                </c:pt>
                <c:pt idx="67">
                  <c:v>228.52389215686219</c:v>
                </c:pt>
                <c:pt idx="68">
                  <c:v>231.68683823529449</c:v>
                </c:pt>
                <c:pt idx="69">
                  <c:v>234.84978431372559</c:v>
                </c:pt>
                <c:pt idx="70">
                  <c:v>238.01273039215721</c:v>
                </c:pt>
                <c:pt idx="71">
                  <c:v>241.17567647058769</c:v>
                </c:pt>
                <c:pt idx="72">
                  <c:v>244.3386225490197</c:v>
                </c:pt>
                <c:pt idx="73">
                  <c:v>247.50156862745101</c:v>
                </c:pt>
                <c:pt idx="74">
                  <c:v>250.66451470588191</c:v>
                </c:pt>
                <c:pt idx="75">
                  <c:v>253.82746078431421</c:v>
                </c:pt>
              </c:numCache>
            </c:numRef>
          </c:yVal>
          <c:smooth val="1"/>
        </c:ser>
        <c:ser>
          <c:idx val="2"/>
          <c:order val="2"/>
          <c:tx>
            <c:strRef>
              <c:f>'ValueAdded-rawdata'!$B$5</c:f>
              <c:strCache>
                <c:ptCount val="1"/>
                <c:pt idx="0">
                  <c:v>Manufacturing</c:v>
                </c:pt>
              </c:strCache>
            </c:strRef>
          </c:tx>
          <c:xVal>
            <c:numRef>
              <c:f>'ValueAdded-rawdata'!$C$2:$BZ$2</c:f>
              <c:numCache>
                <c:formatCode>General</c:formatCode>
                <c:ptCount val="76"/>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pt idx="38">
                  <c:v>2013</c:v>
                </c:pt>
                <c:pt idx="39">
                  <c:v>2014</c:v>
                </c:pt>
                <c:pt idx="40">
                  <c:v>2015</c:v>
                </c:pt>
                <c:pt idx="41">
                  <c:v>2016</c:v>
                </c:pt>
                <c:pt idx="42">
                  <c:v>2017</c:v>
                </c:pt>
                <c:pt idx="43">
                  <c:v>2018</c:v>
                </c:pt>
                <c:pt idx="44">
                  <c:v>2019</c:v>
                </c:pt>
                <c:pt idx="45">
                  <c:v>2020</c:v>
                </c:pt>
                <c:pt idx="46">
                  <c:v>2021</c:v>
                </c:pt>
                <c:pt idx="47">
                  <c:v>2022</c:v>
                </c:pt>
                <c:pt idx="48">
                  <c:v>2023</c:v>
                </c:pt>
                <c:pt idx="49">
                  <c:v>2024</c:v>
                </c:pt>
                <c:pt idx="50">
                  <c:v>2025</c:v>
                </c:pt>
                <c:pt idx="51">
                  <c:v>2026</c:v>
                </c:pt>
                <c:pt idx="52">
                  <c:v>2027</c:v>
                </c:pt>
                <c:pt idx="53">
                  <c:v>2028</c:v>
                </c:pt>
                <c:pt idx="54">
                  <c:v>2029</c:v>
                </c:pt>
                <c:pt idx="55">
                  <c:v>2030</c:v>
                </c:pt>
                <c:pt idx="56">
                  <c:v>2031</c:v>
                </c:pt>
                <c:pt idx="57">
                  <c:v>2032</c:v>
                </c:pt>
                <c:pt idx="58">
                  <c:v>2033</c:v>
                </c:pt>
                <c:pt idx="59">
                  <c:v>2034</c:v>
                </c:pt>
                <c:pt idx="60">
                  <c:v>2035</c:v>
                </c:pt>
                <c:pt idx="61">
                  <c:v>2036</c:v>
                </c:pt>
                <c:pt idx="62">
                  <c:v>2037</c:v>
                </c:pt>
                <c:pt idx="63">
                  <c:v>2038</c:v>
                </c:pt>
                <c:pt idx="64">
                  <c:v>2039</c:v>
                </c:pt>
                <c:pt idx="65">
                  <c:v>2040</c:v>
                </c:pt>
                <c:pt idx="66">
                  <c:v>2041</c:v>
                </c:pt>
                <c:pt idx="67">
                  <c:v>2042</c:v>
                </c:pt>
                <c:pt idx="68">
                  <c:v>2043</c:v>
                </c:pt>
                <c:pt idx="69">
                  <c:v>2044</c:v>
                </c:pt>
                <c:pt idx="70">
                  <c:v>2045</c:v>
                </c:pt>
                <c:pt idx="71">
                  <c:v>2046</c:v>
                </c:pt>
                <c:pt idx="72">
                  <c:v>2047</c:v>
                </c:pt>
                <c:pt idx="73">
                  <c:v>2048</c:v>
                </c:pt>
                <c:pt idx="74">
                  <c:v>2049</c:v>
                </c:pt>
                <c:pt idx="75">
                  <c:v>2050</c:v>
                </c:pt>
              </c:numCache>
            </c:numRef>
          </c:xVal>
          <c:yVal>
            <c:numRef>
              <c:f>'ValueAdded-rawdata'!$C$5:$BZ$5</c:f>
              <c:numCache>
                <c:formatCode>"$"#,##0</c:formatCode>
                <c:ptCount val="76"/>
                <c:pt idx="0">
                  <c:v>67.293999999999997</c:v>
                </c:pt>
                <c:pt idx="1">
                  <c:v>66.575999999999979</c:v>
                </c:pt>
                <c:pt idx="2">
                  <c:v>68.221000000000004</c:v>
                </c:pt>
                <c:pt idx="3">
                  <c:v>67.926000000000002</c:v>
                </c:pt>
                <c:pt idx="4">
                  <c:v>70.721999999999994</c:v>
                </c:pt>
                <c:pt idx="5">
                  <c:v>73.77</c:v>
                </c:pt>
                <c:pt idx="6">
                  <c:v>75.283000000000001</c:v>
                </c:pt>
                <c:pt idx="7">
                  <c:v>77.149000000000001</c:v>
                </c:pt>
                <c:pt idx="8">
                  <c:v>70.804000000000002</c:v>
                </c:pt>
                <c:pt idx="9">
                  <c:v>71.877999999999986</c:v>
                </c:pt>
                <c:pt idx="10">
                  <c:v>75.55</c:v>
                </c:pt>
                <c:pt idx="11">
                  <c:v>76.031000000000006</c:v>
                </c:pt>
                <c:pt idx="12">
                  <c:v>78.111000000000004</c:v>
                </c:pt>
                <c:pt idx="13">
                  <c:v>83.32</c:v>
                </c:pt>
                <c:pt idx="14">
                  <c:v>88.12</c:v>
                </c:pt>
                <c:pt idx="15">
                  <c:v>87.081999999999994</c:v>
                </c:pt>
                <c:pt idx="16">
                  <c:v>85.164000000000001</c:v>
                </c:pt>
                <c:pt idx="17">
                  <c:v>82.638000000000005</c:v>
                </c:pt>
                <c:pt idx="18">
                  <c:v>84.403000000000006</c:v>
                </c:pt>
                <c:pt idx="19">
                  <c:v>88.168000000000006</c:v>
                </c:pt>
                <c:pt idx="20">
                  <c:v>90.04</c:v>
                </c:pt>
                <c:pt idx="21">
                  <c:v>92.058000000000007</c:v>
                </c:pt>
                <c:pt idx="22">
                  <c:v>93.533000000000001</c:v>
                </c:pt>
                <c:pt idx="23">
                  <c:v>96.126999999999981</c:v>
                </c:pt>
                <c:pt idx="24">
                  <c:v>97.994000000000199</c:v>
                </c:pt>
                <c:pt idx="25">
                  <c:v>98.765000000000001</c:v>
                </c:pt>
                <c:pt idx="26">
                  <c:v>100.815</c:v>
                </c:pt>
                <c:pt idx="27">
                  <c:v>102.992</c:v>
                </c:pt>
                <c:pt idx="28">
                  <c:v>107.145</c:v>
                </c:pt>
                <c:pt idx="29">
                  <c:v>108.313</c:v>
                </c:pt>
                <c:pt idx="30">
                  <c:v>107.01300000000001</c:v>
                </c:pt>
                <c:pt idx="31">
                  <c:v>106.61799999999999</c:v>
                </c:pt>
                <c:pt idx="32">
                  <c:v>108.678</c:v>
                </c:pt>
                <c:pt idx="33">
                  <c:v>113.035</c:v>
                </c:pt>
                <c:pt idx="34">
                  <c:v>107.249</c:v>
                </c:pt>
                <c:pt idx="35">
                  <c:v>107.759</c:v>
                </c:pt>
                <c:pt idx="36">
                  <c:v>107.80800000000001</c:v>
                </c:pt>
                <c:pt idx="37">
                  <c:v>106.80800000000001</c:v>
                </c:pt>
                <c:pt idx="38">
                  <c:v>112.9928161764704</c:v>
                </c:pt>
                <c:pt idx="39">
                  <c:v>114.02659313725439</c:v>
                </c:pt>
                <c:pt idx="40">
                  <c:v>115.060370098039</c:v>
                </c:pt>
                <c:pt idx="41">
                  <c:v>116.09414705882359</c:v>
                </c:pt>
                <c:pt idx="42">
                  <c:v>117.1279240196077</c:v>
                </c:pt>
                <c:pt idx="43">
                  <c:v>118.1617009803923</c:v>
                </c:pt>
                <c:pt idx="44">
                  <c:v>119.19547794117631</c:v>
                </c:pt>
                <c:pt idx="45">
                  <c:v>120.229254901961</c:v>
                </c:pt>
                <c:pt idx="46">
                  <c:v>121.2630318627447</c:v>
                </c:pt>
                <c:pt idx="47">
                  <c:v>122.2968088235291</c:v>
                </c:pt>
                <c:pt idx="48">
                  <c:v>123.330585784314</c:v>
                </c:pt>
                <c:pt idx="49">
                  <c:v>124.36436274509801</c:v>
                </c:pt>
                <c:pt idx="50">
                  <c:v>125.3981397058824</c:v>
                </c:pt>
                <c:pt idx="51">
                  <c:v>126.4319166666665</c:v>
                </c:pt>
                <c:pt idx="52">
                  <c:v>127.465693627451</c:v>
                </c:pt>
                <c:pt idx="53">
                  <c:v>128.49947058823571</c:v>
                </c:pt>
                <c:pt idx="54">
                  <c:v>129.53324754901979</c:v>
                </c:pt>
                <c:pt idx="55">
                  <c:v>130.56702450980401</c:v>
                </c:pt>
                <c:pt idx="56">
                  <c:v>131.60080147058801</c:v>
                </c:pt>
                <c:pt idx="57">
                  <c:v>132.63457843137201</c:v>
                </c:pt>
                <c:pt idx="58">
                  <c:v>133.66835539215629</c:v>
                </c:pt>
                <c:pt idx="59">
                  <c:v>134.70213235294139</c:v>
                </c:pt>
                <c:pt idx="60">
                  <c:v>135.73590931372561</c:v>
                </c:pt>
                <c:pt idx="61">
                  <c:v>136.7696862745093</c:v>
                </c:pt>
                <c:pt idx="62">
                  <c:v>137.8034632352942</c:v>
                </c:pt>
                <c:pt idx="63">
                  <c:v>138.83724019607831</c:v>
                </c:pt>
                <c:pt idx="64">
                  <c:v>139.87101715686279</c:v>
                </c:pt>
                <c:pt idx="65">
                  <c:v>140.90479411764679</c:v>
                </c:pt>
                <c:pt idx="66">
                  <c:v>141.93857107843141</c:v>
                </c:pt>
                <c:pt idx="67">
                  <c:v>142.9723480392162</c:v>
                </c:pt>
                <c:pt idx="68">
                  <c:v>144.006125</c:v>
                </c:pt>
                <c:pt idx="69">
                  <c:v>145.03990196078439</c:v>
                </c:pt>
                <c:pt idx="70">
                  <c:v>146.07367892156731</c:v>
                </c:pt>
                <c:pt idx="71">
                  <c:v>147.10745588235301</c:v>
                </c:pt>
                <c:pt idx="72">
                  <c:v>148.141232843137</c:v>
                </c:pt>
                <c:pt idx="73">
                  <c:v>149.17500980392151</c:v>
                </c:pt>
                <c:pt idx="74">
                  <c:v>150.20878676470571</c:v>
                </c:pt>
                <c:pt idx="75">
                  <c:v>151.2425637254897</c:v>
                </c:pt>
              </c:numCache>
            </c:numRef>
          </c:yVal>
          <c:smooth val="1"/>
        </c:ser>
        <c:ser>
          <c:idx val="3"/>
          <c:order val="3"/>
          <c:tx>
            <c:strRef>
              <c:f>'ValueAdded-rawdata'!$B$6</c:f>
              <c:strCache>
                <c:ptCount val="1"/>
                <c:pt idx="0">
                  <c:v>Construction</c:v>
                </c:pt>
              </c:strCache>
            </c:strRef>
          </c:tx>
          <c:xVal>
            <c:numRef>
              <c:f>'ValueAdded-rawdata'!$C$2:$BZ$2</c:f>
              <c:numCache>
                <c:formatCode>General</c:formatCode>
                <c:ptCount val="76"/>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pt idx="38">
                  <c:v>2013</c:v>
                </c:pt>
                <c:pt idx="39">
                  <c:v>2014</c:v>
                </c:pt>
                <c:pt idx="40">
                  <c:v>2015</c:v>
                </c:pt>
                <c:pt idx="41">
                  <c:v>2016</c:v>
                </c:pt>
                <c:pt idx="42">
                  <c:v>2017</c:v>
                </c:pt>
                <c:pt idx="43">
                  <c:v>2018</c:v>
                </c:pt>
                <c:pt idx="44">
                  <c:v>2019</c:v>
                </c:pt>
                <c:pt idx="45">
                  <c:v>2020</c:v>
                </c:pt>
                <c:pt idx="46">
                  <c:v>2021</c:v>
                </c:pt>
                <c:pt idx="47">
                  <c:v>2022</c:v>
                </c:pt>
                <c:pt idx="48">
                  <c:v>2023</c:v>
                </c:pt>
                <c:pt idx="49">
                  <c:v>2024</c:v>
                </c:pt>
                <c:pt idx="50">
                  <c:v>2025</c:v>
                </c:pt>
                <c:pt idx="51">
                  <c:v>2026</c:v>
                </c:pt>
                <c:pt idx="52">
                  <c:v>2027</c:v>
                </c:pt>
                <c:pt idx="53">
                  <c:v>2028</c:v>
                </c:pt>
                <c:pt idx="54">
                  <c:v>2029</c:v>
                </c:pt>
                <c:pt idx="55">
                  <c:v>2030</c:v>
                </c:pt>
                <c:pt idx="56">
                  <c:v>2031</c:v>
                </c:pt>
                <c:pt idx="57">
                  <c:v>2032</c:v>
                </c:pt>
                <c:pt idx="58">
                  <c:v>2033</c:v>
                </c:pt>
                <c:pt idx="59">
                  <c:v>2034</c:v>
                </c:pt>
                <c:pt idx="60">
                  <c:v>2035</c:v>
                </c:pt>
                <c:pt idx="61">
                  <c:v>2036</c:v>
                </c:pt>
                <c:pt idx="62">
                  <c:v>2037</c:v>
                </c:pt>
                <c:pt idx="63">
                  <c:v>2038</c:v>
                </c:pt>
                <c:pt idx="64">
                  <c:v>2039</c:v>
                </c:pt>
                <c:pt idx="65">
                  <c:v>2040</c:v>
                </c:pt>
                <c:pt idx="66">
                  <c:v>2041</c:v>
                </c:pt>
                <c:pt idx="67">
                  <c:v>2042</c:v>
                </c:pt>
                <c:pt idx="68">
                  <c:v>2043</c:v>
                </c:pt>
                <c:pt idx="69">
                  <c:v>2044</c:v>
                </c:pt>
                <c:pt idx="70">
                  <c:v>2045</c:v>
                </c:pt>
                <c:pt idx="71">
                  <c:v>2046</c:v>
                </c:pt>
                <c:pt idx="72">
                  <c:v>2047</c:v>
                </c:pt>
                <c:pt idx="73">
                  <c:v>2048</c:v>
                </c:pt>
                <c:pt idx="74">
                  <c:v>2049</c:v>
                </c:pt>
                <c:pt idx="75">
                  <c:v>2050</c:v>
                </c:pt>
              </c:numCache>
            </c:numRef>
          </c:xVal>
          <c:yVal>
            <c:numRef>
              <c:f>'ValueAdded-rawdata'!$C$6:$BZ$6</c:f>
              <c:numCache>
                <c:formatCode>"$"#,##0</c:formatCode>
                <c:ptCount val="76"/>
                <c:pt idx="0">
                  <c:v>30.169</c:v>
                </c:pt>
                <c:pt idx="1">
                  <c:v>31.709</c:v>
                </c:pt>
                <c:pt idx="2">
                  <c:v>33.238000000000063</c:v>
                </c:pt>
                <c:pt idx="3">
                  <c:v>32.264000000000003</c:v>
                </c:pt>
                <c:pt idx="4">
                  <c:v>33.189</c:v>
                </c:pt>
                <c:pt idx="5">
                  <c:v>33.957999999999998</c:v>
                </c:pt>
                <c:pt idx="6">
                  <c:v>36.436999999999998</c:v>
                </c:pt>
                <c:pt idx="7">
                  <c:v>38.027000000000001</c:v>
                </c:pt>
                <c:pt idx="8">
                  <c:v>33.707000000000001</c:v>
                </c:pt>
                <c:pt idx="9">
                  <c:v>33.793000000000013</c:v>
                </c:pt>
                <c:pt idx="10">
                  <c:v>36.708000000000013</c:v>
                </c:pt>
                <c:pt idx="11">
                  <c:v>38.698000000000071</c:v>
                </c:pt>
                <c:pt idx="12">
                  <c:v>37.610999999999997</c:v>
                </c:pt>
                <c:pt idx="13">
                  <c:v>40.594000000000001</c:v>
                </c:pt>
                <c:pt idx="14">
                  <c:v>44.729000000000013</c:v>
                </c:pt>
                <c:pt idx="15">
                  <c:v>45.756</c:v>
                </c:pt>
                <c:pt idx="16">
                  <c:v>42.775000000000013</c:v>
                </c:pt>
                <c:pt idx="17">
                  <c:v>39.232000000000063</c:v>
                </c:pt>
                <c:pt idx="18">
                  <c:v>41.515000000000001</c:v>
                </c:pt>
                <c:pt idx="19">
                  <c:v>44.051000000000002</c:v>
                </c:pt>
                <c:pt idx="20">
                  <c:v>46.488</c:v>
                </c:pt>
                <c:pt idx="21">
                  <c:v>47.325000000000003</c:v>
                </c:pt>
                <c:pt idx="22">
                  <c:v>48.622000000000071</c:v>
                </c:pt>
                <c:pt idx="23">
                  <c:v>53.47</c:v>
                </c:pt>
                <c:pt idx="24">
                  <c:v>58.335000000000001</c:v>
                </c:pt>
                <c:pt idx="25">
                  <c:v>62.127000000000002</c:v>
                </c:pt>
                <c:pt idx="26">
                  <c:v>53.180999999999997</c:v>
                </c:pt>
                <c:pt idx="27">
                  <c:v>59.593000000000011</c:v>
                </c:pt>
                <c:pt idx="28">
                  <c:v>69.275000000000006</c:v>
                </c:pt>
                <c:pt idx="29">
                  <c:v>73.986999999999995</c:v>
                </c:pt>
                <c:pt idx="30">
                  <c:v>77.321999999999974</c:v>
                </c:pt>
                <c:pt idx="31">
                  <c:v>83.671999999999983</c:v>
                </c:pt>
                <c:pt idx="32">
                  <c:v>88.151999999999987</c:v>
                </c:pt>
                <c:pt idx="33">
                  <c:v>94.316000000000003</c:v>
                </c:pt>
                <c:pt idx="34">
                  <c:v>98.382000000000005</c:v>
                </c:pt>
                <c:pt idx="35">
                  <c:v>98.638999999999982</c:v>
                </c:pt>
                <c:pt idx="36">
                  <c:v>103.33799999999999</c:v>
                </c:pt>
                <c:pt idx="37">
                  <c:v>107.749</c:v>
                </c:pt>
                <c:pt idx="38">
                  <c:v>92.279287339971631</c:v>
                </c:pt>
                <c:pt idx="39">
                  <c:v>94.215157675894716</c:v>
                </c:pt>
                <c:pt idx="40">
                  <c:v>96.151028011817303</c:v>
                </c:pt>
                <c:pt idx="41">
                  <c:v>98.086898347740231</c:v>
                </c:pt>
                <c:pt idx="42">
                  <c:v>100.0227686836632</c:v>
                </c:pt>
                <c:pt idx="43">
                  <c:v>101.9586390195862</c:v>
                </c:pt>
                <c:pt idx="44">
                  <c:v>103.8945093555094</c:v>
                </c:pt>
                <c:pt idx="45">
                  <c:v>105.8303796914324</c:v>
                </c:pt>
                <c:pt idx="46">
                  <c:v>107.7662500273556</c:v>
                </c:pt>
                <c:pt idx="47">
                  <c:v>109.7021203632782</c:v>
                </c:pt>
                <c:pt idx="48">
                  <c:v>111.6379906992012</c:v>
                </c:pt>
                <c:pt idx="49">
                  <c:v>113.5738610351239</c:v>
                </c:pt>
                <c:pt idx="50">
                  <c:v>115.5097313710471</c:v>
                </c:pt>
                <c:pt idx="51">
                  <c:v>117.44560170697019</c:v>
                </c:pt>
                <c:pt idx="52">
                  <c:v>119.38147204289299</c:v>
                </c:pt>
                <c:pt idx="53">
                  <c:v>121.31734237881621</c:v>
                </c:pt>
                <c:pt idx="54">
                  <c:v>123.25321271473921</c:v>
                </c:pt>
                <c:pt idx="55">
                  <c:v>125.18908305066159</c:v>
                </c:pt>
                <c:pt idx="56">
                  <c:v>127.12495338658459</c:v>
                </c:pt>
                <c:pt idx="57">
                  <c:v>129.06082372250759</c:v>
                </c:pt>
                <c:pt idx="58">
                  <c:v>130.9966940584311</c:v>
                </c:pt>
                <c:pt idx="59">
                  <c:v>132.93256439435359</c:v>
                </c:pt>
                <c:pt idx="60">
                  <c:v>134.86843473027699</c:v>
                </c:pt>
                <c:pt idx="61">
                  <c:v>136.80430506619999</c:v>
                </c:pt>
                <c:pt idx="62">
                  <c:v>138.74017540212219</c:v>
                </c:pt>
                <c:pt idx="63">
                  <c:v>140.67604573804519</c:v>
                </c:pt>
                <c:pt idx="64">
                  <c:v>142.61191607396859</c:v>
                </c:pt>
                <c:pt idx="65">
                  <c:v>144.54778640989159</c:v>
                </c:pt>
                <c:pt idx="66">
                  <c:v>146.48365674581461</c:v>
                </c:pt>
                <c:pt idx="67">
                  <c:v>148.41952708173761</c:v>
                </c:pt>
                <c:pt idx="68">
                  <c:v>150.35539741766141</c:v>
                </c:pt>
                <c:pt idx="69">
                  <c:v>152.29126775358381</c:v>
                </c:pt>
                <c:pt idx="70">
                  <c:v>154.22713808950641</c:v>
                </c:pt>
                <c:pt idx="71">
                  <c:v>156.16300842542941</c:v>
                </c:pt>
                <c:pt idx="72">
                  <c:v>158.09887876135201</c:v>
                </c:pt>
                <c:pt idx="73">
                  <c:v>160.03474909727541</c:v>
                </c:pt>
                <c:pt idx="74">
                  <c:v>161.97061943319841</c:v>
                </c:pt>
                <c:pt idx="75">
                  <c:v>163.90648976912141</c:v>
                </c:pt>
              </c:numCache>
            </c:numRef>
          </c:yVal>
          <c:smooth val="1"/>
        </c:ser>
        <c:ser>
          <c:idx val="4"/>
          <c:order val="4"/>
          <c:tx>
            <c:strRef>
              <c:f>'ValueAdded-rawdata'!$B$7</c:f>
              <c:strCache>
                <c:ptCount val="1"/>
                <c:pt idx="0">
                  <c:v>Transport</c:v>
                </c:pt>
              </c:strCache>
            </c:strRef>
          </c:tx>
          <c:xVal>
            <c:numRef>
              <c:f>'ValueAdded-rawdata'!$C$2:$BZ$2</c:f>
              <c:numCache>
                <c:formatCode>General</c:formatCode>
                <c:ptCount val="76"/>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pt idx="38">
                  <c:v>2013</c:v>
                </c:pt>
                <c:pt idx="39">
                  <c:v>2014</c:v>
                </c:pt>
                <c:pt idx="40">
                  <c:v>2015</c:v>
                </c:pt>
                <c:pt idx="41">
                  <c:v>2016</c:v>
                </c:pt>
                <c:pt idx="42">
                  <c:v>2017</c:v>
                </c:pt>
                <c:pt idx="43">
                  <c:v>2018</c:v>
                </c:pt>
                <c:pt idx="44">
                  <c:v>2019</c:v>
                </c:pt>
                <c:pt idx="45">
                  <c:v>2020</c:v>
                </c:pt>
                <c:pt idx="46">
                  <c:v>2021</c:v>
                </c:pt>
                <c:pt idx="47">
                  <c:v>2022</c:v>
                </c:pt>
                <c:pt idx="48">
                  <c:v>2023</c:v>
                </c:pt>
                <c:pt idx="49">
                  <c:v>2024</c:v>
                </c:pt>
                <c:pt idx="50">
                  <c:v>2025</c:v>
                </c:pt>
                <c:pt idx="51">
                  <c:v>2026</c:v>
                </c:pt>
                <c:pt idx="52">
                  <c:v>2027</c:v>
                </c:pt>
                <c:pt idx="53">
                  <c:v>2028</c:v>
                </c:pt>
                <c:pt idx="54">
                  <c:v>2029</c:v>
                </c:pt>
                <c:pt idx="55">
                  <c:v>2030</c:v>
                </c:pt>
                <c:pt idx="56">
                  <c:v>2031</c:v>
                </c:pt>
                <c:pt idx="57">
                  <c:v>2032</c:v>
                </c:pt>
                <c:pt idx="58">
                  <c:v>2033</c:v>
                </c:pt>
                <c:pt idx="59">
                  <c:v>2034</c:v>
                </c:pt>
                <c:pt idx="60">
                  <c:v>2035</c:v>
                </c:pt>
                <c:pt idx="61">
                  <c:v>2036</c:v>
                </c:pt>
                <c:pt idx="62">
                  <c:v>2037</c:v>
                </c:pt>
                <c:pt idx="63">
                  <c:v>2038</c:v>
                </c:pt>
                <c:pt idx="64">
                  <c:v>2039</c:v>
                </c:pt>
                <c:pt idx="65">
                  <c:v>2040</c:v>
                </c:pt>
                <c:pt idx="66">
                  <c:v>2041</c:v>
                </c:pt>
                <c:pt idx="67">
                  <c:v>2042</c:v>
                </c:pt>
                <c:pt idx="68">
                  <c:v>2043</c:v>
                </c:pt>
                <c:pt idx="69">
                  <c:v>2044</c:v>
                </c:pt>
                <c:pt idx="70">
                  <c:v>2045</c:v>
                </c:pt>
                <c:pt idx="71">
                  <c:v>2046</c:v>
                </c:pt>
                <c:pt idx="72">
                  <c:v>2047</c:v>
                </c:pt>
                <c:pt idx="73">
                  <c:v>2048</c:v>
                </c:pt>
                <c:pt idx="74">
                  <c:v>2049</c:v>
                </c:pt>
                <c:pt idx="75">
                  <c:v>2050</c:v>
                </c:pt>
              </c:numCache>
            </c:numRef>
          </c:xVal>
          <c:yVal>
            <c:numRef>
              <c:f>'ValueAdded-rawdata'!$C$7:$BZ$7</c:f>
              <c:numCache>
                <c:formatCode>"$"#,##0</c:formatCode>
                <c:ptCount val="76"/>
                <c:pt idx="0">
                  <c:v>17.978999999999981</c:v>
                </c:pt>
                <c:pt idx="1">
                  <c:v>17.885000000000002</c:v>
                </c:pt>
                <c:pt idx="2">
                  <c:v>19.367000000000001</c:v>
                </c:pt>
                <c:pt idx="3">
                  <c:v>21.812999999999999</c:v>
                </c:pt>
                <c:pt idx="4">
                  <c:v>22.163</c:v>
                </c:pt>
                <c:pt idx="5">
                  <c:v>22.823</c:v>
                </c:pt>
                <c:pt idx="6">
                  <c:v>24.221</c:v>
                </c:pt>
                <c:pt idx="7">
                  <c:v>24.58899999999996</c:v>
                </c:pt>
                <c:pt idx="8">
                  <c:v>23.693000000000001</c:v>
                </c:pt>
                <c:pt idx="9">
                  <c:v>24.888000000000002</c:v>
                </c:pt>
                <c:pt idx="10">
                  <c:v>26.91</c:v>
                </c:pt>
                <c:pt idx="11">
                  <c:v>28.541</c:v>
                </c:pt>
                <c:pt idx="12">
                  <c:v>29.071000000000009</c:v>
                </c:pt>
                <c:pt idx="13">
                  <c:v>30.350999999999999</c:v>
                </c:pt>
                <c:pt idx="14">
                  <c:v>31.731999999999999</c:v>
                </c:pt>
                <c:pt idx="15">
                  <c:v>32.531000000000013</c:v>
                </c:pt>
                <c:pt idx="16">
                  <c:v>32.753</c:v>
                </c:pt>
                <c:pt idx="17">
                  <c:v>33.473000000000013</c:v>
                </c:pt>
                <c:pt idx="18">
                  <c:v>33.699000000000012</c:v>
                </c:pt>
                <c:pt idx="19">
                  <c:v>35.535000000000011</c:v>
                </c:pt>
                <c:pt idx="20">
                  <c:v>37.682000000000002</c:v>
                </c:pt>
                <c:pt idx="21">
                  <c:v>40.678000000000011</c:v>
                </c:pt>
                <c:pt idx="22">
                  <c:v>42.344999999999999</c:v>
                </c:pt>
                <c:pt idx="23">
                  <c:v>43.28</c:v>
                </c:pt>
                <c:pt idx="24">
                  <c:v>44.473000000000013</c:v>
                </c:pt>
                <c:pt idx="25">
                  <c:v>46.055999999999997</c:v>
                </c:pt>
                <c:pt idx="26">
                  <c:v>47.827000000000012</c:v>
                </c:pt>
                <c:pt idx="27">
                  <c:v>49.363</c:v>
                </c:pt>
                <c:pt idx="28">
                  <c:v>52.353000000000002</c:v>
                </c:pt>
                <c:pt idx="29">
                  <c:v>54.031000000000013</c:v>
                </c:pt>
                <c:pt idx="30">
                  <c:v>57.188000000000002</c:v>
                </c:pt>
                <c:pt idx="31">
                  <c:v>58.951999999999998</c:v>
                </c:pt>
                <c:pt idx="32">
                  <c:v>62.341999999999999</c:v>
                </c:pt>
                <c:pt idx="33">
                  <c:v>65.742999999999995</c:v>
                </c:pt>
                <c:pt idx="34">
                  <c:v>65.239000000000004</c:v>
                </c:pt>
                <c:pt idx="35">
                  <c:v>66.438999999999993</c:v>
                </c:pt>
                <c:pt idx="36">
                  <c:v>68.542000000000002</c:v>
                </c:pt>
                <c:pt idx="37">
                  <c:v>70.832999999999998</c:v>
                </c:pt>
                <c:pt idx="38">
                  <c:v>72.989698529411712</c:v>
                </c:pt>
                <c:pt idx="39">
                  <c:v>74.984083333333274</c:v>
                </c:pt>
                <c:pt idx="40">
                  <c:v>76.978468137254879</c:v>
                </c:pt>
                <c:pt idx="41">
                  <c:v>78.972852941176811</c:v>
                </c:pt>
                <c:pt idx="42">
                  <c:v>80.967237745098515</c:v>
                </c:pt>
                <c:pt idx="43">
                  <c:v>82.961622549020106</c:v>
                </c:pt>
                <c:pt idx="44">
                  <c:v>84.956007352941228</c:v>
                </c:pt>
                <c:pt idx="45">
                  <c:v>86.950392156862648</c:v>
                </c:pt>
                <c:pt idx="46">
                  <c:v>88.944776960784552</c:v>
                </c:pt>
                <c:pt idx="47">
                  <c:v>90.939161764706299</c:v>
                </c:pt>
                <c:pt idx="48">
                  <c:v>92.933546568627662</c:v>
                </c:pt>
                <c:pt idx="49">
                  <c:v>94.927931372548954</c:v>
                </c:pt>
                <c:pt idx="50">
                  <c:v>96.922316176470375</c:v>
                </c:pt>
                <c:pt idx="51">
                  <c:v>98.916700980392505</c:v>
                </c:pt>
                <c:pt idx="52">
                  <c:v>100.9110857843141</c:v>
                </c:pt>
                <c:pt idx="53">
                  <c:v>102.9054705882354</c:v>
                </c:pt>
                <c:pt idx="54">
                  <c:v>104.89985539215679</c:v>
                </c:pt>
                <c:pt idx="55">
                  <c:v>106.8942401960785</c:v>
                </c:pt>
                <c:pt idx="56">
                  <c:v>108.8886250000001</c:v>
                </c:pt>
                <c:pt idx="57">
                  <c:v>110.8830098039214</c:v>
                </c:pt>
                <c:pt idx="58">
                  <c:v>112.8773946078431</c:v>
                </c:pt>
                <c:pt idx="59">
                  <c:v>114.87177941176439</c:v>
                </c:pt>
                <c:pt idx="60">
                  <c:v>116.8661642156862</c:v>
                </c:pt>
                <c:pt idx="61">
                  <c:v>118.8605490196078</c:v>
                </c:pt>
                <c:pt idx="62">
                  <c:v>120.85493382352951</c:v>
                </c:pt>
                <c:pt idx="63">
                  <c:v>122.8493186274512</c:v>
                </c:pt>
                <c:pt idx="64">
                  <c:v>124.843703431373</c:v>
                </c:pt>
                <c:pt idx="65">
                  <c:v>126.83808823529419</c:v>
                </c:pt>
                <c:pt idx="66">
                  <c:v>128.83247303921601</c:v>
                </c:pt>
                <c:pt idx="67">
                  <c:v>130.8268578431377</c:v>
                </c:pt>
                <c:pt idx="68">
                  <c:v>132.82124264705959</c:v>
                </c:pt>
                <c:pt idx="69">
                  <c:v>134.815627450981</c:v>
                </c:pt>
                <c:pt idx="70">
                  <c:v>136.8100122549022</c:v>
                </c:pt>
                <c:pt idx="71">
                  <c:v>138.80439705882409</c:v>
                </c:pt>
                <c:pt idx="72">
                  <c:v>140.79878186274519</c:v>
                </c:pt>
                <c:pt idx="73">
                  <c:v>142.79316666666651</c:v>
                </c:pt>
                <c:pt idx="74">
                  <c:v>144.78755147058811</c:v>
                </c:pt>
                <c:pt idx="75">
                  <c:v>146.78193627451</c:v>
                </c:pt>
              </c:numCache>
            </c:numRef>
          </c:yVal>
          <c:smooth val="1"/>
        </c:ser>
        <c:ser>
          <c:idx val="6"/>
          <c:order val="5"/>
          <c:tx>
            <c:strRef>
              <c:f>'ValueAdded-rawdata'!$B$9</c:f>
              <c:strCache>
                <c:ptCount val="1"/>
                <c:pt idx="0">
                  <c:v>Residential</c:v>
                </c:pt>
              </c:strCache>
            </c:strRef>
          </c:tx>
          <c:xVal>
            <c:numRef>
              <c:f>'ValueAdded-rawdata'!$C$2:$BZ$2</c:f>
              <c:numCache>
                <c:formatCode>General</c:formatCode>
                <c:ptCount val="76"/>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pt idx="38">
                  <c:v>2013</c:v>
                </c:pt>
                <c:pt idx="39">
                  <c:v>2014</c:v>
                </c:pt>
                <c:pt idx="40">
                  <c:v>2015</c:v>
                </c:pt>
                <c:pt idx="41">
                  <c:v>2016</c:v>
                </c:pt>
                <c:pt idx="42">
                  <c:v>2017</c:v>
                </c:pt>
                <c:pt idx="43">
                  <c:v>2018</c:v>
                </c:pt>
                <c:pt idx="44">
                  <c:v>2019</c:v>
                </c:pt>
                <c:pt idx="45">
                  <c:v>2020</c:v>
                </c:pt>
                <c:pt idx="46">
                  <c:v>2021</c:v>
                </c:pt>
                <c:pt idx="47">
                  <c:v>2022</c:v>
                </c:pt>
                <c:pt idx="48">
                  <c:v>2023</c:v>
                </c:pt>
                <c:pt idx="49">
                  <c:v>2024</c:v>
                </c:pt>
                <c:pt idx="50">
                  <c:v>2025</c:v>
                </c:pt>
                <c:pt idx="51">
                  <c:v>2026</c:v>
                </c:pt>
                <c:pt idx="52">
                  <c:v>2027</c:v>
                </c:pt>
                <c:pt idx="53">
                  <c:v>2028</c:v>
                </c:pt>
                <c:pt idx="54">
                  <c:v>2029</c:v>
                </c:pt>
                <c:pt idx="55">
                  <c:v>2030</c:v>
                </c:pt>
                <c:pt idx="56">
                  <c:v>2031</c:v>
                </c:pt>
                <c:pt idx="57">
                  <c:v>2032</c:v>
                </c:pt>
                <c:pt idx="58">
                  <c:v>2033</c:v>
                </c:pt>
                <c:pt idx="59">
                  <c:v>2034</c:v>
                </c:pt>
                <c:pt idx="60">
                  <c:v>2035</c:v>
                </c:pt>
                <c:pt idx="61">
                  <c:v>2036</c:v>
                </c:pt>
                <c:pt idx="62">
                  <c:v>2037</c:v>
                </c:pt>
                <c:pt idx="63">
                  <c:v>2038</c:v>
                </c:pt>
                <c:pt idx="64">
                  <c:v>2039</c:v>
                </c:pt>
                <c:pt idx="65">
                  <c:v>2040</c:v>
                </c:pt>
                <c:pt idx="66">
                  <c:v>2041</c:v>
                </c:pt>
                <c:pt idx="67">
                  <c:v>2042</c:v>
                </c:pt>
                <c:pt idx="68">
                  <c:v>2043</c:v>
                </c:pt>
                <c:pt idx="69">
                  <c:v>2044</c:v>
                </c:pt>
                <c:pt idx="70">
                  <c:v>2045</c:v>
                </c:pt>
                <c:pt idx="71">
                  <c:v>2046</c:v>
                </c:pt>
                <c:pt idx="72">
                  <c:v>2047</c:v>
                </c:pt>
                <c:pt idx="73">
                  <c:v>2048</c:v>
                </c:pt>
                <c:pt idx="74">
                  <c:v>2049</c:v>
                </c:pt>
                <c:pt idx="75">
                  <c:v>2050</c:v>
                </c:pt>
              </c:numCache>
            </c:numRef>
          </c:xVal>
          <c:yVal>
            <c:numRef>
              <c:f>'ValueAdded-rawdata'!$C$9:$BZ$9</c:f>
              <c:numCache>
                <c:formatCode>"$"#,##0</c:formatCode>
                <c:ptCount val="76"/>
                <c:pt idx="0">
                  <c:v>32.665000000000013</c:v>
                </c:pt>
                <c:pt idx="1">
                  <c:v>34.089000000000013</c:v>
                </c:pt>
                <c:pt idx="2">
                  <c:v>35.843000000000004</c:v>
                </c:pt>
                <c:pt idx="3">
                  <c:v>37.871000000000002</c:v>
                </c:pt>
                <c:pt idx="4">
                  <c:v>39.874000000000002</c:v>
                </c:pt>
                <c:pt idx="5">
                  <c:v>41.982999999999997</c:v>
                </c:pt>
                <c:pt idx="6">
                  <c:v>44.27</c:v>
                </c:pt>
                <c:pt idx="7">
                  <c:v>46.109000000000002</c:v>
                </c:pt>
                <c:pt idx="8">
                  <c:v>47.148000000000003</c:v>
                </c:pt>
                <c:pt idx="9">
                  <c:v>48.133000000000003</c:v>
                </c:pt>
                <c:pt idx="10">
                  <c:v>49.247</c:v>
                </c:pt>
                <c:pt idx="11">
                  <c:v>51.120000000000012</c:v>
                </c:pt>
                <c:pt idx="12">
                  <c:v>52.853999999999999</c:v>
                </c:pt>
                <c:pt idx="13">
                  <c:v>54.535000000000011</c:v>
                </c:pt>
                <c:pt idx="14">
                  <c:v>56.598000000000013</c:v>
                </c:pt>
                <c:pt idx="15">
                  <c:v>58.805999999999997</c:v>
                </c:pt>
                <c:pt idx="16">
                  <c:v>60.683999999999997</c:v>
                </c:pt>
                <c:pt idx="17">
                  <c:v>62.401000000000003</c:v>
                </c:pt>
                <c:pt idx="18">
                  <c:v>64.405000000000001</c:v>
                </c:pt>
                <c:pt idx="19">
                  <c:v>66.715000000000003</c:v>
                </c:pt>
                <c:pt idx="20">
                  <c:v>69.293999999999997</c:v>
                </c:pt>
                <c:pt idx="21">
                  <c:v>70.980999999999995</c:v>
                </c:pt>
                <c:pt idx="22">
                  <c:v>74.426000000000002</c:v>
                </c:pt>
                <c:pt idx="23">
                  <c:v>76.486000000000004</c:v>
                </c:pt>
                <c:pt idx="24">
                  <c:v>78.661000000000001</c:v>
                </c:pt>
                <c:pt idx="25">
                  <c:v>81.417000000000201</c:v>
                </c:pt>
                <c:pt idx="26">
                  <c:v>84.427999999999997</c:v>
                </c:pt>
                <c:pt idx="27">
                  <c:v>87.08</c:v>
                </c:pt>
                <c:pt idx="28">
                  <c:v>89.302999999999983</c:v>
                </c:pt>
                <c:pt idx="29">
                  <c:v>92.042000000000002</c:v>
                </c:pt>
                <c:pt idx="30">
                  <c:v>95.2</c:v>
                </c:pt>
                <c:pt idx="31">
                  <c:v>97.607999999999976</c:v>
                </c:pt>
                <c:pt idx="32">
                  <c:v>99.668999999999983</c:v>
                </c:pt>
                <c:pt idx="33">
                  <c:v>102.268</c:v>
                </c:pt>
                <c:pt idx="34">
                  <c:v>104.72199999999999</c:v>
                </c:pt>
                <c:pt idx="35">
                  <c:v>105.9610000000001</c:v>
                </c:pt>
                <c:pt idx="36">
                  <c:v>107.39</c:v>
                </c:pt>
                <c:pt idx="37">
                  <c:v>110.026</c:v>
                </c:pt>
                <c:pt idx="38">
                  <c:v>113.82627205882341</c:v>
                </c:pt>
                <c:pt idx="39">
                  <c:v>116.2927990196076</c:v>
                </c:pt>
                <c:pt idx="40">
                  <c:v>118.75932598039159</c:v>
                </c:pt>
                <c:pt idx="41">
                  <c:v>121.2258529411765</c:v>
                </c:pt>
                <c:pt idx="42">
                  <c:v>123.69237990196051</c:v>
                </c:pt>
                <c:pt idx="43">
                  <c:v>126.1589068627442</c:v>
                </c:pt>
                <c:pt idx="44">
                  <c:v>128.6254338235297</c:v>
                </c:pt>
                <c:pt idx="45">
                  <c:v>131.09196078431339</c:v>
                </c:pt>
                <c:pt idx="46">
                  <c:v>133.55848774509869</c:v>
                </c:pt>
                <c:pt idx="47">
                  <c:v>136.025014705882</c:v>
                </c:pt>
                <c:pt idx="48">
                  <c:v>138.49154166666631</c:v>
                </c:pt>
                <c:pt idx="49">
                  <c:v>140.95806862745121</c:v>
                </c:pt>
                <c:pt idx="50">
                  <c:v>143.42459558823521</c:v>
                </c:pt>
                <c:pt idx="51">
                  <c:v>145.89112254901951</c:v>
                </c:pt>
                <c:pt idx="52">
                  <c:v>148.35764950980439</c:v>
                </c:pt>
                <c:pt idx="53">
                  <c:v>150.82417647058821</c:v>
                </c:pt>
                <c:pt idx="54">
                  <c:v>153.2907034313717</c:v>
                </c:pt>
                <c:pt idx="55">
                  <c:v>155.757230392157</c:v>
                </c:pt>
                <c:pt idx="56">
                  <c:v>158.22375735294099</c:v>
                </c:pt>
                <c:pt idx="57">
                  <c:v>160.69028431372499</c:v>
                </c:pt>
                <c:pt idx="58">
                  <c:v>163.15681127450981</c:v>
                </c:pt>
                <c:pt idx="59">
                  <c:v>165.6233382352942</c:v>
                </c:pt>
                <c:pt idx="60">
                  <c:v>168.08986519607731</c:v>
                </c:pt>
                <c:pt idx="61">
                  <c:v>170.55639215686281</c:v>
                </c:pt>
                <c:pt idx="62">
                  <c:v>173.02291911764721</c:v>
                </c:pt>
                <c:pt idx="63">
                  <c:v>175.48944607843131</c:v>
                </c:pt>
                <c:pt idx="64">
                  <c:v>177.95597303921571</c:v>
                </c:pt>
                <c:pt idx="65">
                  <c:v>180.42250000000001</c:v>
                </c:pt>
                <c:pt idx="66">
                  <c:v>182.889026960785</c:v>
                </c:pt>
                <c:pt idx="67">
                  <c:v>185.3555539215678</c:v>
                </c:pt>
                <c:pt idx="68">
                  <c:v>187.82208088235279</c:v>
                </c:pt>
                <c:pt idx="69">
                  <c:v>190.2886078431375</c:v>
                </c:pt>
                <c:pt idx="70">
                  <c:v>192.75513480392149</c:v>
                </c:pt>
                <c:pt idx="71">
                  <c:v>195.22166176470481</c:v>
                </c:pt>
                <c:pt idx="72">
                  <c:v>197.68818872549059</c:v>
                </c:pt>
                <c:pt idx="73">
                  <c:v>200.15471568627439</c:v>
                </c:pt>
                <c:pt idx="74">
                  <c:v>202.62124264705841</c:v>
                </c:pt>
                <c:pt idx="75">
                  <c:v>205.08776960784331</c:v>
                </c:pt>
              </c:numCache>
            </c:numRef>
          </c:yVal>
          <c:smooth val="1"/>
        </c:ser>
        <c:ser>
          <c:idx val="7"/>
          <c:order val="6"/>
          <c:tx>
            <c:strRef>
              <c:f>'ValueAdded-rawdata'!$B$12</c:f>
              <c:strCache>
                <c:ptCount val="1"/>
                <c:pt idx="0">
                  <c:v>Gas Supply</c:v>
                </c:pt>
              </c:strCache>
            </c:strRef>
          </c:tx>
          <c:xVal>
            <c:numRef>
              <c:f>'ValueAdded-rawdata'!$C$2:$BZ$2</c:f>
              <c:numCache>
                <c:formatCode>General</c:formatCode>
                <c:ptCount val="76"/>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pt idx="38">
                  <c:v>2013</c:v>
                </c:pt>
                <c:pt idx="39">
                  <c:v>2014</c:v>
                </c:pt>
                <c:pt idx="40">
                  <c:v>2015</c:v>
                </c:pt>
                <c:pt idx="41">
                  <c:v>2016</c:v>
                </c:pt>
                <c:pt idx="42">
                  <c:v>2017</c:v>
                </c:pt>
                <c:pt idx="43">
                  <c:v>2018</c:v>
                </c:pt>
                <c:pt idx="44">
                  <c:v>2019</c:v>
                </c:pt>
                <c:pt idx="45">
                  <c:v>2020</c:v>
                </c:pt>
                <c:pt idx="46">
                  <c:v>2021</c:v>
                </c:pt>
                <c:pt idx="47">
                  <c:v>2022</c:v>
                </c:pt>
                <c:pt idx="48">
                  <c:v>2023</c:v>
                </c:pt>
                <c:pt idx="49">
                  <c:v>2024</c:v>
                </c:pt>
                <c:pt idx="50">
                  <c:v>2025</c:v>
                </c:pt>
                <c:pt idx="51">
                  <c:v>2026</c:v>
                </c:pt>
                <c:pt idx="52">
                  <c:v>2027</c:v>
                </c:pt>
                <c:pt idx="53">
                  <c:v>2028</c:v>
                </c:pt>
                <c:pt idx="54">
                  <c:v>2029</c:v>
                </c:pt>
                <c:pt idx="55">
                  <c:v>2030</c:v>
                </c:pt>
                <c:pt idx="56">
                  <c:v>2031</c:v>
                </c:pt>
                <c:pt idx="57">
                  <c:v>2032</c:v>
                </c:pt>
                <c:pt idx="58">
                  <c:v>2033</c:v>
                </c:pt>
                <c:pt idx="59">
                  <c:v>2034</c:v>
                </c:pt>
                <c:pt idx="60">
                  <c:v>2035</c:v>
                </c:pt>
                <c:pt idx="61">
                  <c:v>2036</c:v>
                </c:pt>
                <c:pt idx="62">
                  <c:v>2037</c:v>
                </c:pt>
                <c:pt idx="63">
                  <c:v>2038</c:v>
                </c:pt>
                <c:pt idx="64">
                  <c:v>2039</c:v>
                </c:pt>
                <c:pt idx="65">
                  <c:v>2040</c:v>
                </c:pt>
                <c:pt idx="66">
                  <c:v>2041</c:v>
                </c:pt>
                <c:pt idx="67">
                  <c:v>2042</c:v>
                </c:pt>
                <c:pt idx="68">
                  <c:v>2043</c:v>
                </c:pt>
                <c:pt idx="69">
                  <c:v>2044</c:v>
                </c:pt>
                <c:pt idx="70">
                  <c:v>2045</c:v>
                </c:pt>
                <c:pt idx="71">
                  <c:v>2046</c:v>
                </c:pt>
                <c:pt idx="72">
                  <c:v>2047</c:v>
                </c:pt>
                <c:pt idx="73">
                  <c:v>2048</c:v>
                </c:pt>
                <c:pt idx="74">
                  <c:v>2049</c:v>
                </c:pt>
                <c:pt idx="75">
                  <c:v>2050</c:v>
                </c:pt>
              </c:numCache>
            </c:numRef>
          </c:xVal>
          <c:yVal>
            <c:numRef>
              <c:f>'ValueAdded-rawdata'!$C$12:$BZ$12</c:f>
              <c:numCache>
                <c:formatCode>"$"#,##0</c:formatCode>
                <c:ptCount val="76"/>
                <c:pt idx="0">
                  <c:v>7.0999999999999994E-2</c:v>
                </c:pt>
                <c:pt idx="1">
                  <c:v>0.11700000000000001</c:v>
                </c:pt>
                <c:pt idx="2">
                  <c:v>0.16800000000000001</c:v>
                </c:pt>
                <c:pt idx="3">
                  <c:v>0.20699999999999999</c:v>
                </c:pt>
                <c:pt idx="4">
                  <c:v>0.24199999999999999</c:v>
                </c:pt>
                <c:pt idx="5">
                  <c:v>0.29299999999999998</c:v>
                </c:pt>
                <c:pt idx="6">
                  <c:v>0.307</c:v>
                </c:pt>
                <c:pt idx="7">
                  <c:v>0.46800000000000003</c:v>
                </c:pt>
                <c:pt idx="8">
                  <c:v>0.46600000000000003</c:v>
                </c:pt>
                <c:pt idx="9">
                  <c:v>0.51300000000000001</c:v>
                </c:pt>
                <c:pt idx="10">
                  <c:v>0.57299999999999995</c:v>
                </c:pt>
                <c:pt idx="11">
                  <c:v>0.56399999999999995</c:v>
                </c:pt>
                <c:pt idx="12">
                  <c:v>0.55300000000000005</c:v>
                </c:pt>
                <c:pt idx="13">
                  <c:v>0.59299999999999997</c:v>
                </c:pt>
                <c:pt idx="14">
                  <c:v>0.63400000000000101</c:v>
                </c:pt>
                <c:pt idx="15">
                  <c:v>0.67900000000000205</c:v>
                </c:pt>
                <c:pt idx="16">
                  <c:v>0.64400000000000102</c:v>
                </c:pt>
                <c:pt idx="17">
                  <c:v>0.63200000000000101</c:v>
                </c:pt>
                <c:pt idx="18">
                  <c:v>0.63900000000000101</c:v>
                </c:pt>
                <c:pt idx="19">
                  <c:v>0.67500000000000104</c:v>
                </c:pt>
                <c:pt idx="20">
                  <c:v>0.72200000000000097</c:v>
                </c:pt>
                <c:pt idx="21">
                  <c:v>0.72900000000000098</c:v>
                </c:pt>
                <c:pt idx="22">
                  <c:v>0.73300000000000098</c:v>
                </c:pt>
                <c:pt idx="23">
                  <c:v>0.76300000000000101</c:v>
                </c:pt>
                <c:pt idx="24">
                  <c:v>0.81299999999999994</c:v>
                </c:pt>
                <c:pt idx="25">
                  <c:v>0.84700000000000097</c:v>
                </c:pt>
                <c:pt idx="26">
                  <c:v>0.873000000000001</c:v>
                </c:pt>
                <c:pt idx="27">
                  <c:v>0.879000000000001</c:v>
                </c:pt>
                <c:pt idx="28">
                  <c:v>0.90500000000000003</c:v>
                </c:pt>
                <c:pt idx="29">
                  <c:v>0.92200000000000004</c:v>
                </c:pt>
                <c:pt idx="30">
                  <c:v>0.91300000000000003</c:v>
                </c:pt>
                <c:pt idx="31">
                  <c:v>0.91700000000000004</c:v>
                </c:pt>
                <c:pt idx="32">
                  <c:v>0.97200000000000097</c:v>
                </c:pt>
                <c:pt idx="33">
                  <c:v>1.004999999999997</c:v>
                </c:pt>
                <c:pt idx="34">
                  <c:v>1.008999999999997</c:v>
                </c:pt>
                <c:pt idx="35">
                  <c:v>1.032</c:v>
                </c:pt>
                <c:pt idx="36">
                  <c:v>1.1020000000000001</c:v>
                </c:pt>
                <c:pt idx="37">
                  <c:v>1.103</c:v>
                </c:pt>
                <c:pt idx="38">
                  <c:v>1.1153088235294111</c:v>
                </c:pt>
                <c:pt idx="39">
                  <c:v>1.137813725490197</c:v>
                </c:pt>
                <c:pt idx="40">
                  <c:v>1.1603186274509769</c:v>
                </c:pt>
                <c:pt idx="41">
                  <c:v>1.1828235294117679</c:v>
                </c:pt>
                <c:pt idx="42">
                  <c:v>1.2053284313725501</c:v>
                </c:pt>
                <c:pt idx="43">
                  <c:v>1.227833333333336</c:v>
                </c:pt>
                <c:pt idx="44">
                  <c:v>1.250338235294113</c:v>
                </c:pt>
                <c:pt idx="45">
                  <c:v>1.2728431372549021</c:v>
                </c:pt>
                <c:pt idx="46">
                  <c:v>1.29534803921569</c:v>
                </c:pt>
                <c:pt idx="47">
                  <c:v>1.3178529411764699</c:v>
                </c:pt>
                <c:pt idx="48">
                  <c:v>1.340357843137258</c:v>
                </c:pt>
                <c:pt idx="49">
                  <c:v>1.3628627450980419</c:v>
                </c:pt>
                <c:pt idx="50">
                  <c:v>1.385367647058821</c:v>
                </c:pt>
                <c:pt idx="51">
                  <c:v>1.407872549019608</c:v>
                </c:pt>
                <c:pt idx="52">
                  <c:v>1.4303774509803939</c:v>
                </c:pt>
                <c:pt idx="53">
                  <c:v>1.4528823529411741</c:v>
                </c:pt>
                <c:pt idx="54">
                  <c:v>1.47538725490196</c:v>
                </c:pt>
                <c:pt idx="55">
                  <c:v>1.497892156862747</c:v>
                </c:pt>
                <c:pt idx="56">
                  <c:v>1.520397058823526</c:v>
                </c:pt>
                <c:pt idx="57">
                  <c:v>1.5429019607843131</c:v>
                </c:pt>
                <c:pt idx="58">
                  <c:v>1.5654068627451001</c:v>
                </c:pt>
                <c:pt idx="59">
                  <c:v>1.58791176470588</c:v>
                </c:pt>
                <c:pt idx="60">
                  <c:v>1.6104166666666679</c:v>
                </c:pt>
                <c:pt idx="61">
                  <c:v>1.6329215686274521</c:v>
                </c:pt>
                <c:pt idx="62">
                  <c:v>1.655426470588232</c:v>
                </c:pt>
                <c:pt idx="63">
                  <c:v>1.6779313725490159</c:v>
                </c:pt>
                <c:pt idx="64">
                  <c:v>1.7004362745098041</c:v>
                </c:pt>
                <c:pt idx="65">
                  <c:v>1.722941176470592</c:v>
                </c:pt>
                <c:pt idx="66">
                  <c:v>1.745446078431371</c:v>
                </c:pt>
                <c:pt idx="67">
                  <c:v>1.767950980392158</c:v>
                </c:pt>
                <c:pt idx="68">
                  <c:v>1.7904558823529451</c:v>
                </c:pt>
                <c:pt idx="69">
                  <c:v>1.8129607843137241</c:v>
                </c:pt>
                <c:pt idx="70">
                  <c:v>1.83546568627451</c:v>
                </c:pt>
                <c:pt idx="71">
                  <c:v>1.857970588235297</c:v>
                </c:pt>
                <c:pt idx="72">
                  <c:v>1.8804754901960761</c:v>
                </c:pt>
                <c:pt idx="73">
                  <c:v>1.902980392156862</c:v>
                </c:pt>
                <c:pt idx="74">
                  <c:v>1.925485294117649</c:v>
                </c:pt>
                <c:pt idx="75">
                  <c:v>1.9479901960784261</c:v>
                </c:pt>
              </c:numCache>
            </c:numRef>
          </c:yVal>
          <c:smooth val="1"/>
        </c:ser>
        <c:dLbls>
          <c:showLegendKey val="0"/>
          <c:showVal val="0"/>
          <c:showCatName val="0"/>
          <c:showSerName val="0"/>
          <c:showPercent val="0"/>
          <c:showBubbleSize val="0"/>
        </c:dLbls>
        <c:axId val="649932536"/>
        <c:axId val="649932928"/>
      </c:scatterChart>
      <c:valAx>
        <c:axId val="649932536"/>
        <c:scaling>
          <c:orientation val="minMax"/>
          <c:max val="2050"/>
          <c:min val="1970"/>
        </c:scaling>
        <c:delete val="0"/>
        <c:axPos val="b"/>
        <c:numFmt formatCode="General" sourceLinked="1"/>
        <c:majorTickMark val="none"/>
        <c:minorTickMark val="none"/>
        <c:tickLblPos val="nextTo"/>
        <c:crossAx val="649932928"/>
        <c:crosses val="autoZero"/>
        <c:crossBetween val="midCat"/>
        <c:minorUnit val="10"/>
      </c:valAx>
      <c:valAx>
        <c:axId val="649932928"/>
        <c:scaling>
          <c:orientation val="minMax"/>
        </c:scaling>
        <c:delete val="0"/>
        <c:axPos val="l"/>
        <c:title>
          <c:tx>
            <c:rich>
              <a:bodyPr/>
              <a:lstStyle/>
              <a:p>
                <a:pPr>
                  <a:defRPr/>
                </a:pPr>
                <a:r>
                  <a:rPr lang="en-AU"/>
                  <a:t>Gross Value  Add (AUD$ Billion)</a:t>
                </a:r>
              </a:p>
            </c:rich>
          </c:tx>
          <c:overlay val="0"/>
        </c:title>
        <c:numFmt formatCode="&quot;$&quot;#,##0" sourceLinked="1"/>
        <c:majorTickMark val="none"/>
        <c:minorTickMark val="none"/>
        <c:tickLblPos val="nextTo"/>
        <c:crossAx val="649932536"/>
        <c:crosses val="autoZero"/>
        <c:crossBetween val="midCat"/>
      </c:valAx>
    </c:plotArea>
    <c:legend>
      <c:legendPos val="r"/>
      <c:layout>
        <c:manualLayout>
          <c:xMode val="edge"/>
          <c:yMode val="edge"/>
          <c:x val="0.13998923211521699"/>
          <c:y val="0.10164218042359"/>
          <c:w val="0.39322161652870302"/>
          <c:h val="0.46002246493381999"/>
        </c:manualLayout>
      </c:layout>
      <c:overlay val="0"/>
    </c:legend>
    <c:plotVisOnly val="1"/>
    <c:dispBlanksAs val="gap"/>
    <c:showDLblsOverMax val="0"/>
  </c:chart>
  <c:spPr>
    <a:ln>
      <a:noFill/>
    </a:ln>
  </c:spPr>
  <c:txPr>
    <a:bodyPr/>
    <a:lstStyle/>
    <a:p>
      <a:pPr>
        <a:defRPr sz="1400"/>
      </a:pPr>
      <a:endParaRPr lang="en-US"/>
    </a:p>
  </c:txPr>
  <c:externalData r:id="rId1">
    <c:autoUpdate val="0"/>
  </c:externalData>
</c:chartSpace>
</file>

<file path=word/theme/theme1.xml><?xml version="1.0" encoding="utf-8"?>
<a:theme xmlns:a="http://schemas.openxmlformats.org/drawingml/2006/main" name="Office Theme">
  <a:themeElements>
    <a:clrScheme name="CSIRO Midday">
      <a:dk1>
        <a:sysClr val="windowText" lastClr="000000"/>
      </a:dk1>
      <a:lt1>
        <a:srgbClr val="FFFFFF"/>
      </a:lt1>
      <a:dk2>
        <a:srgbClr val="000000"/>
      </a:dk2>
      <a:lt2>
        <a:srgbClr val="FFFFFF"/>
      </a:lt2>
      <a:accent1>
        <a:srgbClr val="00A9CE"/>
      </a:accent1>
      <a:accent2>
        <a:srgbClr val="00313C"/>
      </a:accent2>
      <a:accent3>
        <a:srgbClr val="78BE20"/>
      </a:accent3>
      <a:accent4>
        <a:srgbClr val="4A7729"/>
      </a:accent4>
      <a:accent5>
        <a:srgbClr val="9FAEE5"/>
      </a:accent5>
      <a:accent6>
        <a:srgbClr val="1E22AA"/>
      </a:accent6>
      <a:hlink>
        <a:srgbClr val="41B6E6"/>
      </a:hlink>
      <a:folHlink>
        <a:srgbClr val="004B8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415BF3-2583-487A-80A8-D323F2174F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Technical Report - Formal.dotx</Template>
  <TotalTime>102</TotalTime>
  <Pages>30</Pages>
  <Words>10127</Words>
  <Characters>57725</Characters>
  <Application>Microsoft Office Word</Application>
  <DocSecurity>0</DocSecurity>
  <Lines>481</Lines>
  <Paragraphs>135</Paragraphs>
  <ScaleCrop>false</ScaleCrop>
  <HeadingPairs>
    <vt:vector size="2" baseType="variant">
      <vt:variant>
        <vt:lpstr>Title</vt:lpstr>
      </vt:variant>
      <vt:variant>
        <vt:i4>1</vt:i4>
      </vt:variant>
    </vt:vector>
  </HeadingPairs>
  <TitlesOfParts>
    <vt:vector size="1" baseType="lpstr">
      <vt:lpstr>CSIRO report template</vt:lpstr>
    </vt:vector>
  </TitlesOfParts>
  <Company>CSIRO</Company>
  <LinksUpToDate>false</LinksUpToDate>
  <CharactersWithSpaces>67717</CharactersWithSpaces>
  <SharedDoc>false</SharedDoc>
  <HLinks>
    <vt:vector size="84" baseType="variant">
      <vt:variant>
        <vt:i4>1835069</vt:i4>
      </vt:variant>
      <vt:variant>
        <vt:i4>86</vt:i4>
      </vt:variant>
      <vt:variant>
        <vt:i4>0</vt:i4>
      </vt:variant>
      <vt:variant>
        <vt:i4>5</vt:i4>
      </vt:variant>
      <vt:variant>
        <vt:lpwstr/>
      </vt:variant>
      <vt:variant>
        <vt:lpwstr>_Toc316486081</vt:lpwstr>
      </vt:variant>
      <vt:variant>
        <vt:i4>1179709</vt:i4>
      </vt:variant>
      <vt:variant>
        <vt:i4>77</vt:i4>
      </vt:variant>
      <vt:variant>
        <vt:i4>0</vt:i4>
      </vt:variant>
      <vt:variant>
        <vt:i4>5</vt:i4>
      </vt:variant>
      <vt:variant>
        <vt:lpwstr/>
      </vt:variant>
      <vt:variant>
        <vt:lpwstr>_Toc316486069</vt:lpwstr>
      </vt:variant>
      <vt:variant>
        <vt:i4>1507380</vt:i4>
      </vt:variant>
      <vt:variant>
        <vt:i4>68</vt:i4>
      </vt:variant>
      <vt:variant>
        <vt:i4>0</vt:i4>
      </vt:variant>
      <vt:variant>
        <vt:i4>5</vt:i4>
      </vt:variant>
      <vt:variant>
        <vt:lpwstr/>
      </vt:variant>
      <vt:variant>
        <vt:lpwstr>_Toc316485903</vt:lpwstr>
      </vt:variant>
      <vt:variant>
        <vt:i4>1507380</vt:i4>
      </vt:variant>
      <vt:variant>
        <vt:i4>62</vt:i4>
      </vt:variant>
      <vt:variant>
        <vt:i4>0</vt:i4>
      </vt:variant>
      <vt:variant>
        <vt:i4>5</vt:i4>
      </vt:variant>
      <vt:variant>
        <vt:lpwstr/>
      </vt:variant>
      <vt:variant>
        <vt:lpwstr>_Toc316485902</vt:lpwstr>
      </vt:variant>
      <vt:variant>
        <vt:i4>1507380</vt:i4>
      </vt:variant>
      <vt:variant>
        <vt:i4>56</vt:i4>
      </vt:variant>
      <vt:variant>
        <vt:i4>0</vt:i4>
      </vt:variant>
      <vt:variant>
        <vt:i4>5</vt:i4>
      </vt:variant>
      <vt:variant>
        <vt:lpwstr/>
      </vt:variant>
      <vt:variant>
        <vt:lpwstr>_Toc316485901</vt:lpwstr>
      </vt:variant>
      <vt:variant>
        <vt:i4>1507380</vt:i4>
      </vt:variant>
      <vt:variant>
        <vt:i4>50</vt:i4>
      </vt:variant>
      <vt:variant>
        <vt:i4>0</vt:i4>
      </vt:variant>
      <vt:variant>
        <vt:i4>5</vt:i4>
      </vt:variant>
      <vt:variant>
        <vt:lpwstr/>
      </vt:variant>
      <vt:variant>
        <vt:lpwstr>_Toc316485900</vt:lpwstr>
      </vt:variant>
      <vt:variant>
        <vt:i4>1966133</vt:i4>
      </vt:variant>
      <vt:variant>
        <vt:i4>44</vt:i4>
      </vt:variant>
      <vt:variant>
        <vt:i4>0</vt:i4>
      </vt:variant>
      <vt:variant>
        <vt:i4>5</vt:i4>
      </vt:variant>
      <vt:variant>
        <vt:lpwstr/>
      </vt:variant>
      <vt:variant>
        <vt:lpwstr>_Toc316485899</vt:lpwstr>
      </vt:variant>
      <vt:variant>
        <vt:i4>1966133</vt:i4>
      </vt:variant>
      <vt:variant>
        <vt:i4>38</vt:i4>
      </vt:variant>
      <vt:variant>
        <vt:i4>0</vt:i4>
      </vt:variant>
      <vt:variant>
        <vt:i4>5</vt:i4>
      </vt:variant>
      <vt:variant>
        <vt:lpwstr/>
      </vt:variant>
      <vt:variant>
        <vt:lpwstr>_Toc316485898</vt:lpwstr>
      </vt:variant>
      <vt:variant>
        <vt:i4>1966133</vt:i4>
      </vt:variant>
      <vt:variant>
        <vt:i4>32</vt:i4>
      </vt:variant>
      <vt:variant>
        <vt:i4>0</vt:i4>
      </vt:variant>
      <vt:variant>
        <vt:i4>5</vt:i4>
      </vt:variant>
      <vt:variant>
        <vt:lpwstr/>
      </vt:variant>
      <vt:variant>
        <vt:lpwstr>_Toc316485897</vt:lpwstr>
      </vt:variant>
      <vt:variant>
        <vt:i4>1966133</vt:i4>
      </vt:variant>
      <vt:variant>
        <vt:i4>26</vt:i4>
      </vt:variant>
      <vt:variant>
        <vt:i4>0</vt:i4>
      </vt:variant>
      <vt:variant>
        <vt:i4>5</vt:i4>
      </vt:variant>
      <vt:variant>
        <vt:lpwstr/>
      </vt:variant>
      <vt:variant>
        <vt:lpwstr>_Toc316485896</vt:lpwstr>
      </vt:variant>
      <vt:variant>
        <vt:i4>1966133</vt:i4>
      </vt:variant>
      <vt:variant>
        <vt:i4>20</vt:i4>
      </vt:variant>
      <vt:variant>
        <vt:i4>0</vt:i4>
      </vt:variant>
      <vt:variant>
        <vt:i4>5</vt:i4>
      </vt:variant>
      <vt:variant>
        <vt:lpwstr/>
      </vt:variant>
      <vt:variant>
        <vt:lpwstr>_Toc316485895</vt:lpwstr>
      </vt:variant>
      <vt:variant>
        <vt:i4>1966133</vt:i4>
      </vt:variant>
      <vt:variant>
        <vt:i4>14</vt:i4>
      </vt:variant>
      <vt:variant>
        <vt:i4>0</vt:i4>
      </vt:variant>
      <vt:variant>
        <vt:i4>5</vt:i4>
      </vt:variant>
      <vt:variant>
        <vt:lpwstr/>
      </vt:variant>
      <vt:variant>
        <vt:lpwstr>_Toc316485894</vt:lpwstr>
      </vt:variant>
      <vt:variant>
        <vt:i4>1966133</vt:i4>
      </vt:variant>
      <vt:variant>
        <vt:i4>8</vt:i4>
      </vt:variant>
      <vt:variant>
        <vt:i4>0</vt:i4>
      </vt:variant>
      <vt:variant>
        <vt:i4>5</vt:i4>
      </vt:variant>
      <vt:variant>
        <vt:lpwstr/>
      </vt:variant>
      <vt:variant>
        <vt:lpwstr>_Toc316485893</vt:lpwstr>
      </vt:variant>
      <vt:variant>
        <vt:i4>1966133</vt:i4>
      </vt:variant>
      <vt:variant>
        <vt:i4>2</vt:i4>
      </vt:variant>
      <vt:variant>
        <vt:i4>0</vt:i4>
      </vt:variant>
      <vt:variant>
        <vt:i4>5</vt:i4>
      </vt:variant>
      <vt:variant>
        <vt:lpwstr/>
      </vt:variant>
      <vt:variant>
        <vt:lpwstr>_Toc316485892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CSIRO report template</dc:title>
  <dc:subject/>
  <dc:creator>Lincoln, Jo (L&amp;W, Dutton Park)</dc:creator>
  <cp:keywords/>
  <dc:description/>
  <cp:lastModifiedBy>Rodriguez, Shelley (L&amp;W, Pullenvale)</cp:lastModifiedBy>
  <cp:revision>27</cp:revision>
  <cp:lastPrinted>2015-06-26T04:17:00Z</cp:lastPrinted>
  <dcterms:created xsi:type="dcterms:W3CDTF">2015-10-30T01:59:00Z</dcterms:created>
  <dcterms:modified xsi:type="dcterms:W3CDTF">2015-10-30T05:16:00Z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verTitle">
    <vt:lpwstr>Report Title</vt:lpwstr>
  </property>
  <property fmtid="{D5CDD505-2E9C-101B-9397-08002B2CF9AE}" pid="3" name="CoverSubtitle">
    <vt:lpwstr>Cover Subtitle</vt:lpwstr>
  </property>
  <property fmtid="{D5CDD505-2E9C-101B-9397-08002B2CF9AE}" pid="4" name="ContentTypeId">
    <vt:lpwstr>0x010100529B7581109BE041A80104B7BC62AE32</vt:lpwstr>
  </property>
</Properties>
</file>