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DE624B" w:rsidP="0092729A">
      <w:pPr>
        <w:pStyle w:val="Heading1"/>
        <w:spacing w:before="480"/>
        <w:ind w:left="-142"/>
        <w:rPr>
          <w:rFonts w:ascii="Calibri" w:hAnsi="Calibri"/>
          <w:sz w:val="36"/>
          <w:szCs w:val="22"/>
          <w:lang w:val="en-US"/>
        </w:rPr>
      </w:pPr>
      <w:r w:rsidRPr="00DE624B">
        <w:rPr>
          <w:rFonts w:ascii="Calibri" w:hAnsi="Calibri"/>
          <w:sz w:val="36"/>
          <w:szCs w:val="22"/>
          <w:lang w:val="en-US"/>
        </w:rPr>
        <w:t>Administrative Services</w:t>
      </w:r>
      <w:r w:rsidR="009F24BD" w:rsidRPr="00E641DA">
        <w:rPr>
          <w:rFonts w:ascii="Calibri" w:hAnsi="Calibri"/>
          <w:sz w:val="36"/>
          <w:szCs w:val="22"/>
        </w:rPr>
        <w:t xml:space="preserve"> – CSOF</w:t>
      </w:r>
      <w:r w:rsidR="003D094D">
        <w:rPr>
          <w:rFonts w:ascii="Calibri" w:hAnsi="Calibri"/>
          <w:sz w:val="36"/>
          <w:szCs w:val="22"/>
          <w:lang w:val="en-US"/>
        </w:rPr>
        <w:t>4</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5A7711" w:rsidRPr="00E641DA" w:rsidTr="005A7711">
        <w:trPr>
          <w:trHeight w:val="488"/>
        </w:trPr>
        <w:tc>
          <w:tcPr>
            <w:tcW w:w="2766" w:type="dxa"/>
            <w:shd w:val="clear" w:color="auto" w:fill="F2F2F2"/>
            <w:vAlign w:val="center"/>
          </w:tcPr>
          <w:p w:rsidR="005A7711" w:rsidRPr="00E641DA" w:rsidRDefault="005A7711"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5A7711" w:rsidRPr="00382F58" w:rsidRDefault="005A7711" w:rsidP="00FD5985">
            <w:pPr>
              <w:tabs>
                <w:tab w:val="left" w:pos="6093"/>
              </w:tabs>
              <w:spacing w:before="120" w:after="60"/>
              <w:rPr>
                <w:rFonts w:ascii="Calibri" w:hAnsi="Calibri"/>
                <w:sz w:val="22"/>
                <w:szCs w:val="22"/>
              </w:rPr>
            </w:pPr>
            <w:r>
              <w:rPr>
                <w:rFonts w:ascii="Calibri" w:hAnsi="Calibri"/>
                <w:sz w:val="22"/>
                <w:szCs w:val="22"/>
              </w:rPr>
              <w:t>Executive As</w:t>
            </w:r>
            <w:r w:rsidR="009948CD">
              <w:rPr>
                <w:rFonts w:ascii="Calibri" w:hAnsi="Calibri"/>
                <w:sz w:val="22"/>
                <w:szCs w:val="22"/>
              </w:rPr>
              <w:t>sistant</w:t>
            </w:r>
            <w:r w:rsidR="00C8777F">
              <w:rPr>
                <w:rFonts w:ascii="Calibri" w:hAnsi="Calibri"/>
                <w:sz w:val="22"/>
                <w:szCs w:val="22"/>
              </w:rPr>
              <w:t xml:space="preserve"> – Deputy Chief Executive</w:t>
            </w:r>
          </w:p>
        </w:tc>
      </w:tr>
      <w:tr w:rsidR="005A7711" w:rsidRPr="00E641DA" w:rsidTr="005A7711">
        <w:trPr>
          <w:trHeight w:val="423"/>
        </w:trPr>
        <w:tc>
          <w:tcPr>
            <w:tcW w:w="2766" w:type="dxa"/>
            <w:shd w:val="clear" w:color="auto" w:fill="F2F2F2"/>
            <w:vAlign w:val="center"/>
          </w:tcPr>
          <w:p w:rsidR="005A7711" w:rsidRPr="00E641DA" w:rsidRDefault="005A7711"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5A7711" w:rsidRPr="009040D3" w:rsidRDefault="00C8777F" w:rsidP="00C40A38">
            <w:pPr>
              <w:rPr>
                <w:rFonts w:ascii="Calibri" w:hAnsi="Calibri"/>
                <w:sz w:val="22"/>
                <w:szCs w:val="22"/>
              </w:rPr>
            </w:pPr>
            <w:r>
              <w:rPr>
                <w:rFonts w:ascii="Calibri" w:hAnsi="Calibri"/>
                <w:sz w:val="22"/>
                <w:szCs w:val="22"/>
              </w:rPr>
              <w:t>11882</w:t>
            </w:r>
          </w:p>
        </w:tc>
      </w:tr>
      <w:tr w:rsidR="005A7711" w:rsidRPr="00E641DA" w:rsidTr="005A7711">
        <w:trPr>
          <w:trHeight w:val="415"/>
        </w:trPr>
        <w:tc>
          <w:tcPr>
            <w:tcW w:w="2766" w:type="dxa"/>
            <w:shd w:val="clear" w:color="auto" w:fill="F2F2F2"/>
            <w:vAlign w:val="center"/>
          </w:tcPr>
          <w:p w:rsidR="005A7711" w:rsidRPr="00E641DA" w:rsidRDefault="005A7711"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5A7711" w:rsidRPr="00E641DA" w:rsidRDefault="005A7711" w:rsidP="003D094D">
            <w:pPr>
              <w:rPr>
                <w:rFonts w:ascii="Calibri" w:hAnsi="Calibri"/>
                <w:sz w:val="22"/>
                <w:szCs w:val="22"/>
              </w:rPr>
            </w:pPr>
            <w:r>
              <w:rPr>
                <w:rFonts w:ascii="Calibri" w:hAnsi="Calibri"/>
                <w:sz w:val="22"/>
                <w:szCs w:val="22"/>
              </w:rPr>
              <w:t>CSOF4</w:t>
            </w:r>
          </w:p>
        </w:tc>
      </w:tr>
      <w:tr w:rsidR="005A7711" w:rsidRPr="00E641DA" w:rsidTr="005A7711">
        <w:trPr>
          <w:trHeight w:val="407"/>
        </w:trPr>
        <w:tc>
          <w:tcPr>
            <w:tcW w:w="2766" w:type="dxa"/>
            <w:shd w:val="clear" w:color="auto" w:fill="F2F2F2"/>
            <w:vAlign w:val="center"/>
          </w:tcPr>
          <w:p w:rsidR="005A7711" w:rsidRPr="00D8313E" w:rsidRDefault="005A7711" w:rsidP="003A0708">
            <w:pPr>
              <w:rPr>
                <w:rStyle w:val="BlindHyperlink"/>
              </w:rPr>
            </w:pPr>
            <w:r w:rsidRPr="00D8313E">
              <w:rPr>
                <w:rStyle w:val="BlindHyperlink"/>
              </w:rPr>
              <w:t>Salary Range:</w:t>
            </w:r>
          </w:p>
        </w:tc>
        <w:tc>
          <w:tcPr>
            <w:tcW w:w="6804" w:type="dxa"/>
            <w:vAlign w:val="center"/>
          </w:tcPr>
          <w:p w:rsidR="005A7711" w:rsidRPr="00E641DA" w:rsidRDefault="005A7711" w:rsidP="00D02E0A">
            <w:pPr>
              <w:rPr>
                <w:rFonts w:ascii="Calibri" w:hAnsi="Calibri"/>
                <w:sz w:val="22"/>
                <w:szCs w:val="22"/>
              </w:rPr>
            </w:pPr>
            <w:bookmarkStart w:id="0" w:name="SalaryRange"/>
            <w:r>
              <w:rPr>
                <w:rFonts w:ascii="Calibri" w:hAnsi="Calibri"/>
                <w:sz w:val="22"/>
                <w:szCs w:val="22"/>
              </w:rPr>
              <w:t>AU $78K to</w:t>
            </w:r>
            <w:r w:rsidRPr="00E641DA">
              <w:rPr>
                <w:rFonts w:ascii="Calibri" w:hAnsi="Calibri"/>
                <w:sz w:val="22"/>
                <w:szCs w:val="22"/>
              </w:rPr>
              <w:t xml:space="preserve"> </w:t>
            </w:r>
            <w:r>
              <w:rPr>
                <w:rFonts w:ascii="Calibri" w:hAnsi="Calibri"/>
                <w:sz w:val="22"/>
                <w:szCs w:val="22"/>
              </w:rPr>
              <w:t xml:space="preserve">AU $88K </w:t>
            </w:r>
            <w:r w:rsidRPr="009040D3">
              <w:rPr>
                <w:rFonts w:ascii="Calibri" w:hAnsi="Calibri"/>
                <w:sz w:val="22"/>
                <w:szCs w:val="22"/>
              </w:rPr>
              <w:t>plus up to 15.4% superannuation</w:t>
            </w:r>
            <w:bookmarkEnd w:id="0"/>
          </w:p>
        </w:tc>
      </w:tr>
      <w:tr w:rsidR="005A7711" w:rsidRPr="00E641DA" w:rsidTr="005A7711">
        <w:trPr>
          <w:trHeight w:val="433"/>
        </w:trPr>
        <w:tc>
          <w:tcPr>
            <w:tcW w:w="2766" w:type="dxa"/>
            <w:shd w:val="clear" w:color="auto" w:fill="F2F2F2"/>
            <w:vAlign w:val="center"/>
          </w:tcPr>
          <w:p w:rsidR="005A7711" w:rsidRPr="00E641DA" w:rsidRDefault="005A7711"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5A7711" w:rsidRPr="00E641DA" w:rsidRDefault="005737B1" w:rsidP="006B64AE">
            <w:pPr>
              <w:tabs>
                <w:tab w:val="left" w:pos="6093"/>
              </w:tabs>
              <w:rPr>
                <w:rFonts w:ascii="Calibri" w:hAnsi="Calibri"/>
                <w:sz w:val="22"/>
                <w:szCs w:val="22"/>
              </w:rPr>
            </w:pPr>
            <w:r>
              <w:rPr>
                <w:rFonts w:ascii="Calibri" w:hAnsi="Calibri"/>
                <w:sz w:val="22"/>
                <w:szCs w:val="22"/>
              </w:rPr>
              <w:t>North Ryde, NSW</w:t>
            </w:r>
          </w:p>
        </w:tc>
      </w:tr>
      <w:tr w:rsidR="005A7711" w:rsidRPr="00E641DA" w:rsidTr="005A7711">
        <w:trPr>
          <w:trHeight w:val="405"/>
        </w:trPr>
        <w:tc>
          <w:tcPr>
            <w:tcW w:w="2766" w:type="dxa"/>
            <w:shd w:val="clear" w:color="auto" w:fill="F2F2F2"/>
            <w:vAlign w:val="center"/>
          </w:tcPr>
          <w:p w:rsidR="005A7711" w:rsidRPr="00D8313E" w:rsidRDefault="005A7711" w:rsidP="003A0708">
            <w:pPr>
              <w:rPr>
                <w:rStyle w:val="BlindHyperlink"/>
              </w:rPr>
            </w:pPr>
            <w:r w:rsidRPr="00D8313E">
              <w:rPr>
                <w:rStyle w:val="BlindHyperlink"/>
              </w:rPr>
              <w:t>Tenure:</w:t>
            </w:r>
          </w:p>
        </w:tc>
        <w:tc>
          <w:tcPr>
            <w:tcW w:w="6804" w:type="dxa"/>
            <w:vAlign w:val="center"/>
          </w:tcPr>
          <w:p w:rsidR="005A7711" w:rsidRPr="00E641DA" w:rsidRDefault="005A7711" w:rsidP="00D02E0A">
            <w:pPr>
              <w:rPr>
                <w:rFonts w:ascii="Calibri" w:hAnsi="Calibri"/>
                <w:sz w:val="22"/>
                <w:szCs w:val="22"/>
              </w:rPr>
            </w:pPr>
            <w:bookmarkStart w:id="1" w:name="Tenure"/>
            <w:r>
              <w:rPr>
                <w:rFonts w:ascii="Calibri" w:hAnsi="Calibri"/>
                <w:sz w:val="22"/>
                <w:szCs w:val="22"/>
              </w:rPr>
              <w:t>Indefinite</w:t>
            </w:r>
            <w:bookmarkEnd w:id="1"/>
            <w:r w:rsidR="00C8777F">
              <w:rPr>
                <w:rFonts w:ascii="Calibri" w:hAnsi="Calibri"/>
                <w:sz w:val="22"/>
                <w:szCs w:val="22"/>
              </w:rPr>
              <w:t>/Ongoing</w:t>
            </w:r>
          </w:p>
        </w:tc>
      </w:tr>
      <w:tr w:rsidR="005A7711" w:rsidRPr="00E641DA" w:rsidTr="005A7711">
        <w:trPr>
          <w:trHeight w:val="429"/>
        </w:trPr>
        <w:tc>
          <w:tcPr>
            <w:tcW w:w="2766" w:type="dxa"/>
            <w:shd w:val="clear" w:color="auto" w:fill="F2F2F2"/>
            <w:vAlign w:val="center"/>
          </w:tcPr>
          <w:p w:rsidR="005A7711" w:rsidRPr="00E641DA" w:rsidRDefault="005A7711"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5A7711" w:rsidRPr="00E641DA" w:rsidRDefault="005A7711"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5A7711" w:rsidRPr="00E641DA" w:rsidTr="005A7711">
        <w:trPr>
          <w:trHeight w:val="970"/>
        </w:trPr>
        <w:tc>
          <w:tcPr>
            <w:tcW w:w="2766" w:type="dxa"/>
            <w:shd w:val="clear" w:color="auto" w:fill="F2F2F2"/>
            <w:vAlign w:val="center"/>
          </w:tcPr>
          <w:p w:rsidR="005A7711" w:rsidRPr="00D8313E" w:rsidRDefault="005A7711" w:rsidP="00A0184C">
            <w:pPr>
              <w:spacing w:before="240" w:after="240"/>
              <w:rPr>
                <w:rStyle w:val="BlindHyperlink"/>
              </w:rPr>
            </w:pPr>
            <w:r w:rsidRPr="00D8313E">
              <w:rPr>
                <w:rStyle w:val="BlindHyperlink"/>
              </w:rPr>
              <w:t>Applications are open to:</w:t>
            </w:r>
          </w:p>
        </w:tc>
        <w:tc>
          <w:tcPr>
            <w:tcW w:w="6804" w:type="dxa"/>
            <w:vAlign w:val="center"/>
          </w:tcPr>
          <w:p w:rsidR="005A7711" w:rsidRPr="00E641DA" w:rsidRDefault="005A7711" w:rsidP="003C0B40">
            <w:pPr>
              <w:pStyle w:val="ListParagraph"/>
              <w:ind w:left="0"/>
              <w:rPr>
                <w:rFonts w:ascii="Calibri" w:hAnsi="Calibri"/>
                <w:sz w:val="22"/>
                <w:szCs w:val="22"/>
              </w:rPr>
            </w:pPr>
            <w:bookmarkStart w:id="2" w:name="Citizenship"/>
            <w:r w:rsidRPr="00E641DA">
              <w:rPr>
                <w:rFonts w:ascii="Calibri" w:hAnsi="Calibri"/>
                <w:sz w:val="22"/>
                <w:szCs w:val="22"/>
              </w:rPr>
              <w:t>Australian Citizens Only</w:t>
            </w:r>
          </w:p>
          <w:bookmarkEnd w:id="2"/>
          <w:p w:rsidR="005A7711" w:rsidRPr="0038234C" w:rsidRDefault="005A7711" w:rsidP="00C8777F">
            <w:pPr>
              <w:pStyle w:val="ListParagraph"/>
              <w:numPr>
                <w:ilvl w:val="0"/>
                <w:numId w:val="3"/>
              </w:numPr>
              <w:ind w:left="0"/>
              <w:rPr>
                <w:rFonts w:ascii="Calibri" w:hAnsi="Calibri"/>
                <w:sz w:val="16"/>
                <w:szCs w:val="16"/>
              </w:rPr>
            </w:pPr>
          </w:p>
        </w:tc>
      </w:tr>
      <w:tr w:rsidR="005A7711" w:rsidRPr="00E641DA" w:rsidTr="005A7711">
        <w:trPr>
          <w:trHeight w:val="429"/>
        </w:trPr>
        <w:tc>
          <w:tcPr>
            <w:tcW w:w="2766" w:type="dxa"/>
            <w:shd w:val="clear" w:color="auto" w:fill="F2F2F2"/>
            <w:vAlign w:val="center"/>
          </w:tcPr>
          <w:p w:rsidR="005A7711" w:rsidRPr="00E641DA" w:rsidRDefault="005A7711"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5A7711" w:rsidRPr="00E641DA" w:rsidRDefault="005A7711" w:rsidP="00CA071D">
            <w:pPr>
              <w:pStyle w:val="ListParagraph"/>
              <w:ind w:left="0"/>
              <w:rPr>
                <w:rFonts w:ascii="Calibri" w:hAnsi="Calibri"/>
                <w:sz w:val="22"/>
                <w:szCs w:val="22"/>
              </w:rPr>
            </w:pPr>
            <w:r w:rsidRPr="00DE624B">
              <w:rPr>
                <w:rFonts w:ascii="Calibri" w:hAnsi="Calibri"/>
                <w:sz w:val="22"/>
                <w:szCs w:val="22"/>
              </w:rPr>
              <w:t>Administrative Services</w:t>
            </w:r>
          </w:p>
        </w:tc>
      </w:tr>
      <w:tr w:rsidR="005A7711" w:rsidRPr="00E641DA" w:rsidTr="005A7711">
        <w:trPr>
          <w:trHeight w:val="421"/>
        </w:trPr>
        <w:tc>
          <w:tcPr>
            <w:tcW w:w="2766" w:type="dxa"/>
            <w:shd w:val="clear" w:color="auto" w:fill="F2F2F2"/>
            <w:vAlign w:val="center"/>
          </w:tcPr>
          <w:p w:rsidR="005A7711" w:rsidRPr="00D8313E" w:rsidRDefault="005A7711" w:rsidP="00F3596F">
            <w:pPr>
              <w:rPr>
                <w:rStyle w:val="BlindHyperlink"/>
              </w:rPr>
            </w:pPr>
            <w:r w:rsidRPr="00D8313E">
              <w:rPr>
                <w:rStyle w:val="BlindHyperlink"/>
              </w:rPr>
              <w:t>% Client Focus - Internal:</w:t>
            </w:r>
          </w:p>
        </w:tc>
        <w:tc>
          <w:tcPr>
            <w:tcW w:w="6804" w:type="dxa"/>
            <w:vAlign w:val="center"/>
          </w:tcPr>
          <w:p w:rsidR="005A7711" w:rsidRPr="00E641DA" w:rsidRDefault="00C8777F" w:rsidP="00C8777F">
            <w:pPr>
              <w:pStyle w:val="ListParagraph"/>
              <w:ind w:left="0"/>
              <w:rPr>
                <w:rFonts w:ascii="Calibri" w:hAnsi="Calibri"/>
                <w:sz w:val="22"/>
                <w:szCs w:val="22"/>
              </w:rPr>
            </w:pPr>
            <w:r>
              <w:rPr>
                <w:rFonts w:ascii="Calibri" w:hAnsi="Calibri"/>
                <w:sz w:val="22"/>
                <w:szCs w:val="22"/>
              </w:rPr>
              <w:t>60</w:t>
            </w:r>
          </w:p>
        </w:tc>
      </w:tr>
      <w:tr w:rsidR="005A7711" w:rsidRPr="00E641DA" w:rsidTr="005A7711">
        <w:trPr>
          <w:trHeight w:val="413"/>
        </w:trPr>
        <w:tc>
          <w:tcPr>
            <w:tcW w:w="2766" w:type="dxa"/>
            <w:shd w:val="clear" w:color="auto" w:fill="F2F2F2"/>
            <w:vAlign w:val="center"/>
          </w:tcPr>
          <w:p w:rsidR="005A7711" w:rsidRPr="00D8313E" w:rsidRDefault="005A7711" w:rsidP="00F3596F">
            <w:pPr>
              <w:rPr>
                <w:rStyle w:val="BlindHyperlink"/>
              </w:rPr>
            </w:pPr>
            <w:r w:rsidRPr="00D8313E">
              <w:rPr>
                <w:rStyle w:val="BlindHyperlink"/>
              </w:rPr>
              <w:t>% Client Focus - External:</w:t>
            </w:r>
          </w:p>
        </w:tc>
        <w:bookmarkStart w:id="3" w:name="ExternalFocus"/>
        <w:tc>
          <w:tcPr>
            <w:tcW w:w="6804" w:type="dxa"/>
            <w:vAlign w:val="center"/>
          </w:tcPr>
          <w:p w:rsidR="005A7711" w:rsidRPr="00E641DA" w:rsidRDefault="00FF3EB6" w:rsidP="003C0B40">
            <w:pPr>
              <w:pStyle w:val="ListParagraph"/>
              <w:ind w:left="0"/>
              <w:rPr>
                <w:rFonts w:ascii="Calibri" w:hAnsi="Calibri"/>
                <w:sz w:val="22"/>
                <w:szCs w:val="22"/>
              </w:rPr>
            </w:pPr>
            <w:r w:rsidRPr="003F04D3">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005A7711" w:rsidRPr="003F04D3">
              <w:rPr>
                <w:rFonts w:ascii="Calibri" w:hAnsi="Calibri"/>
                <w:sz w:val="22"/>
                <w:szCs w:val="22"/>
              </w:rPr>
              <w:instrText xml:space="preserve"> FORMTEXT </w:instrText>
            </w:r>
            <w:r w:rsidRPr="003F04D3">
              <w:rPr>
                <w:rFonts w:ascii="Calibri" w:hAnsi="Calibri"/>
                <w:sz w:val="22"/>
                <w:szCs w:val="22"/>
              </w:rPr>
            </w:r>
            <w:r w:rsidRPr="003F04D3">
              <w:rPr>
                <w:rFonts w:ascii="Calibri" w:hAnsi="Calibri"/>
                <w:sz w:val="22"/>
                <w:szCs w:val="22"/>
              </w:rPr>
              <w:fldChar w:fldCharType="separate"/>
            </w:r>
            <w:r w:rsidR="00C8777F">
              <w:rPr>
                <w:rFonts w:ascii="Calibri" w:hAnsi="Calibri"/>
                <w:noProof/>
                <w:sz w:val="22"/>
                <w:szCs w:val="22"/>
              </w:rPr>
              <w:t>40</w:t>
            </w:r>
            <w:r w:rsidR="005A7711" w:rsidRPr="003F04D3">
              <w:rPr>
                <w:rFonts w:ascii="Calibri" w:hAnsi="Calibri"/>
                <w:noProof/>
                <w:sz w:val="22"/>
                <w:szCs w:val="22"/>
              </w:rPr>
              <w:t>%</w:t>
            </w:r>
            <w:r w:rsidRPr="003F04D3">
              <w:rPr>
                <w:rFonts w:ascii="Calibri" w:hAnsi="Calibri"/>
                <w:sz w:val="22"/>
                <w:szCs w:val="22"/>
              </w:rPr>
              <w:fldChar w:fldCharType="end"/>
            </w:r>
            <w:bookmarkEnd w:id="3"/>
          </w:p>
        </w:tc>
      </w:tr>
      <w:tr w:rsidR="005A7711" w:rsidRPr="00E641DA" w:rsidTr="005A7711">
        <w:trPr>
          <w:trHeight w:val="420"/>
        </w:trPr>
        <w:tc>
          <w:tcPr>
            <w:tcW w:w="2766" w:type="dxa"/>
            <w:shd w:val="clear" w:color="auto" w:fill="F2F2F2"/>
            <w:vAlign w:val="center"/>
          </w:tcPr>
          <w:p w:rsidR="005A7711" w:rsidRPr="00D8313E" w:rsidRDefault="005A7711" w:rsidP="00F3596F">
            <w:pPr>
              <w:rPr>
                <w:rStyle w:val="BlindHyperlink"/>
              </w:rPr>
            </w:pPr>
            <w:r w:rsidRPr="00D8313E">
              <w:rPr>
                <w:rStyle w:val="BlindHyperlink"/>
              </w:rPr>
              <w:t>Reports to the:</w:t>
            </w:r>
          </w:p>
        </w:tc>
        <w:tc>
          <w:tcPr>
            <w:tcW w:w="6804" w:type="dxa"/>
            <w:vAlign w:val="center"/>
          </w:tcPr>
          <w:p w:rsidR="005A7711" w:rsidRPr="00E641DA" w:rsidRDefault="00C8777F" w:rsidP="00240A35">
            <w:pPr>
              <w:pStyle w:val="ListParagraph"/>
              <w:ind w:left="0"/>
              <w:rPr>
                <w:rFonts w:ascii="Calibri" w:hAnsi="Calibri"/>
                <w:sz w:val="22"/>
                <w:szCs w:val="22"/>
              </w:rPr>
            </w:pPr>
            <w:r>
              <w:rPr>
                <w:rFonts w:ascii="Calibri" w:hAnsi="Calibri"/>
                <w:sz w:val="22"/>
                <w:szCs w:val="22"/>
              </w:rPr>
              <w:t>Deputy Chief Executive</w:t>
            </w:r>
          </w:p>
        </w:tc>
      </w:tr>
      <w:tr w:rsidR="005A7711" w:rsidRPr="00E641DA" w:rsidTr="005A7711">
        <w:trPr>
          <w:trHeight w:val="411"/>
        </w:trPr>
        <w:tc>
          <w:tcPr>
            <w:tcW w:w="2766" w:type="dxa"/>
            <w:shd w:val="clear" w:color="auto" w:fill="F2F2F2"/>
            <w:vAlign w:val="center"/>
          </w:tcPr>
          <w:p w:rsidR="005A7711" w:rsidRPr="00D8313E" w:rsidRDefault="005A7711" w:rsidP="00DA60FC">
            <w:pPr>
              <w:rPr>
                <w:rStyle w:val="BlindHyperlink"/>
              </w:rPr>
            </w:pPr>
            <w:r w:rsidRPr="00D8313E">
              <w:rPr>
                <w:rStyle w:val="BlindHyperlink"/>
              </w:rPr>
              <w:t>Number of Direct Reports:</w:t>
            </w:r>
          </w:p>
        </w:tc>
        <w:bookmarkStart w:id="4" w:name="DirectReports"/>
        <w:tc>
          <w:tcPr>
            <w:tcW w:w="6804" w:type="dxa"/>
            <w:vAlign w:val="center"/>
          </w:tcPr>
          <w:p w:rsidR="005A7711" w:rsidRPr="00E641DA" w:rsidRDefault="00FF3EB6" w:rsidP="003C0B40">
            <w:pPr>
              <w:pStyle w:val="ListParagraph"/>
              <w:ind w:left="0"/>
              <w:rPr>
                <w:rFonts w:ascii="Calibri" w:hAnsi="Calibri"/>
                <w:sz w:val="22"/>
                <w:szCs w:val="22"/>
              </w:rPr>
            </w:pPr>
            <w:r w:rsidRPr="003F04D3">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005A7711" w:rsidRPr="003F04D3">
              <w:rPr>
                <w:rFonts w:ascii="Calibri" w:hAnsi="Calibri"/>
                <w:sz w:val="22"/>
                <w:szCs w:val="22"/>
              </w:rPr>
              <w:instrText xml:space="preserve"> FORMTEXT </w:instrText>
            </w:r>
            <w:r w:rsidRPr="003F04D3">
              <w:rPr>
                <w:rFonts w:ascii="Calibri" w:hAnsi="Calibri"/>
                <w:sz w:val="22"/>
                <w:szCs w:val="22"/>
              </w:rPr>
            </w:r>
            <w:r w:rsidRPr="003F04D3">
              <w:rPr>
                <w:rFonts w:ascii="Calibri" w:hAnsi="Calibri"/>
                <w:sz w:val="22"/>
                <w:szCs w:val="22"/>
              </w:rPr>
              <w:fldChar w:fldCharType="separate"/>
            </w:r>
            <w:r w:rsidR="005A7711" w:rsidRPr="003F04D3">
              <w:rPr>
                <w:rFonts w:ascii="Calibri" w:hAnsi="Calibri"/>
                <w:noProof/>
                <w:sz w:val="22"/>
                <w:szCs w:val="22"/>
              </w:rPr>
              <w:t>0</w:t>
            </w:r>
            <w:r w:rsidRPr="003F04D3">
              <w:rPr>
                <w:rFonts w:ascii="Calibri" w:hAnsi="Calibri"/>
                <w:sz w:val="22"/>
                <w:szCs w:val="22"/>
              </w:rPr>
              <w:fldChar w:fldCharType="end"/>
            </w:r>
            <w:bookmarkEnd w:id="4"/>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C8777F" w:rsidRPr="002D07D2" w:rsidRDefault="00C7780B" w:rsidP="00C8777F">
            <w:pPr>
              <w:rPr>
                <w:rFonts w:ascii="Calibri" w:hAnsi="Calibri"/>
                <w:sz w:val="22"/>
                <w:szCs w:val="22"/>
              </w:rPr>
            </w:pPr>
            <w:r>
              <w:rPr>
                <w:rFonts w:ascii="Calibri" w:hAnsi="Calibri"/>
                <w:sz w:val="22"/>
                <w:szCs w:val="22"/>
              </w:rPr>
              <w:br/>
            </w:r>
            <w:r w:rsidR="00C8777F" w:rsidRPr="002D07D2">
              <w:rPr>
                <w:rFonts w:ascii="Calibri" w:hAnsi="Calibri"/>
                <w:sz w:val="22"/>
                <w:szCs w:val="22"/>
              </w:rPr>
              <w:t xml:space="preserve">This Executive Assistant position is responsible for the efficient and effective support of CSIRO’s </w:t>
            </w:r>
            <w:r w:rsidR="00C8777F">
              <w:rPr>
                <w:rFonts w:ascii="Calibri" w:hAnsi="Calibri"/>
                <w:sz w:val="22"/>
                <w:szCs w:val="22"/>
              </w:rPr>
              <w:t xml:space="preserve">Deputy </w:t>
            </w:r>
            <w:r w:rsidR="00C8777F" w:rsidRPr="002D07D2">
              <w:rPr>
                <w:rFonts w:ascii="Calibri" w:hAnsi="Calibri"/>
                <w:sz w:val="22"/>
                <w:szCs w:val="22"/>
              </w:rPr>
              <w:t>Chief Executive and his office.</w:t>
            </w:r>
          </w:p>
          <w:p w:rsidR="00C8777F" w:rsidRPr="002D07D2" w:rsidRDefault="00C8777F" w:rsidP="00C8777F">
            <w:pPr>
              <w:rPr>
                <w:rFonts w:ascii="Calibri" w:hAnsi="Calibri"/>
                <w:sz w:val="22"/>
                <w:szCs w:val="22"/>
              </w:rPr>
            </w:pPr>
          </w:p>
          <w:p w:rsidR="00502363" w:rsidRPr="00C7780B" w:rsidRDefault="00C8777F" w:rsidP="00C8777F">
            <w:pPr>
              <w:spacing w:after="180"/>
              <w:jc w:val="both"/>
              <w:rPr>
                <w:rFonts w:ascii="Calibri" w:hAnsi="Calibri"/>
                <w:i/>
                <w:sz w:val="22"/>
                <w:szCs w:val="22"/>
              </w:rPr>
            </w:pPr>
            <w:r w:rsidRPr="002D07D2">
              <w:rPr>
                <w:rFonts w:ascii="Calibri" w:hAnsi="Calibri"/>
                <w:sz w:val="22"/>
                <w:szCs w:val="22"/>
              </w:rPr>
              <w:t>The successful applicant will be</w:t>
            </w:r>
            <w:bookmarkStart w:id="5" w:name="_GoBack"/>
            <w:bookmarkEnd w:id="5"/>
            <w:r w:rsidRPr="002D07D2">
              <w:rPr>
                <w:rFonts w:ascii="Calibri" w:hAnsi="Calibri"/>
                <w:sz w:val="22"/>
                <w:szCs w:val="22"/>
              </w:rPr>
              <w:t xml:space="preserve"> a strong, energetic, collaborative and flexible person with significant experience in providing a proactive contact point for matters arising in the </w:t>
            </w:r>
            <w:r>
              <w:rPr>
                <w:rFonts w:ascii="Calibri" w:hAnsi="Calibri"/>
                <w:sz w:val="22"/>
                <w:szCs w:val="22"/>
              </w:rPr>
              <w:t xml:space="preserve">Deputy </w:t>
            </w:r>
            <w:r w:rsidRPr="002D07D2">
              <w:rPr>
                <w:rFonts w:ascii="Calibri" w:hAnsi="Calibri"/>
                <w:sz w:val="22"/>
                <w:szCs w:val="22"/>
              </w:rPr>
              <w:t>Chief Executive's office as well as providing high level executive and administrative support</w:t>
            </w:r>
          </w:p>
        </w:tc>
      </w:tr>
    </w:tbl>
    <w:p w:rsidR="00502363"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C8777F" w:rsidRPr="00E641DA" w:rsidTr="001E014C">
        <w:trPr>
          <w:trHeight w:val="619"/>
        </w:trPr>
        <w:tc>
          <w:tcPr>
            <w:tcW w:w="9574" w:type="dxa"/>
            <w:shd w:val="clear" w:color="auto" w:fill="F2F2F2"/>
            <w:vAlign w:val="center"/>
          </w:tcPr>
          <w:p w:rsidR="00C8777F" w:rsidRPr="00E641DA" w:rsidRDefault="00C8777F" w:rsidP="001E014C">
            <w:pPr>
              <w:rPr>
                <w:rFonts w:ascii="Calibri" w:hAnsi="Calibri"/>
                <w:b/>
                <w:bCs/>
                <w:sz w:val="22"/>
                <w:szCs w:val="22"/>
              </w:rPr>
            </w:pPr>
            <w:r>
              <w:rPr>
                <w:rFonts w:ascii="Calibri" w:hAnsi="Calibri"/>
                <w:b/>
                <w:bCs/>
                <w:sz w:val="22"/>
                <w:szCs w:val="22"/>
              </w:rPr>
              <w:t>Key Accountabilities:</w:t>
            </w:r>
          </w:p>
        </w:tc>
      </w:tr>
      <w:tr w:rsidR="00C8777F" w:rsidRPr="00BE2D3C" w:rsidTr="001E014C">
        <w:trPr>
          <w:trHeight w:val="1572"/>
        </w:trPr>
        <w:tc>
          <w:tcPr>
            <w:tcW w:w="9574" w:type="dxa"/>
          </w:tcPr>
          <w:p w:rsidR="00C8777F" w:rsidRPr="002D07D2" w:rsidRDefault="00C8777F" w:rsidP="00C8777F">
            <w:pPr>
              <w:numPr>
                <w:ilvl w:val="0"/>
                <w:numId w:val="12"/>
              </w:numPr>
              <w:rPr>
                <w:rFonts w:ascii="Calibri" w:hAnsi="Calibri"/>
                <w:sz w:val="22"/>
                <w:szCs w:val="22"/>
              </w:rPr>
            </w:pPr>
            <w:r>
              <w:rPr>
                <w:rFonts w:ascii="Calibri" w:hAnsi="Calibri"/>
                <w:sz w:val="22"/>
                <w:szCs w:val="22"/>
              </w:rPr>
              <w:t>Provides</w:t>
            </w:r>
            <w:r w:rsidRPr="002D07D2">
              <w:rPr>
                <w:rFonts w:ascii="Calibri" w:hAnsi="Calibri"/>
                <w:sz w:val="22"/>
                <w:szCs w:val="22"/>
              </w:rPr>
              <w:t xml:space="preserve"> comprehensive support services to the </w:t>
            </w:r>
            <w:r>
              <w:rPr>
                <w:rFonts w:ascii="Calibri" w:hAnsi="Calibri"/>
                <w:sz w:val="22"/>
                <w:szCs w:val="22"/>
              </w:rPr>
              <w:t xml:space="preserve">Deputy </w:t>
            </w:r>
            <w:r w:rsidR="000329D9">
              <w:rPr>
                <w:rFonts w:ascii="Calibri" w:hAnsi="Calibri"/>
                <w:sz w:val="22"/>
                <w:szCs w:val="22"/>
              </w:rPr>
              <w:t xml:space="preserve">Chief Executive </w:t>
            </w:r>
            <w:r w:rsidR="000329D9" w:rsidRPr="002D07D2">
              <w:rPr>
                <w:rFonts w:ascii="Calibri" w:hAnsi="Calibri"/>
                <w:sz w:val="22"/>
                <w:szCs w:val="22"/>
              </w:rPr>
              <w:t>that</w:t>
            </w:r>
            <w:r w:rsidRPr="002D07D2">
              <w:rPr>
                <w:rFonts w:ascii="Calibri" w:hAnsi="Calibri"/>
                <w:sz w:val="22"/>
                <w:szCs w:val="22"/>
              </w:rPr>
              <w:t xml:space="preserve"> ensures a professional, responsive and effective experience with</w:t>
            </w:r>
            <w:r w:rsidR="004E4DB4">
              <w:rPr>
                <w:rFonts w:ascii="Calibri" w:hAnsi="Calibri"/>
                <w:sz w:val="22"/>
                <w:szCs w:val="22"/>
              </w:rPr>
              <w:t xml:space="preserve"> internal stakeholders and</w:t>
            </w:r>
            <w:r w:rsidRPr="002D07D2">
              <w:rPr>
                <w:rFonts w:ascii="Calibri" w:hAnsi="Calibri"/>
                <w:sz w:val="22"/>
                <w:szCs w:val="22"/>
              </w:rPr>
              <w:t xml:space="preserve"> external customers and </w:t>
            </w:r>
            <w:r w:rsidR="004E4DB4">
              <w:rPr>
                <w:rFonts w:ascii="Calibri" w:hAnsi="Calibri"/>
                <w:sz w:val="22"/>
                <w:szCs w:val="22"/>
              </w:rPr>
              <w:t xml:space="preserve">with </w:t>
            </w:r>
            <w:r w:rsidRPr="002D07D2">
              <w:rPr>
                <w:rFonts w:ascii="Calibri" w:hAnsi="Calibri"/>
                <w:sz w:val="22"/>
                <w:szCs w:val="22"/>
              </w:rPr>
              <w:t>the organisation as a whole.</w:t>
            </w:r>
          </w:p>
          <w:p w:rsidR="00C8777F" w:rsidRPr="002D07D2" w:rsidRDefault="00C8777F" w:rsidP="00C8777F">
            <w:pPr>
              <w:numPr>
                <w:ilvl w:val="0"/>
                <w:numId w:val="12"/>
              </w:numPr>
              <w:rPr>
                <w:rFonts w:ascii="Calibri" w:hAnsi="Calibri"/>
                <w:sz w:val="22"/>
                <w:szCs w:val="22"/>
              </w:rPr>
            </w:pPr>
            <w:r>
              <w:rPr>
                <w:rFonts w:ascii="Calibri" w:hAnsi="Calibri"/>
                <w:sz w:val="22"/>
                <w:szCs w:val="22"/>
              </w:rPr>
              <w:t>Provides</w:t>
            </w:r>
            <w:r w:rsidRPr="002D07D2">
              <w:rPr>
                <w:rFonts w:ascii="Calibri" w:hAnsi="Calibri"/>
                <w:sz w:val="22"/>
                <w:szCs w:val="22"/>
              </w:rPr>
              <w:t xml:space="preserve"> </w:t>
            </w:r>
            <w:r w:rsidR="009A6A92">
              <w:rPr>
                <w:rFonts w:ascii="Calibri" w:hAnsi="Calibri"/>
                <w:sz w:val="22"/>
                <w:szCs w:val="22"/>
              </w:rPr>
              <w:t>high level diary management, p</w:t>
            </w:r>
            <w:r w:rsidRPr="002D07D2">
              <w:rPr>
                <w:rFonts w:ascii="Calibri" w:hAnsi="Calibri"/>
                <w:sz w:val="22"/>
                <w:szCs w:val="22"/>
              </w:rPr>
              <w:t xml:space="preserve">rioritises inquiries and requests while troubleshooting conflicts, makes judgements and recommendations to ensure smooth day-to-day </w:t>
            </w:r>
            <w:r w:rsidR="009A6A92">
              <w:rPr>
                <w:rFonts w:ascii="Calibri" w:hAnsi="Calibri"/>
                <w:sz w:val="22"/>
                <w:szCs w:val="22"/>
              </w:rPr>
              <w:t>management of the Deputy Chief Executive’s office.</w:t>
            </w:r>
          </w:p>
          <w:p w:rsidR="00C8777F" w:rsidRPr="002D07D2" w:rsidRDefault="00C8777F" w:rsidP="00C8777F">
            <w:pPr>
              <w:numPr>
                <w:ilvl w:val="0"/>
                <w:numId w:val="12"/>
              </w:numPr>
              <w:rPr>
                <w:rFonts w:ascii="Calibri" w:hAnsi="Calibri"/>
                <w:sz w:val="22"/>
                <w:szCs w:val="22"/>
              </w:rPr>
            </w:pPr>
            <w:r w:rsidRPr="002D07D2">
              <w:rPr>
                <w:rFonts w:ascii="Calibri" w:hAnsi="Calibri"/>
                <w:sz w:val="22"/>
                <w:szCs w:val="22"/>
              </w:rPr>
              <w:t>Administers correspondence, manages incoming calls, and prioritises phone messages, emails and mail.  Handles all calls and visitors with style and professionalism.</w:t>
            </w:r>
          </w:p>
          <w:p w:rsidR="00C8777F" w:rsidRPr="00C7780B" w:rsidRDefault="00C8777F" w:rsidP="001E014C">
            <w:pPr>
              <w:spacing w:after="180"/>
              <w:jc w:val="both"/>
              <w:rPr>
                <w:rFonts w:ascii="Calibri" w:hAnsi="Calibri"/>
                <w:i/>
                <w:sz w:val="22"/>
                <w:szCs w:val="22"/>
              </w:rPr>
            </w:pPr>
          </w:p>
        </w:tc>
      </w:tr>
    </w:tbl>
    <w:p w:rsidR="00C8777F" w:rsidRDefault="00C8777F" w:rsidP="00502363">
      <w:pPr>
        <w:rPr>
          <w:rFonts w:ascii="Calibri" w:hAnsi="Calibri"/>
          <w:sz w:val="22"/>
          <w:szCs w:val="22"/>
        </w:rPr>
      </w:pPr>
    </w:p>
    <w:p w:rsidR="00C8777F" w:rsidRDefault="00C8777F" w:rsidP="00502363">
      <w:pPr>
        <w:rPr>
          <w:rFonts w:ascii="Calibri" w:hAnsi="Calibri"/>
          <w:sz w:val="22"/>
          <w:szCs w:val="22"/>
        </w:rPr>
      </w:pPr>
    </w:p>
    <w:p w:rsidR="00C8777F" w:rsidRPr="00E641DA" w:rsidRDefault="00C8777F"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792174" w:rsidRPr="002D07D2" w:rsidRDefault="00792174" w:rsidP="00792174">
            <w:pPr>
              <w:rPr>
                <w:rFonts w:ascii="Calibri" w:hAnsi="Calibri"/>
                <w:noProof/>
                <w:color w:val="000000"/>
                <w:sz w:val="22"/>
                <w:szCs w:val="22"/>
              </w:rPr>
            </w:pPr>
            <w:r w:rsidRPr="002D07D2">
              <w:rPr>
                <w:rFonts w:ascii="Calibri" w:hAnsi="Calibri"/>
                <w:noProof/>
                <w:color w:val="000000"/>
                <w:sz w:val="22"/>
                <w:szCs w:val="22"/>
              </w:rPr>
              <w:t>Provide a high quality interface to the Office of the</w:t>
            </w:r>
            <w:r>
              <w:rPr>
                <w:rFonts w:ascii="Calibri" w:hAnsi="Calibri"/>
                <w:noProof/>
                <w:color w:val="000000"/>
                <w:sz w:val="22"/>
                <w:szCs w:val="22"/>
              </w:rPr>
              <w:t xml:space="preserve"> Deputy</w:t>
            </w:r>
            <w:r w:rsidRPr="002D07D2">
              <w:rPr>
                <w:rFonts w:ascii="Calibri" w:hAnsi="Calibri"/>
                <w:noProof/>
                <w:color w:val="000000"/>
                <w:sz w:val="22"/>
                <w:szCs w:val="22"/>
              </w:rPr>
              <w:t xml:space="preserve"> Chief Executive by:</w:t>
            </w:r>
          </w:p>
          <w:p w:rsidR="00792174" w:rsidRPr="002D07D2" w:rsidRDefault="00792174" w:rsidP="00792174">
            <w:pPr>
              <w:numPr>
                <w:ilvl w:val="0"/>
                <w:numId w:val="15"/>
              </w:numPr>
              <w:rPr>
                <w:rFonts w:ascii="Calibri" w:hAnsi="Calibri"/>
                <w:noProof/>
                <w:color w:val="000000"/>
                <w:sz w:val="22"/>
                <w:szCs w:val="22"/>
              </w:rPr>
            </w:pPr>
            <w:r w:rsidRPr="002D07D2">
              <w:rPr>
                <w:rFonts w:ascii="Calibri" w:hAnsi="Calibri"/>
                <w:noProof/>
                <w:color w:val="000000"/>
                <w:sz w:val="22"/>
                <w:szCs w:val="22"/>
              </w:rPr>
              <w:t>Develop and maintain strong and effective relationships with CSIRO’s external stakeholders (the CSIRO Board, Ministers’ office, government, academia, industry, other agencies, the general public)</w:t>
            </w:r>
          </w:p>
          <w:p w:rsidR="00792174" w:rsidRPr="002D07D2" w:rsidRDefault="00792174" w:rsidP="00792174">
            <w:pPr>
              <w:numPr>
                <w:ilvl w:val="0"/>
                <w:numId w:val="15"/>
              </w:numPr>
              <w:rPr>
                <w:rFonts w:ascii="Calibri" w:hAnsi="Calibri"/>
                <w:noProof/>
                <w:color w:val="000000"/>
                <w:sz w:val="22"/>
                <w:szCs w:val="22"/>
              </w:rPr>
            </w:pPr>
            <w:r w:rsidRPr="002D07D2">
              <w:rPr>
                <w:rFonts w:ascii="Calibri" w:hAnsi="Calibri"/>
                <w:noProof/>
                <w:color w:val="000000"/>
                <w:sz w:val="22"/>
                <w:szCs w:val="22"/>
              </w:rPr>
              <w:t>Work collaboratively with internal stakeholders, in particular, the Executive team</w:t>
            </w:r>
            <w:r>
              <w:rPr>
                <w:rFonts w:ascii="Calibri" w:hAnsi="Calibri"/>
                <w:noProof/>
                <w:color w:val="000000"/>
                <w:sz w:val="22"/>
                <w:szCs w:val="22"/>
              </w:rPr>
              <w:t xml:space="preserve">, the Groups Executive leaders and the broader </w:t>
            </w:r>
            <w:r w:rsidRPr="002D07D2">
              <w:rPr>
                <w:rFonts w:ascii="Calibri" w:hAnsi="Calibri"/>
                <w:noProof/>
                <w:color w:val="000000"/>
                <w:sz w:val="22"/>
                <w:szCs w:val="22"/>
              </w:rPr>
              <w:t>Executive Management Council</w:t>
            </w:r>
            <w:r>
              <w:rPr>
                <w:rFonts w:ascii="Calibri" w:hAnsi="Calibri"/>
                <w:noProof/>
                <w:color w:val="000000"/>
                <w:sz w:val="22"/>
                <w:szCs w:val="22"/>
              </w:rPr>
              <w:t xml:space="preserve"> (and their staff) and the CSIRO Board Office</w:t>
            </w:r>
            <w:r w:rsidRPr="002D07D2">
              <w:rPr>
                <w:rFonts w:ascii="Calibri" w:hAnsi="Calibri"/>
                <w:noProof/>
                <w:color w:val="000000"/>
                <w:sz w:val="22"/>
                <w:szCs w:val="22"/>
              </w:rPr>
              <w:t xml:space="preserve"> with a spirit of cooperation and as a relationship builder.</w:t>
            </w:r>
          </w:p>
          <w:p w:rsidR="00792174" w:rsidRPr="002D07D2" w:rsidRDefault="00792174" w:rsidP="00792174">
            <w:pPr>
              <w:numPr>
                <w:ilvl w:val="0"/>
                <w:numId w:val="15"/>
              </w:numPr>
              <w:rPr>
                <w:rFonts w:ascii="Calibri" w:hAnsi="Calibri"/>
                <w:noProof/>
                <w:color w:val="000000"/>
                <w:sz w:val="22"/>
                <w:szCs w:val="22"/>
              </w:rPr>
            </w:pPr>
            <w:r w:rsidRPr="002D07D2">
              <w:rPr>
                <w:rFonts w:ascii="Calibri" w:hAnsi="Calibri"/>
                <w:noProof/>
                <w:color w:val="000000"/>
                <w:sz w:val="22"/>
                <w:szCs w:val="22"/>
              </w:rPr>
              <w:t>Maintains confidentiality and uses a high degree of discretion and sensitivity in all interactions and around  important issues.</w:t>
            </w:r>
          </w:p>
          <w:p w:rsidR="00792174" w:rsidRPr="002D07D2" w:rsidRDefault="00792174" w:rsidP="00792174">
            <w:pPr>
              <w:numPr>
                <w:ilvl w:val="0"/>
                <w:numId w:val="15"/>
              </w:numPr>
              <w:rPr>
                <w:rFonts w:ascii="Calibri" w:hAnsi="Calibri"/>
                <w:noProof/>
                <w:color w:val="000000"/>
                <w:sz w:val="22"/>
                <w:szCs w:val="22"/>
              </w:rPr>
            </w:pPr>
            <w:r w:rsidRPr="002D07D2">
              <w:rPr>
                <w:rFonts w:ascii="Calibri" w:hAnsi="Calibri"/>
                <w:noProof/>
                <w:color w:val="000000"/>
                <w:sz w:val="22"/>
                <w:szCs w:val="22"/>
              </w:rPr>
              <w:t>Display excellent communication skills to persuade and negotiate when working with guests, CSIRO management, coworkers and other stakeholders particularly when under pressure.</w:t>
            </w:r>
          </w:p>
          <w:p w:rsidR="00792174" w:rsidRPr="002D07D2" w:rsidRDefault="00792174" w:rsidP="00792174">
            <w:pPr>
              <w:numPr>
                <w:ilvl w:val="0"/>
                <w:numId w:val="15"/>
              </w:numPr>
              <w:rPr>
                <w:rFonts w:ascii="Calibri" w:hAnsi="Calibri"/>
                <w:noProof/>
                <w:color w:val="000000"/>
                <w:sz w:val="22"/>
                <w:szCs w:val="22"/>
              </w:rPr>
            </w:pPr>
            <w:r w:rsidRPr="002D07D2">
              <w:rPr>
                <w:rFonts w:ascii="Calibri" w:hAnsi="Calibri"/>
                <w:noProof/>
                <w:color w:val="000000"/>
                <w:sz w:val="22"/>
                <w:szCs w:val="22"/>
              </w:rPr>
              <w:t>Utilises engaging interpersonal skills including the ability to think and act strategically, provide sound judgement and provide a positive and energetic attitude.</w:t>
            </w:r>
          </w:p>
          <w:p w:rsidR="00792174" w:rsidRPr="002D07D2" w:rsidRDefault="00792174" w:rsidP="00792174">
            <w:pPr>
              <w:numPr>
                <w:ilvl w:val="0"/>
                <w:numId w:val="15"/>
              </w:numPr>
              <w:rPr>
                <w:rFonts w:ascii="Calibri" w:hAnsi="Calibri"/>
                <w:noProof/>
                <w:color w:val="000000"/>
                <w:sz w:val="22"/>
                <w:szCs w:val="22"/>
              </w:rPr>
            </w:pPr>
            <w:r w:rsidRPr="002D07D2">
              <w:rPr>
                <w:rFonts w:ascii="Calibri" w:hAnsi="Calibri"/>
                <w:noProof/>
                <w:color w:val="000000"/>
                <w:sz w:val="22"/>
                <w:szCs w:val="22"/>
              </w:rPr>
              <w:t xml:space="preserve">Provide systematic and dependable follow up, as well as a high level of organisation and preparedness.  </w:t>
            </w:r>
          </w:p>
          <w:p w:rsidR="00792174" w:rsidRPr="002D07D2" w:rsidRDefault="00792174" w:rsidP="00792174">
            <w:pPr>
              <w:numPr>
                <w:ilvl w:val="0"/>
                <w:numId w:val="15"/>
              </w:numPr>
              <w:rPr>
                <w:rFonts w:ascii="Calibri" w:hAnsi="Calibri"/>
                <w:noProof/>
                <w:color w:val="000000"/>
                <w:sz w:val="22"/>
                <w:szCs w:val="22"/>
              </w:rPr>
            </w:pPr>
            <w:r w:rsidRPr="002D07D2">
              <w:rPr>
                <w:rFonts w:ascii="Calibri" w:hAnsi="Calibri"/>
                <w:noProof/>
                <w:color w:val="000000"/>
                <w:sz w:val="22"/>
                <w:szCs w:val="22"/>
              </w:rPr>
              <w:t>Maintains workflow under pressure in a fast-paced, high profile work environment.</w:t>
            </w:r>
          </w:p>
          <w:p w:rsidR="00792174" w:rsidRPr="002D07D2" w:rsidRDefault="00792174" w:rsidP="00792174">
            <w:pPr>
              <w:ind w:left="1080"/>
              <w:rPr>
                <w:rFonts w:ascii="Calibri" w:hAnsi="Calibri"/>
                <w:noProof/>
                <w:color w:val="000000"/>
                <w:sz w:val="22"/>
                <w:szCs w:val="22"/>
              </w:rPr>
            </w:pPr>
          </w:p>
          <w:p w:rsidR="00792174" w:rsidRPr="002D07D2" w:rsidRDefault="00792174" w:rsidP="00792174">
            <w:pPr>
              <w:rPr>
                <w:rFonts w:ascii="Calibri" w:hAnsi="Calibri"/>
                <w:sz w:val="22"/>
                <w:szCs w:val="22"/>
              </w:rPr>
            </w:pPr>
            <w:r w:rsidRPr="002D07D2">
              <w:rPr>
                <w:rFonts w:ascii="Calibri" w:hAnsi="Calibri"/>
                <w:sz w:val="22"/>
                <w:szCs w:val="22"/>
              </w:rPr>
              <w:t xml:space="preserve">Provide high quality executive and administrative support in the complex and demanding environment of the Office of the </w:t>
            </w:r>
            <w:r>
              <w:rPr>
                <w:rFonts w:ascii="Calibri" w:hAnsi="Calibri"/>
                <w:sz w:val="22"/>
                <w:szCs w:val="22"/>
              </w:rPr>
              <w:t xml:space="preserve">Deputy </w:t>
            </w:r>
            <w:r w:rsidRPr="002D07D2">
              <w:rPr>
                <w:rFonts w:ascii="Calibri" w:hAnsi="Calibri"/>
                <w:sz w:val="22"/>
                <w:szCs w:val="22"/>
              </w:rPr>
              <w:t>Chief Executive by:</w:t>
            </w:r>
          </w:p>
          <w:p w:rsidR="00792174" w:rsidRPr="002D07D2" w:rsidRDefault="00792174" w:rsidP="00792174">
            <w:pPr>
              <w:numPr>
                <w:ilvl w:val="0"/>
                <w:numId w:val="15"/>
              </w:numPr>
              <w:rPr>
                <w:rFonts w:ascii="Calibri" w:hAnsi="Calibri"/>
                <w:sz w:val="22"/>
                <w:szCs w:val="22"/>
              </w:rPr>
            </w:pPr>
            <w:r w:rsidRPr="002D07D2">
              <w:rPr>
                <w:rFonts w:ascii="Calibri" w:hAnsi="Calibri"/>
                <w:sz w:val="22"/>
                <w:szCs w:val="22"/>
              </w:rPr>
              <w:t xml:space="preserve">Provides complex travel arrangements. Is familiar with specific, detailed needs of the </w:t>
            </w:r>
            <w:r>
              <w:rPr>
                <w:rFonts w:ascii="Calibri" w:hAnsi="Calibri"/>
                <w:sz w:val="22"/>
                <w:szCs w:val="22"/>
              </w:rPr>
              <w:t>D</w:t>
            </w:r>
            <w:r w:rsidRPr="002D07D2">
              <w:rPr>
                <w:rFonts w:ascii="Calibri" w:hAnsi="Calibri"/>
                <w:sz w:val="22"/>
                <w:szCs w:val="22"/>
              </w:rPr>
              <w:t>CE and travel partners; creates consistent travel itinerary portfolios and quickly addresses changes.</w:t>
            </w:r>
          </w:p>
          <w:p w:rsidR="00792174" w:rsidRPr="002D07D2" w:rsidRDefault="00792174" w:rsidP="00792174">
            <w:pPr>
              <w:numPr>
                <w:ilvl w:val="0"/>
                <w:numId w:val="15"/>
              </w:numPr>
              <w:rPr>
                <w:rFonts w:ascii="Calibri" w:hAnsi="Calibri"/>
                <w:sz w:val="22"/>
                <w:szCs w:val="22"/>
              </w:rPr>
            </w:pPr>
            <w:r w:rsidRPr="002D07D2">
              <w:rPr>
                <w:rFonts w:ascii="Calibri" w:hAnsi="Calibri"/>
                <w:sz w:val="22"/>
                <w:szCs w:val="22"/>
              </w:rPr>
              <w:t>Managing a complex and busy diary in light of changing circumstances</w:t>
            </w:r>
          </w:p>
          <w:p w:rsidR="00792174" w:rsidRPr="002D07D2" w:rsidRDefault="00792174" w:rsidP="00792174">
            <w:pPr>
              <w:numPr>
                <w:ilvl w:val="0"/>
                <w:numId w:val="15"/>
              </w:numPr>
              <w:rPr>
                <w:rFonts w:ascii="Calibri" w:hAnsi="Calibri"/>
                <w:sz w:val="22"/>
                <w:szCs w:val="22"/>
              </w:rPr>
            </w:pPr>
            <w:r w:rsidRPr="002D07D2">
              <w:rPr>
                <w:rFonts w:ascii="Calibri" w:hAnsi="Calibri"/>
                <w:sz w:val="22"/>
                <w:szCs w:val="22"/>
              </w:rPr>
              <w:t>Maintains workflow under pressure in a fast-paced, high profile work environment.</w:t>
            </w:r>
          </w:p>
          <w:p w:rsidR="00792174" w:rsidRPr="002D07D2" w:rsidRDefault="00792174" w:rsidP="00792174">
            <w:pPr>
              <w:numPr>
                <w:ilvl w:val="0"/>
                <w:numId w:val="15"/>
              </w:numPr>
              <w:rPr>
                <w:rFonts w:ascii="Calibri" w:hAnsi="Calibri"/>
                <w:sz w:val="22"/>
                <w:szCs w:val="22"/>
              </w:rPr>
            </w:pPr>
            <w:r w:rsidRPr="002D07D2">
              <w:rPr>
                <w:rFonts w:ascii="Calibri" w:hAnsi="Calibri"/>
                <w:sz w:val="22"/>
                <w:szCs w:val="22"/>
              </w:rPr>
              <w:t xml:space="preserve">Undertake research and ensure appropriate background and briefing is provided to </w:t>
            </w:r>
            <w:r>
              <w:rPr>
                <w:rFonts w:ascii="Calibri" w:hAnsi="Calibri"/>
                <w:sz w:val="22"/>
                <w:szCs w:val="22"/>
              </w:rPr>
              <w:t>D</w:t>
            </w:r>
            <w:r w:rsidRPr="002D07D2">
              <w:rPr>
                <w:rFonts w:ascii="Calibri" w:hAnsi="Calibri"/>
                <w:sz w:val="22"/>
                <w:szCs w:val="22"/>
              </w:rPr>
              <w:t>CE for all meetings.</w:t>
            </w:r>
          </w:p>
          <w:p w:rsidR="00792174" w:rsidRPr="002D07D2" w:rsidRDefault="00792174" w:rsidP="00792174">
            <w:pPr>
              <w:numPr>
                <w:ilvl w:val="0"/>
                <w:numId w:val="15"/>
              </w:numPr>
              <w:rPr>
                <w:rFonts w:ascii="Calibri" w:hAnsi="Calibri"/>
                <w:sz w:val="22"/>
                <w:szCs w:val="22"/>
              </w:rPr>
            </w:pPr>
            <w:r w:rsidRPr="002D07D2">
              <w:rPr>
                <w:rFonts w:ascii="Calibri" w:hAnsi="Calibri"/>
                <w:sz w:val="22"/>
                <w:szCs w:val="22"/>
              </w:rPr>
              <w:t xml:space="preserve">Monitor and prioritise </w:t>
            </w:r>
            <w:r>
              <w:rPr>
                <w:rFonts w:ascii="Calibri" w:hAnsi="Calibri"/>
                <w:sz w:val="22"/>
                <w:szCs w:val="22"/>
              </w:rPr>
              <w:t>D</w:t>
            </w:r>
            <w:r w:rsidRPr="002D07D2">
              <w:rPr>
                <w:rFonts w:ascii="Calibri" w:hAnsi="Calibri"/>
                <w:sz w:val="22"/>
                <w:szCs w:val="22"/>
              </w:rPr>
              <w:t>CE emails and calls – exercising judgement and initiative to request and coordinate, and manage and action as appropriate</w:t>
            </w:r>
          </w:p>
          <w:p w:rsidR="00792174" w:rsidRPr="002D07D2" w:rsidRDefault="00792174" w:rsidP="00792174">
            <w:pPr>
              <w:numPr>
                <w:ilvl w:val="0"/>
                <w:numId w:val="15"/>
              </w:numPr>
              <w:rPr>
                <w:rFonts w:ascii="Calibri" w:hAnsi="Calibri"/>
                <w:sz w:val="22"/>
                <w:szCs w:val="22"/>
              </w:rPr>
            </w:pPr>
            <w:r w:rsidRPr="002D07D2">
              <w:rPr>
                <w:rFonts w:ascii="Calibri" w:hAnsi="Calibri"/>
                <w:sz w:val="22"/>
                <w:szCs w:val="22"/>
              </w:rPr>
              <w:t>Maintain accurate, accessible and up-to-date office information systems and processes (Outlook, email folders, Outlook contacts, paper files, TRIM files).</w:t>
            </w:r>
          </w:p>
          <w:p w:rsidR="00792174" w:rsidRPr="002D07D2" w:rsidRDefault="00792174" w:rsidP="00792174">
            <w:pPr>
              <w:numPr>
                <w:ilvl w:val="0"/>
                <w:numId w:val="15"/>
              </w:numPr>
              <w:rPr>
                <w:rFonts w:ascii="Calibri" w:hAnsi="Calibri"/>
                <w:sz w:val="22"/>
                <w:szCs w:val="22"/>
              </w:rPr>
            </w:pPr>
            <w:r w:rsidRPr="002D07D2">
              <w:rPr>
                <w:rFonts w:ascii="Calibri" w:hAnsi="Calibri"/>
                <w:sz w:val="22"/>
                <w:szCs w:val="22"/>
              </w:rPr>
              <w:t>Provides effective issues, records and information management,</w:t>
            </w:r>
          </w:p>
          <w:p w:rsidR="00792174" w:rsidRPr="002D07D2" w:rsidRDefault="00792174" w:rsidP="00792174">
            <w:pPr>
              <w:numPr>
                <w:ilvl w:val="1"/>
                <w:numId w:val="15"/>
              </w:numPr>
              <w:rPr>
                <w:rFonts w:ascii="Calibri" w:hAnsi="Calibri"/>
                <w:noProof/>
                <w:color w:val="000000"/>
                <w:sz w:val="22"/>
                <w:szCs w:val="22"/>
              </w:rPr>
            </w:pPr>
            <w:r w:rsidRPr="002D07D2">
              <w:rPr>
                <w:rFonts w:ascii="Calibri" w:hAnsi="Calibri"/>
                <w:noProof/>
                <w:color w:val="000000"/>
                <w:sz w:val="22"/>
                <w:szCs w:val="22"/>
              </w:rPr>
              <w:t xml:space="preserve">Track current issues and correspondence to the </w:t>
            </w:r>
            <w:r>
              <w:rPr>
                <w:rFonts w:ascii="Calibri" w:hAnsi="Calibri"/>
                <w:noProof/>
                <w:color w:val="000000"/>
                <w:sz w:val="22"/>
                <w:szCs w:val="22"/>
              </w:rPr>
              <w:t>D</w:t>
            </w:r>
            <w:r w:rsidRPr="002D07D2">
              <w:rPr>
                <w:rFonts w:ascii="Calibri" w:hAnsi="Calibri"/>
                <w:noProof/>
                <w:color w:val="000000"/>
                <w:sz w:val="22"/>
                <w:szCs w:val="22"/>
              </w:rPr>
              <w:t>CE to ensure that they are handled in a timely fashion.</w:t>
            </w:r>
          </w:p>
          <w:p w:rsidR="00792174" w:rsidRPr="002D07D2" w:rsidRDefault="00792174" w:rsidP="00792174">
            <w:pPr>
              <w:numPr>
                <w:ilvl w:val="1"/>
                <w:numId w:val="15"/>
              </w:numPr>
              <w:rPr>
                <w:rFonts w:ascii="Calibri" w:hAnsi="Calibri"/>
                <w:noProof/>
                <w:color w:val="000000"/>
                <w:sz w:val="22"/>
                <w:szCs w:val="22"/>
              </w:rPr>
            </w:pPr>
            <w:r w:rsidRPr="002D07D2">
              <w:rPr>
                <w:rFonts w:ascii="Calibri" w:hAnsi="Calibri"/>
                <w:noProof/>
                <w:color w:val="000000"/>
                <w:sz w:val="22"/>
                <w:szCs w:val="22"/>
              </w:rPr>
              <w:t>Filter and prioritise information</w:t>
            </w:r>
          </w:p>
          <w:p w:rsidR="00792174" w:rsidRPr="002D07D2" w:rsidRDefault="00792174" w:rsidP="00792174">
            <w:pPr>
              <w:numPr>
                <w:ilvl w:val="1"/>
                <w:numId w:val="15"/>
              </w:numPr>
              <w:rPr>
                <w:rFonts w:ascii="Calibri" w:hAnsi="Calibri"/>
                <w:noProof/>
                <w:color w:val="000000"/>
                <w:sz w:val="22"/>
                <w:szCs w:val="22"/>
              </w:rPr>
            </w:pPr>
            <w:r w:rsidRPr="002D07D2">
              <w:rPr>
                <w:rFonts w:ascii="Calibri" w:hAnsi="Calibri"/>
                <w:noProof/>
                <w:color w:val="000000"/>
                <w:sz w:val="22"/>
                <w:szCs w:val="22"/>
              </w:rPr>
              <w:t xml:space="preserve">Ensure that the </w:t>
            </w:r>
            <w:r>
              <w:rPr>
                <w:rFonts w:ascii="Calibri" w:hAnsi="Calibri"/>
                <w:noProof/>
                <w:color w:val="000000"/>
                <w:sz w:val="22"/>
                <w:szCs w:val="22"/>
              </w:rPr>
              <w:t>D</w:t>
            </w:r>
            <w:r w:rsidRPr="002D07D2">
              <w:rPr>
                <w:rFonts w:ascii="Calibri" w:hAnsi="Calibri"/>
                <w:noProof/>
                <w:color w:val="000000"/>
                <w:sz w:val="22"/>
                <w:szCs w:val="22"/>
              </w:rPr>
              <w:t>CE attends to issues in a timely manner</w:t>
            </w:r>
          </w:p>
          <w:p w:rsidR="00792174" w:rsidRPr="002D07D2" w:rsidRDefault="00792174" w:rsidP="00792174">
            <w:pPr>
              <w:numPr>
                <w:ilvl w:val="1"/>
                <w:numId w:val="15"/>
              </w:numPr>
              <w:rPr>
                <w:rFonts w:ascii="Calibri" w:hAnsi="Calibri"/>
                <w:sz w:val="22"/>
                <w:szCs w:val="22"/>
              </w:rPr>
            </w:pPr>
            <w:r w:rsidRPr="002D07D2">
              <w:rPr>
                <w:rFonts w:ascii="Calibri" w:hAnsi="Calibri"/>
                <w:sz w:val="22"/>
                <w:szCs w:val="22"/>
              </w:rPr>
              <w:t>Maintain confidentiality in managing issues, records and information.</w:t>
            </w:r>
          </w:p>
          <w:p w:rsidR="00792174" w:rsidRPr="002D07D2" w:rsidRDefault="00792174" w:rsidP="00792174">
            <w:pPr>
              <w:pStyle w:val="ListParagraph"/>
              <w:numPr>
                <w:ilvl w:val="0"/>
                <w:numId w:val="15"/>
              </w:numPr>
              <w:contextualSpacing/>
              <w:rPr>
                <w:rFonts w:ascii="Calibri" w:hAnsi="Calibri"/>
                <w:sz w:val="22"/>
                <w:szCs w:val="22"/>
              </w:rPr>
            </w:pPr>
            <w:r w:rsidRPr="002D07D2">
              <w:rPr>
                <w:rFonts w:ascii="Calibri" w:hAnsi="Calibri"/>
                <w:sz w:val="22"/>
                <w:szCs w:val="22"/>
              </w:rPr>
              <w:t>Foster a zero harm environment (HSE) and monitor compliance with CSIRO’s policies.</w:t>
            </w:r>
          </w:p>
          <w:p w:rsidR="00502363" w:rsidRPr="00792174" w:rsidRDefault="00502363" w:rsidP="00792174">
            <w:pPr>
              <w:spacing w:after="60"/>
              <w:contextualSpacing/>
              <w:rPr>
                <w:rFonts w:asciiTheme="minorHAnsi" w:hAnsiTheme="minorHAnsi"/>
                <w:sz w:val="22"/>
                <w:szCs w:val="22"/>
              </w:rPr>
            </w:pPr>
          </w:p>
        </w:tc>
      </w:tr>
    </w:tbl>
    <w:p w:rsidR="00502363" w:rsidRDefault="00502363" w:rsidP="00502363">
      <w:pPr>
        <w:rPr>
          <w:rFonts w:ascii="Calibri" w:hAnsi="Calibri"/>
          <w:sz w:val="22"/>
          <w:szCs w:val="22"/>
        </w:rPr>
      </w:pPr>
    </w:p>
    <w:p w:rsidR="00792174" w:rsidRDefault="00792174" w:rsidP="00502363">
      <w:pPr>
        <w:rPr>
          <w:rFonts w:ascii="Calibri" w:hAnsi="Calibri"/>
          <w:sz w:val="22"/>
          <w:szCs w:val="22"/>
        </w:rPr>
      </w:pPr>
    </w:p>
    <w:p w:rsidR="00792174" w:rsidRDefault="00792174" w:rsidP="00502363">
      <w:pPr>
        <w:rPr>
          <w:rFonts w:ascii="Calibri" w:hAnsi="Calibri"/>
          <w:sz w:val="22"/>
          <w:szCs w:val="22"/>
        </w:rPr>
      </w:pPr>
    </w:p>
    <w:p w:rsidR="00792174" w:rsidRDefault="00792174" w:rsidP="00502363">
      <w:pPr>
        <w:rPr>
          <w:rFonts w:ascii="Calibri" w:hAnsi="Calibri"/>
          <w:sz w:val="22"/>
          <w:szCs w:val="22"/>
        </w:rPr>
      </w:pPr>
    </w:p>
    <w:p w:rsidR="00792174" w:rsidRDefault="00792174" w:rsidP="00502363">
      <w:pPr>
        <w:rPr>
          <w:rFonts w:ascii="Calibri" w:hAnsi="Calibri"/>
          <w:sz w:val="22"/>
          <w:szCs w:val="22"/>
        </w:rPr>
      </w:pPr>
    </w:p>
    <w:p w:rsidR="00792174" w:rsidRDefault="00792174" w:rsidP="00502363">
      <w:pPr>
        <w:rPr>
          <w:rFonts w:ascii="Calibri" w:hAnsi="Calibri"/>
          <w:sz w:val="22"/>
          <w:szCs w:val="22"/>
        </w:rPr>
      </w:pPr>
    </w:p>
    <w:p w:rsidR="00792174" w:rsidRPr="00E641DA" w:rsidRDefault="00792174"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Selection Criteria:</w:t>
            </w:r>
          </w:p>
        </w:tc>
      </w:tr>
      <w:tr w:rsidR="00502363" w:rsidRPr="00E641DA" w:rsidTr="00CB7CA4">
        <w:trPr>
          <w:trHeight w:val="703"/>
        </w:trPr>
        <w:tc>
          <w:tcPr>
            <w:tcW w:w="9574" w:type="dxa"/>
            <w:shd w:val="clear" w:color="auto" w:fill="FFFFFF"/>
          </w:tcPr>
          <w:p w:rsidR="004350B4"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792174" w:rsidRPr="004C1D10" w:rsidRDefault="00792174" w:rsidP="00C7780B">
            <w:pPr>
              <w:pStyle w:val="NoSpacing"/>
              <w:numPr>
                <w:ilvl w:val="0"/>
                <w:numId w:val="13"/>
              </w:numPr>
              <w:spacing w:after="60"/>
              <w:rPr>
                <w:rFonts w:ascii="Calibri" w:hAnsi="Calibri"/>
              </w:rPr>
            </w:pPr>
            <w:r w:rsidRPr="004C1D10">
              <w:rPr>
                <w:rFonts w:ascii="Calibri" w:hAnsi="Calibri"/>
              </w:rPr>
              <w:t>Demonstrated experience in providing executive support to a senior executive within a large, complex organisation.</w:t>
            </w:r>
          </w:p>
          <w:p w:rsidR="004C1D10" w:rsidRDefault="004C1D10" w:rsidP="00C7780B">
            <w:pPr>
              <w:pStyle w:val="NoSpacing"/>
              <w:numPr>
                <w:ilvl w:val="0"/>
                <w:numId w:val="13"/>
              </w:numPr>
              <w:spacing w:after="60"/>
              <w:rPr>
                <w:rFonts w:ascii="Calibri" w:hAnsi="Calibri"/>
              </w:rPr>
            </w:pPr>
            <w:r w:rsidRPr="004C1D10">
              <w:rPr>
                <w:rFonts w:ascii="Calibri" w:hAnsi="Calibri"/>
              </w:rPr>
              <w:t>Ability to provide a ‘customer first focus with a wide range of internal and external stakeholders.</w:t>
            </w:r>
          </w:p>
          <w:p w:rsidR="0088095C" w:rsidRPr="004C1D10" w:rsidRDefault="0088095C" w:rsidP="00C7780B">
            <w:pPr>
              <w:pStyle w:val="NoSpacing"/>
              <w:numPr>
                <w:ilvl w:val="0"/>
                <w:numId w:val="13"/>
              </w:numPr>
              <w:spacing w:after="60"/>
              <w:rPr>
                <w:rFonts w:ascii="Calibri" w:hAnsi="Calibri"/>
              </w:rPr>
            </w:pPr>
            <w:r>
              <w:rPr>
                <w:rFonts w:ascii="Calibri" w:hAnsi="Calibri"/>
              </w:rPr>
              <w:t>High level communication skills (written and verbal) with demonstrated experience in building and maintaining strong relationships through collaboration and cooperation.</w:t>
            </w:r>
          </w:p>
          <w:p w:rsidR="00C7780B" w:rsidRPr="004C1D10" w:rsidRDefault="00C7780B" w:rsidP="00C7780B">
            <w:pPr>
              <w:pStyle w:val="NoSpacing"/>
              <w:numPr>
                <w:ilvl w:val="0"/>
                <w:numId w:val="13"/>
              </w:numPr>
              <w:spacing w:after="60"/>
              <w:rPr>
                <w:rFonts w:ascii="Calibri" w:hAnsi="Calibri"/>
              </w:rPr>
            </w:pPr>
            <w:r w:rsidRPr="004C1D10">
              <w:rPr>
                <w:rFonts w:ascii="Calibri" w:hAnsi="Calibri"/>
              </w:rPr>
              <w:t>Demonstrated ability to professionally handle sensitive and confidential information, and use appropriate judgment and discretion.</w:t>
            </w:r>
          </w:p>
          <w:p w:rsidR="009057F4" w:rsidRPr="004C1D10" w:rsidRDefault="009057F4" w:rsidP="00C7780B">
            <w:pPr>
              <w:pStyle w:val="NoSpacing"/>
              <w:numPr>
                <w:ilvl w:val="0"/>
                <w:numId w:val="13"/>
              </w:numPr>
              <w:spacing w:after="60"/>
              <w:rPr>
                <w:rFonts w:ascii="Calibri" w:hAnsi="Calibri"/>
              </w:rPr>
            </w:pPr>
            <w:r w:rsidRPr="004C1D10">
              <w:rPr>
                <w:rFonts w:ascii="Calibri" w:hAnsi="Calibri"/>
              </w:rPr>
              <w:t>Strong organisational skills with the ability to prioriti</w:t>
            </w:r>
            <w:r w:rsidR="009948CD" w:rsidRPr="004C1D10">
              <w:rPr>
                <w:rFonts w:ascii="Calibri" w:hAnsi="Calibri"/>
              </w:rPr>
              <w:t>se demands, and escalate issues as appropriate.</w:t>
            </w:r>
          </w:p>
          <w:p w:rsidR="004C1D10" w:rsidRPr="004C1D10" w:rsidRDefault="00C7780B" w:rsidP="004C1D10">
            <w:pPr>
              <w:pStyle w:val="NoSpacing"/>
              <w:numPr>
                <w:ilvl w:val="0"/>
                <w:numId w:val="13"/>
              </w:numPr>
              <w:spacing w:after="60"/>
              <w:rPr>
                <w:rFonts w:ascii="Calibri" w:hAnsi="Calibri"/>
              </w:rPr>
            </w:pPr>
            <w:r w:rsidRPr="004C1D10">
              <w:rPr>
                <w:rFonts w:ascii="Calibri" w:hAnsi="Calibri"/>
              </w:rPr>
              <w:t xml:space="preserve">Ability to </w:t>
            </w:r>
            <w:r w:rsidR="0088095C">
              <w:rPr>
                <w:rFonts w:ascii="Calibri" w:hAnsi="Calibri"/>
              </w:rPr>
              <w:t>provide a flexible approach in the application of judgement to provide solutions, being flexible and agile.</w:t>
            </w:r>
            <w:r w:rsidRPr="004C1D10">
              <w:rPr>
                <w:rFonts w:ascii="Calibri" w:hAnsi="Calibri"/>
              </w:rPr>
              <w:t xml:space="preserve"> </w:t>
            </w:r>
          </w:p>
          <w:p w:rsidR="00937A10" w:rsidRDefault="00C7780B" w:rsidP="004C1D10">
            <w:pPr>
              <w:pStyle w:val="NoSpacing"/>
              <w:numPr>
                <w:ilvl w:val="0"/>
                <w:numId w:val="13"/>
              </w:numPr>
              <w:spacing w:after="60"/>
              <w:rPr>
                <w:rFonts w:ascii="Calibri" w:hAnsi="Calibri"/>
              </w:rPr>
            </w:pPr>
            <w:r w:rsidRPr="004C1D10">
              <w:rPr>
                <w:rFonts w:ascii="Calibri" w:hAnsi="Calibri"/>
              </w:rPr>
              <w:t>Demonstrated</w:t>
            </w:r>
            <w:r w:rsidRPr="004C1D10">
              <w:rPr>
                <w:rFonts w:ascii="Calibri" w:hAnsi="Calibri"/>
                <w:spacing w:val="-11"/>
              </w:rPr>
              <w:t xml:space="preserve"> </w:t>
            </w:r>
            <w:r w:rsidRPr="004C1D10">
              <w:rPr>
                <w:rFonts w:ascii="Calibri" w:hAnsi="Calibri"/>
                <w:spacing w:val="-1"/>
              </w:rPr>
              <w:t>profici</w:t>
            </w:r>
            <w:r w:rsidRPr="004C1D10">
              <w:rPr>
                <w:rFonts w:ascii="Calibri" w:hAnsi="Calibri"/>
              </w:rPr>
              <w:t>e</w:t>
            </w:r>
            <w:r w:rsidRPr="004C1D10">
              <w:rPr>
                <w:rFonts w:ascii="Calibri" w:hAnsi="Calibri"/>
                <w:spacing w:val="-1"/>
              </w:rPr>
              <w:t>nc</w:t>
            </w:r>
            <w:r w:rsidRPr="004C1D10">
              <w:rPr>
                <w:rFonts w:ascii="Calibri" w:hAnsi="Calibri"/>
              </w:rPr>
              <w:t>y</w:t>
            </w:r>
            <w:r w:rsidRPr="004C1D10">
              <w:rPr>
                <w:rFonts w:ascii="Calibri" w:hAnsi="Calibri"/>
                <w:spacing w:val="-7"/>
              </w:rPr>
              <w:t xml:space="preserve"> </w:t>
            </w:r>
            <w:r w:rsidRPr="004C1D10">
              <w:rPr>
                <w:rFonts w:ascii="Calibri" w:hAnsi="Calibri"/>
              </w:rPr>
              <w:t>in</w:t>
            </w:r>
            <w:r w:rsidRPr="004C1D10">
              <w:rPr>
                <w:rFonts w:ascii="Calibri" w:hAnsi="Calibri"/>
                <w:spacing w:val="-9"/>
              </w:rPr>
              <w:t xml:space="preserve"> </w:t>
            </w:r>
            <w:r w:rsidRPr="004C1D10">
              <w:rPr>
                <w:rFonts w:ascii="Calibri" w:hAnsi="Calibri"/>
                <w:spacing w:val="-1"/>
              </w:rPr>
              <w:t>Mi</w:t>
            </w:r>
            <w:r w:rsidRPr="004C1D10">
              <w:rPr>
                <w:rFonts w:ascii="Calibri" w:hAnsi="Calibri"/>
              </w:rPr>
              <w:t>crosoft</w:t>
            </w:r>
            <w:r w:rsidRPr="004C1D10">
              <w:rPr>
                <w:rFonts w:ascii="Calibri" w:hAnsi="Calibri"/>
                <w:spacing w:val="-9"/>
              </w:rPr>
              <w:t xml:space="preserve"> </w:t>
            </w:r>
            <w:r w:rsidRPr="004C1D10">
              <w:rPr>
                <w:rFonts w:ascii="Calibri" w:hAnsi="Calibri"/>
              </w:rPr>
              <w:t>applications</w:t>
            </w:r>
            <w:r w:rsidRPr="004C1D10">
              <w:rPr>
                <w:rFonts w:ascii="Calibri" w:hAnsi="Calibri"/>
                <w:spacing w:val="-8"/>
              </w:rPr>
              <w:t xml:space="preserve"> </w:t>
            </w:r>
            <w:r w:rsidRPr="004C1D10">
              <w:rPr>
                <w:rFonts w:ascii="Calibri" w:hAnsi="Calibri"/>
                <w:spacing w:val="1"/>
              </w:rPr>
              <w:t>i</w:t>
            </w:r>
            <w:r w:rsidRPr="004C1D10">
              <w:rPr>
                <w:rFonts w:ascii="Calibri" w:hAnsi="Calibri"/>
                <w:spacing w:val="-1"/>
              </w:rPr>
              <w:t>n</w:t>
            </w:r>
            <w:r w:rsidRPr="004C1D10">
              <w:rPr>
                <w:rFonts w:ascii="Calibri" w:hAnsi="Calibri"/>
              </w:rPr>
              <w:t>cluding</w:t>
            </w:r>
            <w:r w:rsidRPr="004C1D10">
              <w:rPr>
                <w:rFonts w:ascii="Calibri" w:hAnsi="Calibri"/>
                <w:spacing w:val="-9"/>
              </w:rPr>
              <w:t xml:space="preserve"> </w:t>
            </w:r>
            <w:r w:rsidRPr="004C1D10">
              <w:rPr>
                <w:rFonts w:ascii="Calibri" w:hAnsi="Calibri"/>
              </w:rPr>
              <w:t>Word,</w:t>
            </w:r>
            <w:r w:rsidRPr="004C1D10">
              <w:rPr>
                <w:rFonts w:ascii="Calibri" w:hAnsi="Calibri"/>
                <w:spacing w:val="-9"/>
              </w:rPr>
              <w:t xml:space="preserve"> </w:t>
            </w:r>
            <w:r w:rsidRPr="004C1D10">
              <w:rPr>
                <w:rFonts w:ascii="Calibri" w:hAnsi="Calibri"/>
                <w:spacing w:val="-1"/>
              </w:rPr>
              <w:t>E</w:t>
            </w:r>
            <w:r w:rsidRPr="004C1D10">
              <w:rPr>
                <w:rFonts w:ascii="Calibri" w:hAnsi="Calibri"/>
              </w:rPr>
              <w:t>x</w:t>
            </w:r>
            <w:r w:rsidRPr="004C1D10">
              <w:rPr>
                <w:rFonts w:ascii="Calibri" w:hAnsi="Calibri"/>
                <w:spacing w:val="-1"/>
              </w:rPr>
              <w:t>cel</w:t>
            </w:r>
            <w:r w:rsidRPr="004C1D10">
              <w:rPr>
                <w:rFonts w:ascii="Calibri" w:hAnsi="Calibri"/>
              </w:rPr>
              <w:t>,</w:t>
            </w:r>
            <w:r w:rsidRPr="004C1D10">
              <w:rPr>
                <w:rFonts w:ascii="Calibri" w:hAnsi="Calibri"/>
                <w:spacing w:val="-10"/>
              </w:rPr>
              <w:t xml:space="preserve"> </w:t>
            </w:r>
            <w:r w:rsidRPr="004C1D10">
              <w:rPr>
                <w:rFonts w:ascii="Calibri" w:hAnsi="Calibri"/>
              </w:rPr>
              <w:t>Access,</w:t>
            </w:r>
            <w:r w:rsidRPr="004C1D10">
              <w:rPr>
                <w:rFonts w:ascii="Calibri" w:hAnsi="Calibri"/>
                <w:spacing w:val="-10"/>
              </w:rPr>
              <w:t xml:space="preserve"> </w:t>
            </w:r>
            <w:r w:rsidRPr="004C1D10">
              <w:rPr>
                <w:rFonts w:ascii="Calibri" w:hAnsi="Calibri"/>
              </w:rPr>
              <w:t>PowerPo</w:t>
            </w:r>
            <w:r w:rsidRPr="004C1D10">
              <w:rPr>
                <w:rFonts w:ascii="Calibri" w:hAnsi="Calibri"/>
                <w:spacing w:val="-2"/>
              </w:rPr>
              <w:t>i</w:t>
            </w:r>
            <w:r w:rsidRPr="004C1D10">
              <w:rPr>
                <w:rFonts w:ascii="Calibri" w:hAnsi="Calibri"/>
              </w:rPr>
              <w:t>nt,</w:t>
            </w:r>
            <w:r w:rsidRPr="004C1D10">
              <w:rPr>
                <w:rFonts w:ascii="Calibri" w:hAnsi="Calibri"/>
                <w:w w:val="99"/>
              </w:rPr>
              <w:t xml:space="preserve"> </w:t>
            </w:r>
            <w:r w:rsidRPr="004C1D10">
              <w:rPr>
                <w:rFonts w:ascii="Calibri" w:hAnsi="Calibri"/>
              </w:rPr>
              <w:t>Outlook,</w:t>
            </w:r>
            <w:r w:rsidRPr="004C1D10">
              <w:rPr>
                <w:rFonts w:ascii="Calibri" w:hAnsi="Calibri"/>
                <w:spacing w:val="-7"/>
              </w:rPr>
              <w:t xml:space="preserve"> </w:t>
            </w:r>
            <w:r w:rsidR="004C1D10" w:rsidRPr="004C1D10">
              <w:rPr>
                <w:rFonts w:ascii="Calibri" w:hAnsi="Calibri"/>
                <w:spacing w:val="-7"/>
              </w:rPr>
              <w:t xml:space="preserve">and </w:t>
            </w:r>
            <w:r w:rsidR="004C1D10" w:rsidRPr="004C1D10">
              <w:rPr>
                <w:rFonts w:ascii="Calibri" w:hAnsi="Calibri"/>
              </w:rPr>
              <w:t>Project.</w:t>
            </w:r>
          </w:p>
          <w:p w:rsidR="004E4DB4" w:rsidRDefault="004E4DB4" w:rsidP="004E4DB4">
            <w:pPr>
              <w:pStyle w:val="NoSpacing"/>
              <w:spacing w:after="60"/>
              <w:ind w:left="360"/>
              <w:rPr>
                <w:rFonts w:ascii="Calibri" w:hAnsi="Calibri"/>
              </w:rPr>
            </w:pPr>
          </w:p>
          <w:p w:rsidR="004E4DB4" w:rsidRPr="004E4DB4" w:rsidRDefault="004E4DB4" w:rsidP="004E4DB4">
            <w:pPr>
              <w:spacing w:after="60"/>
              <w:jc w:val="both"/>
              <w:rPr>
                <w:rFonts w:ascii="Calibri" w:hAnsi="Calibri"/>
                <w:b/>
                <w:i/>
                <w:color w:val="FF0000"/>
                <w:sz w:val="22"/>
                <w:szCs w:val="22"/>
                <w:lang w:eastAsia="en-AU"/>
              </w:rPr>
            </w:pPr>
            <w:r w:rsidRPr="004E4DB4">
              <w:rPr>
                <w:rFonts w:ascii="Calibri" w:hAnsi="Calibri"/>
                <w:b/>
                <w:i/>
                <w:color w:val="FF0000"/>
                <w:sz w:val="22"/>
                <w:szCs w:val="22"/>
                <w:lang w:eastAsia="en-AU"/>
              </w:rPr>
              <w:t>Special requirements:</w:t>
            </w:r>
          </w:p>
          <w:p w:rsidR="004E4DB4" w:rsidRDefault="004E4DB4" w:rsidP="004E4DB4">
            <w:pPr>
              <w:pStyle w:val="NoSpacing"/>
              <w:spacing w:after="60"/>
              <w:rPr>
                <w:rFonts w:ascii="Calibri" w:hAnsi="Calibri"/>
              </w:rPr>
            </w:pPr>
            <w:r w:rsidRPr="004E4DB4">
              <w:rPr>
                <w:rFonts w:ascii="Calibri" w:hAnsi="Calibri"/>
                <w:bCs/>
                <w:iCs/>
                <w:color w:val="FF0000"/>
              </w:rPr>
              <w:t xml:space="preserve">To be eligible for this position you must </w:t>
            </w:r>
            <w:r>
              <w:rPr>
                <w:rFonts w:ascii="Calibri" w:hAnsi="Calibri"/>
                <w:bCs/>
                <w:iCs/>
                <w:color w:val="FF0000"/>
              </w:rPr>
              <w:t xml:space="preserve">hold </w:t>
            </w:r>
            <w:r w:rsidRPr="004E4DB4">
              <w:rPr>
                <w:rFonts w:ascii="Calibri" w:hAnsi="Calibri"/>
                <w:bCs/>
                <w:iCs/>
                <w:color w:val="FF0000"/>
              </w:rPr>
              <w:t>an Australian Citizen</w:t>
            </w:r>
            <w:r>
              <w:rPr>
                <w:rFonts w:ascii="Calibri" w:hAnsi="Calibri"/>
                <w:bCs/>
                <w:iCs/>
                <w:color w:val="FF0000"/>
              </w:rPr>
              <w:t>ship</w:t>
            </w:r>
            <w:r w:rsidRPr="004E4DB4">
              <w:rPr>
                <w:rFonts w:ascii="Calibri" w:hAnsi="Calibri"/>
                <w:bCs/>
                <w:iCs/>
                <w:color w:val="FF0000"/>
              </w:rPr>
              <w:t xml:space="preserve"> and </w:t>
            </w:r>
            <w:r>
              <w:rPr>
                <w:rFonts w:ascii="Calibri" w:hAnsi="Calibri"/>
                <w:bCs/>
                <w:iCs/>
                <w:color w:val="FF0000"/>
              </w:rPr>
              <w:t xml:space="preserve">be </w:t>
            </w:r>
            <w:r w:rsidRPr="004E4DB4">
              <w:rPr>
                <w:rFonts w:ascii="Calibri" w:hAnsi="Calibri"/>
                <w:bCs/>
                <w:iCs/>
                <w:color w:val="FF0000"/>
              </w:rPr>
              <w:t xml:space="preserve">willing and able to </w:t>
            </w:r>
            <w:r w:rsidRPr="004E4DB4">
              <w:rPr>
                <w:rFonts w:ascii="Calibri" w:hAnsi="Calibri"/>
                <w:color w:val="FF0000"/>
              </w:rPr>
              <w:t xml:space="preserve">meet Negative Vetting Level 1 Security requirements.  </w:t>
            </w:r>
          </w:p>
          <w:p w:rsidR="004350B4" w:rsidRDefault="004350B4" w:rsidP="004350B4">
            <w:pPr>
              <w:pStyle w:val="NoSpacing"/>
              <w:spacing w:after="60"/>
              <w:ind w:left="360"/>
              <w:rPr>
                <w:rFonts w:ascii="Calibri" w:hAnsi="Calibri"/>
              </w:rPr>
            </w:pPr>
          </w:p>
          <w:p w:rsidR="004350B4" w:rsidRPr="00520570" w:rsidRDefault="004350B4" w:rsidP="004350B4">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rsidR="004350B4" w:rsidRPr="00520570" w:rsidRDefault="004350B4" w:rsidP="004350B4">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rsidR="004350B4" w:rsidRPr="00520570" w:rsidRDefault="004350B4" w:rsidP="004350B4">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rsidR="004350B4" w:rsidRPr="00520570" w:rsidRDefault="004350B4" w:rsidP="004350B4">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rsidR="004350B4" w:rsidRPr="00520570" w:rsidRDefault="004350B4" w:rsidP="004350B4">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rsidR="00502363" w:rsidRPr="004E4DB4" w:rsidRDefault="004350B4" w:rsidP="004E4DB4">
            <w:pPr>
              <w:numPr>
                <w:ilvl w:val="0"/>
                <w:numId w:val="2"/>
              </w:numPr>
              <w:tabs>
                <w:tab w:val="clear" w:pos="720"/>
              </w:tabs>
              <w:spacing w:after="180"/>
              <w:ind w:left="459" w:hanging="284"/>
              <w:jc w:val="both"/>
              <w:rPr>
                <w:rFonts w:ascii="Calibri" w:hAnsi="Calibri"/>
                <w:b/>
                <w:sz w:val="22"/>
                <w:szCs w:val="22"/>
              </w:rPr>
            </w:pPr>
            <w:r w:rsidRPr="00520570">
              <w:rPr>
                <w:rFonts w:ascii="Calibri" w:hAnsi="Calibri"/>
                <w:sz w:val="22"/>
                <w:szCs w:val="22"/>
                <w:lang w:eastAsia="en-AU"/>
              </w:rPr>
              <w:t>Health, Safety &amp; Sustainability</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9" w:history="1">
              <w:r w:rsidRPr="00842390">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301 509 and someone will be able to assist you.  Outside business hours please email:   </w:t>
            </w:r>
            <w:hyperlink r:id="rId10" w:history="1">
              <w:r w:rsidRPr="00520570">
                <w:rPr>
                  <w:rStyle w:val="Hyperlink"/>
                  <w:rFonts w:ascii="Calibri" w:hAnsi="Calibri"/>
                  <w:bCs/>
                  <w:sz w:val="22"/>
                  <w:szCs w:val="22"/>
                </w:rPr>
                <w:t>csiro-careers@csiro.au</w:t>
              </w:r>
            </w:hyperlink>
            <w:r w:rsidRPr="00520570">
              <w:rPr>
                <w:rFonts w:ascii="Calibri" w:hAnsi="Calibri"/>
                <w:bCs/>
                <w:sz w:val="22"/>
                <w:szCs w:val="22"/>
              </w:rPr>
              <w:t xml:space="preserve">. </w:t>
            </w:r>
          </w:p>
          <w:p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502363" w:rsidRPr="00C7780B" w:rsidRDefault="00502363" w:rsidP="00CB7CA4">
            <w:pPr>
              <w:spacing w:after="120"/>
              <w:ind w:right="-108"/>
              <w:jc w:val="both"/>
              <w:rPr>
                <w:rFonts w:asciiTheme="minorHAnsi" w:hAnsiTheme="minorHAnsi"/>
                <w:bCs/>
                <w:sz w:val="22"/>
                <w:szCs w:val="22"/>
              </w:rPr>
            </w:pPr>
            <w:r w:rsidRPr="00726C73">
              <w:rPr>
                <w:rFonts w:ascii="Calibri" w:hAnsi="Calibri"/>
                <w:bCs/>
                <w:sz w:val="22"/>
                <w:szCs w:val="22"/>
              </w:rPr>
              <w:tab/>
            </w:r>
            <w:r w:rsidR="004E4DB4">
              <w:rPr>
                <w:rFonts w:ascii="Calibri" w:hAnsi="Calibri"/>
                <w:sz w:val="22"/>
                <w:szCs w:val="22"/>
              </w:rPr>
              <w:t>Michael Nobelen</w:t>
            </w:r>
            <w:r w:rsidR="00726C73">
              <w:rPr>
                <w:rFonts w:ascii="Calibri" w:hAnsi="Calibri"/>
                <w:i/>
                <w:sz w:val="22"/>
                <w:szCs w:val="22"/>
              </w:rPr>
              <w:t xml:space="preserve"> </w:t>
            </w:r>
            <w:r w:rsidRPr="00520570">
              <w:rPr>
                <w:rFonts w:ascii="Calibri" w:hAnsi="Calibri"/>
                <w:bCs/>
                <w:sz w:val="22"/>
                <w:szCs w:val="22"/>
              </w:rPr>
              <w:t xml:space="preserve">via email: </w:t>
            </w:r>
            <w:hyperlink r:id="rId11" w:history="1">
              <w:r w:rsidR="004E4DB4" w:rsidRPr="00A211DD">
                <w:rPr>
                  <w:rStyle w:val="Hyperlink"/>
                  <w:rFonts w:ascii="Calibri" w:hAnsi="Calibri" w:cs="Arial"/>
                  <w:sz w:val="22"/>
                  <w:szCs w:val="22"/>
                </w:rPr>
                <w:t>Michael.Nobelen@csiro.au</w:t>
              </w:r>
            </w:hyperlink>
            <w:r w:rsidR="004E4DB4">
              <w:rPr>
                <w:rFonts w:ascii="Calibri" w:hAnsi="Calibri"/>
                <w:sz w:val="22"/>
                <w:szCs w:val="22"/>
              </w:rPr>
              <w:t xml:space="preserve"> </w:t>
            </w:r>
            <w:r w:rsidRPr="00520570">
              <w:rPr>
                <w:rFonts w:ascii="Calibri" w:hAnsi="Calibri"/>
                <w:bCs/>
                <w:sz w:val="22"/>
                <w:szCs w:val="22"/>
              </w:rPr>
              <w:t xml:space="preserve">or phone: </w:t>
            </w:r>
            <w:r w:rsidR="00C7780B" w:rsidRPr="00C7780B">
              <w:rPr>
                <w:rFonts w:asciiTheme="minorHAnsi" w:hAnsiTheme="minorHAnsi"/>
                <w:sz w:val="22"/>
                <w:szCs w:val="22"/>
              </w:rPr>
              <w:t>+61</w:t>
            </w:r>
            <w:r w:rsidR="004E4DB4">
              <w:rPr>
                <w:rFonts w:asciiTheme="minorHAnsi" w:hAnsiTheme="minorHAnsi"/>
                <w:sz w:val="22"/>
                <w:szCs w:val="22"/>
              </w:rPr>
              <w:t xml:space="preserve"> 2 6276 6080</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lastRenderedPageBreak/>
              <w:t>Please do not ema</w:t>
            </w:r>
            <w:r w:rsidR="004E4DB4">
              <w:rPr>
                <w:rFonts w:ascii="Calibri" w:hAnsi="Calibri"/>
                <w:bCs/>
                <w:sz w:val="22"/>
                <w:szCs w:val="22"/>
              </w:rPr>
              <w:t xml:space="preserve">il your application directly to Michael </w:t>
            </w:r>
            <w:proofErr w:type="spellStart"/>
            <w:r w:rsidR="004E4DB4">
              <w:rPr>
                <w:rFonts w:ascii="Calibri" w:hAnsi="Calibri"/>
                <w:bCs/>
                <w:sz w:val="22"/>
                <w:szCs w:val="22"/>
              </w:rPr>
              <w:t>Nobelean</w:t>
            </w:r>
            <w:proofErr w:type="spellEnd"/>
            <w:r w:rsidR="004E4DB4">
              <w:rPr>
                <w:rFonts w:ascii="Calibri" w:hAnsi="Calibri"/>
                <w:bCs/>
                <w:sz w:val="22"/>
                <w:szCs w:val="22"/>
              </w:rPr>
              <w:t>.</w:t>
            </w:r>
            <w:r w:rsidRPr="00520570">
              <w:rPr>
                <w:rFonts w:ascii="Calibri" w:hAnsi="Calibri"/>
                <w:bCs/>
                <w:sz w:val="22"/>
                <w:szCs w:val="22"/>
              </w:rPr>
              <w:t xml:space="preserve">   Applications received via this method will not be considered.</w:t>
            </w:r>
          </w:p>
          <w:p w:rsidR="009948CD" w:rsidRDefault="009948CD" w:rsidP="00CB7CA4">
            <w:pPr>
              <w:spacing w:after="60"/>
              <w:jc w:val="both"/>
              <w:rPr>
                <w:rFonts w:ascii="Calibri" w:hAnsi="Calibri"/>
                <w:b/>
                <w:bCs/>
                <w:sz w:val="22"/>
                <w:szCs w:val="22"/>
              </w:rPr>
            </w:pPr>
          </w:p>
          <w:p w:rsidR="00502363" w:rsidRPr="009948CD" w:rsidRDefault="00502363" w:rsidP="00CB7CA4">
            <w:pPr>
              <w:spacing w:after="60"/>
              <w:jc w:val="both"/>
              <w:rPr>
                <w:rFonts w:asciiTheme="minorHAnsi" w:hAnsiTheme="minorHAnsi"/>
                <w:b/>
                <w:bCs/>
                <w:sz w:val="22"/>
                <w:szCs w:val="22"/>
              </w:rPr>
            </w:pPr>
            <w:r w:rsidRPr="009948CD">
              <w:rPr>
                <w:rFonts w:asciiTheme="minorHAnsi" w:hAnsiTheme="minorHAnsi"/>
                <w:b/>
                <w:bCs/>
                <w:sz w:val="22"/>
                <w:szCs w:val="22"/>
              </w:rPr>
              <w:t>About CSIRO</w:t>
            </w:r>
          </w:p>
          <w:p w:rsidR="008E6B98" w:rsidRPr="009948CD" w:rsidRDefault="008E6B98" w:rsidP="008E6B98">
            <w:pPr>
              <w:spacing w:before="100" w:beforeAutospacing="1" w:after="100" w:afterAutospacing="1"/>
              <w:rPr>
                <w:rFonts w:asciiTheme="minorHAnsi" w:hAnsiTheme="minorHAnsi"/>
                <w:sz w:val="22"/>
                <w:szCs w:val="22"/>
                <w:lang w:val="en"/>
              </w:rPr>
            </w:pPr>
            <w:r w:rsidRPr="009948CD">
              <w:rPr>
                <w:rFonts w:asciiTheme="minorHAnsi" w:hAnsiTheme="minorHAnsi"/>
                <w:sz w:val="22"/>
                <w:szCs w:val="22"/>
                <w:lang w:val="en"/>
              </w:rPr>
              <w:t xml:space="preserve">At CSIRO, we do the extraordinary every day. We innovate for tomorrow and help improve today – for our customers, all Australians and the world. </w:t>
            </w:r>
          </w:p>
          <w:p w:rsidR="008E6B98" w:rsidRPr="009948CD" w:rsidRDefault="008E6B98" w:rsidP="008E6B98">
            <w:pPr>
              <w:spacing w:before="100" w:beforeAutospacing="1" w:after="100" w:afterAutospacing="1"/>
              <w:rPr>
                <w:rFonts w:asciiTheme="minorHAnsi" w:hAnsiTheme="minorHAnsi"/>
                <w:sz w:val="22"/>
                <w:szCs w:val="22"/>
                <w:lang w:val="en"/>
              </w:rPr>
            </w:pPr>
            <w:r w:rsidRPr="009948CD">
              <w:rPr>
                <w:rFonts w:asciiTheme="minorHAnsi" w:hAnsiTheme="minorHAnsi"/>
                <w:sz w:val="22"/>
                <w:szCs w:val="22"/>
                <w:lang w:val="en"/>
              </w:rPr>
              <w:t xml:space="preserve">Our innovations contribute billions of dollars to the Australian economy every year. As the largest patent holder in the nation, our vast wealth of intellectual property has led to more than 150 spin-off companies. </w:t>
            </w:r>
          </w:p>
          <w:p w:rsidR="008E6B98" w:rsidRPr="009948CD" w:rsidRDefault="008E6B98" w:rsidP="008E6B98">
            <w:pPr>
              <w:spacing w:before="100" w:beforeAutospacing="1" w:after="100" w:afterAutospacing="1"/>
              <w:rPr>
                <w:rFonts w:asciiTheme="minorHAnsi" w:hAnsiTheme="minorHAnsi"/>
                <w:sz w:val="22"/>
                <w:szCs w:val="22"/>
                <w:lang w:val="en"/>
              </w:rPr>
            </w:pPr>
            <w:r w:rsidRPr="009948CD">
              <w:rPr>
                <w:rFonts w:asciiTheme="minorHAnsi" w:hAnsiTheme="minorHAnsi"/>
                <w:sz w:val="22"/>
                <w:szCs w:val="22"/>
                <w:lang w:val="en"/>
              </w:rPr>
              <w:t xml:space="preserve">With more than 5,000 experts and a burning desire to get things done, we are Australia’s catalyst for innovation. </w:t>
            </w:r>
          </w:p>
          <w:p w:rsidR="008E6B98" w:rsidRPr="009948CD" w:rsidRDefault="008E6B98" w:rsidP="008E6B98">
            <w:pPr>
              <w:spacing w:before="100" w:beforeAutospacing="1" w:after="100" w:afterAutospacing="1"/>
              <w:rPr>
                <w:rFonts w:asciiTheme="minorHAnsi" w:hAnsiTheme="minorHAnsi"/>
                <w:sz w:val="22"/>
                <w:szCs w:val="22"/>
                <w:lang w:val="en"/>
              </w:rPr>
            </w:pPr>
            <w:r w:rsidRPr="009948CD">
              <w:rPr>
                <w:rFonts w:asciiTheme="minorHAnsi" w:hAnsiTheme="minorHAnsi"/>
                <w:sz w:val="22"/>
                <w:szCs w:val="22"/>
                <w:lang w:val="en"/>
              </w:rPr>
              <w:t>CSIRO. We imagine. We collaborate. We innovate.</w:t>
            </w:r>
          </w:p>
          <w:p w:rsidR="009948CD" w:rsidRPr="009948CD" w:rsidRDefault="00502363" w:rsidP="00CB7CA4">
            <w:pPr>
              <w:spacing w:after="120"/>
              <w:jc w:val="both"/>
              <w:rPr>
                <w:rFonts w:asciiTheme="minorHAnsi" w:hAnsiTheme="minorHAnsi"/>
                <w:bCs/>
                <w:sz w:val="22"/>
                <w:szCs w:val="22"/>
              </w:rPr>
            </w:pPr>
            <w:r w:rsidRPr="009948CD">
              <w:rPr>
                <w:rFonts w:asciiTheme="minorHAnsi" w:hAnsiTheme="minorHAnsi"/>
                <w:bCs/>
                <w:sz w:val="22"/>
                <w:szCs w:val="22"/>
              </w:rPr>
              <w:t xml:space="preserve">Find out more! </w:t>
            </w:r>
            <w:hyperlink r:id="rId12" w:history="1">
              <w:r w:rsidRPr="009948CD">
                <w:rPr>
                  <w:rStyle w:val="Hyperlink"/>
                  <w:rFonts w:asciiTheme="minorHAnsi" w:hAnsiTheme="minorHAnsi"/>
                  <w:bCs/>
                  <w:sz w:val="22"/>
                  <w:szCs w:val="22"/>
                </w:rPr>
                <w:t>www.csiro.au</w:t>
              </w:r>
            </w:hyperlink>
            <w:r w:rsidRPr="009948CD">
              <w:rPr>
                <w:rFonts w:asciiTheme="minorHAnsi" w:hAnsiTheme="minorHAnsi"/>
                <w:bCs/>
                <w:sz w:val="22"/>
                <w:szCs w:val="22"/>
              </w:rPr>
              <w:t xml:space="preserve">.  </w:t>
            </w:r>
          </w:p>
          <w:p w:rsidR="00502363" w:rsidRPr="009948CD" w:rsidRDefault="00502363" w:rsidP="00726C73">
            <w:pPr>
              <w:spacing w:after="180"/>
              <w:rPr>
                <w:rFonts w:asciiTheme="minorHAnsi" w:hAnsiTheme="minorHAnsi"/>
                <w:bCs/>
                <w:sz w:val="22"/>
                <w:szCs w:val="22"/>
              </w:rPr>
            </w:pPr>
            <w:r w:rsidRPr="009948CD">
              <w:rPr>
                <w:rFonts w:asciiTheme="minorHAnsi" w:hAnsiTheme="minorHAnsi"/>
                <w:b/>
                <w:bCs/>
                <w:sz w:val="22"/>
                <w:szCs w:val="22"/>
              </w:rPr>
              <w:t>CSIRO</w:t>
            </w:r>
            <w:r w:rsidR="008E6B98" w:rsidRPr="009948CD">
              <w:rPr>
                <w:rFonts w:asciiTheme="minorHAnsi" w:hAnsiTheme="minorHAnsi"/>
                <w:b/>
                <w:sz w:val="22"/>
                <w:szCs w:val="22"/>
              </w:rPr>
              <w:t xml:space="preserve"> Human Resources</w:t>
            </w:r>
          </w:p>
          <w:p w:rsidR="00D02E0A" w:rsidRDefault="008E6B98" w:rsidP="00D02E0A">
            <w:pPr>
              <w:rPr>
                <w:lang w:val="en"/>
              </w:rPr>
            </w:pPr>
            <w:r w:rsidRPr="009948CD">
              <w:rPr>
                <w:rFonts w:asciiTheme="minorHAnsi" w:hAnsiTheme="minorHAnsi"/>
                <w:sz w:val="22"/>
                <w:szCs w:val="22"/>
                <w:lang w:val="en"/>
              </w:rPr>
              <w:t>CSIRO Human Resources provides support and leadership on people issues to leaders and staff across CSIRO. Our goal is to develop high performing teams working across boundaries</w:t>
            </w:r>
            <w:r>
              <w:rPr>
                <w:lang w:val="en"/>
              </w:rPr>
              <w:t>.</w:t>
            </w:r>
          </w:p>
          <w:p w:rsidR="009948CD" w:rsidRPr="00D02E0A" w:rsidRDefault="009948CD" w:rsidP="00D02E0A"/>
        </w:tc>
      </w:tr>
    </w:tbl>
    <w:p w:rsidR="003D59C3" w:rsidRPr="00E641DA" w:rsidRDefault="003D59C3" w:rsidP="00D02E0A">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AB1" w:rsidRDefault="00DF1AB1">
      <w:r>
        <w:separator/>
      </w:r>
    </w:p>
  </w:endnote>
  <w:endnote w:type="continuationSeparator" w:id="0">
    <w:p w:rsidR="00DF1AB1" w:rsidRDefault="00DF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AB1" w:rsidRDefault="00DF1AB1">
      <w:r>
        <w:separator/>
      </w:r>
    </w:p>
  </w:footnote>
  <w:footnote w:type="continuationSeparator" w:id="0">
    <w:p w:rsidR="00DF1AB1" w:rsidRDefault="00DF1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0A" w:rsidRPr="001E495E" w:rsidRDefault="00D02E0A" w:rsidP="001E495E">
    <w:pPr>
      <w:pStyle w:val="Header"/>
      <w:spacing w:before="60"/>
      <w:ind w:left="-142"/>
      <w:rPr>
        <w:color w:val="FFFFFF"/>
      </w:rPr>
    </w:pPr>
    <w:r w:rsidRPr="001E495E">
      <w:rPr>
        <w:rFonts w:ascii="Calibri" w:hAnsi="Calibri"/>
        <w:color w:val="FFFFFF"/>
        <w:sz w:val="36"/>
        <w:szCs w:val="22"/>
      </w:rPr>
      <w:t>Position Details</w:t>
    </w:r>
    <w:r w:rsidR="003F04D3">
      <w:rPr>
        <w:noProof/>
        <w:color w:val="FFFFFF"/>
        <w:lang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D628B"/>
    <w:multiLevelType w:val="hybridMultilevel"/>
    <w:tmpl w:val="64F0D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4143D"/>
    <w:multiLevelType w:val="hybridMultilevel"/>
    <w:tmpl w:val="F5380EF8"/>
    <w:lvl w:ilvl="0" w:tplc="833CFABE">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86F1772"/>
    <w:multiLevelType w:val="hybridMultilevel"/>
    <w:tmpl w:val="D7405462"/>
    <w:lvl w:ilvl="0" w:tplc="9B92A09A">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F96682"/>
    <w:multiLevelType w:val="hybridMultilevel"/>
    <w:tmpl w:val="37BA5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C480344"/>
    <w:multiLevelType w:val="hybridMultilevel"/>
    <w:tmpl w:val="DDB04D6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1E77914"/>
    <w:multiLevelType w:val="hybridMultilevel"/>
    <w:tmpl w:val="18B2E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541040A"/>
    <w:multiLevelType w:val="hybridMultilevel"/>
    <w:tmpl w:val="421A5D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8"/>
  </w:num>
  <w:num w:numId="3">
    <w:abstractNumId w:val="11"/>
  </w:num>
  <w:num w:numId="4">
    <w:abstractNumId w:val="6"/>
  </w:num>
  <w:num w:numId="5">
    <w:abstractNumId w:val="7"/>
  </w:num>
  <w:num w:numId="6">
    <w:abstractNumId w:val="4"/>
  </w:num>
  <w:num w:numId="7">
    <w:abstractNumId w:val="0"/>
  </w:num>
  <w:num w:numId="8">
    <w:abstractNumId w:val="1"/>
  </w:num>
  <w:num w:numId="9">
    <w:abstractNumId w:val="10"/>
  </w:num>
  <w:num w:numId="10">
    <w:abstractNumId w:val="3"/>
  </w:num>
  <w:num w:numId="11">
    <w:abstractNumId w:val="5"/>
  </w:num>
  <w:num w:numId="12">
    <w:abstractNumId w:val="13"/>
  </w:num>
  <w:num w:numId="13">
    <w:abstractNumId w:val="14"/>
  </w:num>
  <w:num w:numId="14">
    <w:abstractNumId w:val="9"/>
  </w:num>
  <w:num w:numId="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29D9"/>
    <w:rsid w:val="00033249"/>
    <w:rsid w:val="000366D2"/>
    <w:rsid w:val="00040391"/>
    <w:rsid w:val="00045C91"/>
    <w:rsid w:val="00046A29"/>
    <w:rsid w:val="00054DDD"/>
    <w:rsid w:val="00055E9F"/>
    <w:rsid w:val="00060902"/>
    <w:rsid w:val="0006226B"/>
    <w:rsid w:val="000658F4"/>
    <w:rsid w:val="0006717F"/>
    <w:rsid w:val="00073A94"/>
    <w:rsid w:val="0008212C"/>
    <w:rsid w:val="0008475A"/>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2F84"/>
    <w:rsid w:val="000F7BBF"/>
    <w:rsid w:val="00105008"/>
    <w:rsid w:val="001339DE"/>
    <w:rsid w:val="001364CB"/>
    <w:rsid w:val="0014142E"/>
    <w:rsid w:val="00141578"/>
    <w:rsid w:val="001448B6"/>
    <w:rsid w:val="00144D9B"/>
    <w:rsid w:val="001474C7"/>
    <w:rsid w:val="0015340E"/>
    <w:rsid w:val="0015558D"/>
    <w:rsid w:val="00155F81"/>
    <w:rsid w:val="00166319"/>
    <w:rsid w:val="0017009F"/>
    <w:rsid w:val="001A0AFE"/>
    <w:rsid w:val="001A2856"/>
    <w:rsid w:val="001A482B"/>
    <w:rsid w:val="001A5098"/>
    <w:rsid w:val="001A6ADF"/>
    <w:rsid w:val="001B14CA"/>
    <w:rsid w:val="001B6C26"/>
    <w:rsid w:val="001C6D98"/>
    <w:rsid w:val="001D7DD1"/>
    <w:rsid w:val="001E3EE0"/>
    <w:rsid w:val="001E495E"/>
    <w:rsid w:val="001F2264"/>
    <w:rsid w:val="001F42A1"/>
    <w:rsid w:val="001F4404"/>
    <w:rsid w:val="00205A4A"/>
    <w:rsid w:val="00212958"/>
    <w:rsid w:val="00222800"/>
    <w:rsid w:val="002262DC"/>
    <w:rsid w:val="00230B6A"/>
    <w:rsid w:val="00235783"/>
    <w:rsid w:val="00240309"/>
    <w:rsid w:val="002407E7"/>
    <w:rsid w:val="00240A35"/>
    <w:rsid w:val="002415E6"/>
    <w:rsid w:val="00254313"/>
    <w:rsid w:val="00254B22"/>
    <w:rsid w:val="00257CA1"/>
    <w:rsid w:val="00262649"/>
    <w:rsid w:val="00262BD8"/>
    <w:rsid w:val="00262C46"/>
    <w:rsid w:val="00271E7F"/>
    <w:rsid w:val="00274A92"/>
    <w:rsid w:val="002848C3"/>
    <w:rsid w:val="00292FDB"/>
    <w:rsid w:val="00293F77"/>
    <w:rsid w:val="00294F90"/>
    <w:rsid w:val="00295F32"/>
    <w:rsid w:val="00296E0C"/>
    <w:rsid w:val="002B060F"/>
    <w:rsid w:val="002B389F"/>
    <w:rsid w:val="002D204B"/>
    <w:rsid w:val="002D3829"/>
    <w:rsid w:val="002D5835"/>
    <w:rsid w:val="002D78C5"/>
    <w:rsid w:val="002F2B0A"/>
    <w:rsid w:val="002F41F8"/>
    <w:rsid w:val="00300CDD"/>
    <w:rsid w:val="0030302E"/>
    <w:rsid w:val="003061EB"/>
    <w:rsid w:val="00320792"/>
    <w:rsid w:val="00322503"/>
    <w:rsid w:val="003246B4"/>
    <w:rsid w:val="003276AC"/>
    <w:rsid w:val="0033343D"/>
    <w:rsid w:val="00340FC3"/>
    <w:rsid w:val="00342F0C"/>
    <w:rsid w:val="00346B6D"/>
    <w:rsid w:val="0036422F"/>
    <w:rsid w:val="00375015"/>
    <w:rsid w:val="00375B41"/>
    <w:rsid w:val="00381D43"/>
    <w:rsid w:val="00381F39"/>
    <w:rsid w:val="0038234C"/>
    <w:rsid w:val="00382A5F"/>
    <w:rsid w:val="00382F58"/>
    <w:rsid w:val="003834B3"/>
    <w:rsid w:val="00383634"/>
    <w:rsid w:val="00395610"/>
    <w:rsid w:val="003A0030"/>
    <w:rsid w:val="003A0708"/>
    <w:rsid w:val="003A682C"/>
    <w:rsid w:val="003B17F4"/>
    <w:rsid w:val="003B2CB1"/>
    <w:rsid w:val="003C0B40"/>
    <w:rsid w:val="003C4810"/>
    <w:rsid w:val="003C7CA3"/>
    <w:rsid w:val="003D020A"/>
    <w:rsid w:val="003D094D"/>
    <w:rsid w:val="003D4741"/>
    <w:rsid w:val="003D4C4C"/>
    <w:rsid w:val="003D5453"/>
    <w:rsid w:val="003D59C3"/>
    <w:rsid w:val="003D797B"/>
    <w:rsid w:val="003E3D1B"/>
    <w:rsid w:val="003E671F"/>
    <w:rsid w:val="003F04D3"/>
    <w:rsid w:val="003F1084"/>
    <w:rsid w:val="00400E4D"/>
    <w:rsid w:val="00401290"/>
    <w:rsid w:val="004111D3"/>
    <w:rsid w:val="0041129C"/>
    <w:rsid w:val="00414BE7"/>
    <w:rsid w:val="00424E93"/>
    <w:rsid w:val="00426642"/>
    <w:rsid w:val="00433A77"/>
    <w:rsid w:val="004350B4"/>
    <w:rsid w:val="00435E0B"/>
    <w:rsid w:val="0043791C"/>
    <w:rsid w:val="004440A0"/>
    <w:rsid w:val="004501A0"/>
    <w:rsid w:val="004518BD"/>
    <w:rsid w:val="00462662"/>
    <w:rsid w:val="00474192"/>
    <w:rsid w:val="004804FC"/>
    <w:rsid w:val="004831FE"/>
    <w:rsid w:val="004910BE"/>
    <w:rsid w:val="004918C7"/>
    <w:rsid w:val="00492F90"/>
    <w:rsid w:val="004B76E8"/>
    <w:rsid w:val="004C18D1"/>
    <w:rsid w:val="004C1D10"/>
    <w:rsid w:val="004C2E35"/>
    <w:rsid w:val="004C5604"/>
    <w:rsid w:val="004D1800"/>
    <w:rsid w:val="004D6F3A"/>
    <w:rsid w:val="004D6F3C"/>
    <w:rsid w:val="004D6FCB"/>
    <w:rsid w:val="004E4DB4"/>
    <w:rsid w:val="004E5600"/>
    <w:rsid w:val="004E6DFD"/>
    <w:rsid w:val="004F0F05"/>
    <w:rsid w:val="00502363"/>
    <w:rsid w:val="00507292"/>
    <w:rsid w:val="00514A2E"/>
    <w:rsid w:val="00516428"/>
    <w:rsid w:val="00520570"/>
    <w:rsid w:val="005236AB"/>
    <w:rsid w:val="00525DB0"/>
    <w:rsid w:val="00533CFF"/>
    <w:rsid w:val="00534031"/>
    <w:rsid w:val="00543736"/>
    <w:rsid w:val="005468E6"/>
    <w:rsid w:val="00547EE1"/>
    <w:rsid w:val="00550C5F"/>
    <w:rsid w:val="00561C50"/>
    <w:rsid w:val="00563B9B"/>
    <w:rsid w:val="00570617"/>
    <w:rsid w:val="005737B1"/>
    <w:rsid w:val="00583303"/>
    <w:rsid w:val="00585169"/>
    <w:rsid w:val="00586F41"/>
    <w:rsid w:val="00587D7C"/>
    <w:rsid w:val="00592D3B"/>
    <w:rsid w:val="00592E42"/>
    <w:rsid w:val="0059432C"/>
    <w:rsid w:val="0059751A"/>
    <w:rsid w:val="005A0895"/>
    <w:rsid w:val="005A7711"/>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00D1"/>
    <w:rsid w:val="00683121"/>
    <w:rsid w:val="006921E1"/>
    <w:rsid w:val="006946F7"/>
    <w:rsid w:val="006A7A50"/>
    <w:rsid w:val="006B390B"/>
    <w:rsid w:val="006B5933"/>
    <w:rsid w:val="006B64AE"/>
    <w:rsid w:val="006B68BD"/>
    <w:rsid w:val="006C2388"/>
    <w:rsid w:val="006C30A1"/>
    <w:rsid w:val="006C6BB3"/>
    <w:rsid w:val="006C77B1"/>
    <w:rsid w:val="006D42F9"/>
    <w:rsid w:val="006D6DA7"/>
    <w:rsid w:val="006F0FF2"/>
    <w:rsid w:val="006F18A9"/>
    <w:rsid w:val="006F1B5D"/>
    <w:rsid w:val="006F1E85"/>
    <w:rsid w:val="006F5713"/>
    <w:rsid w:val="006F58C5"/>
    <w:rsid w:val="006F7A39"/>
    <w:rsid w:val="00704EB5"/>
    <w:rsid w:val="00707E84"/>
    <w:rsid w:val="007161B0"/>
    <w:rsid w:val="00725E7F"/>
    <w:rsid w:val="00726C73"/>
    <w:rsid w:val="00726DF7"/>
    <w:rsid w:val="007344EE"/>
    <w:rsid w:val="00735767"/>
    <w:rsid w:val="007507C9"/>
    <w:rsid w:val="0075765F"/>
    <w:rsid w:val="007706C6"/>
    <w:rsid w:val="0077604C"/>
    <w:rsid w:val="0077698D"/>
    <w:rsid w:val="0078141F"/>
    <w:rsid w:val="00781499"/>
    <w:rsid w:val="007859C9"/>
    <w:rsid w:val="00792174"/>
    <w:rsid w:val="00795E5E"/>
    <w:rsid w:val="007A3843"/>
    <w:rsid w:val="007C024E"/>
    <w:rsid w:val="007C3398"/>
    <w:rsid w:val="007D5D08"/>
    <w:rsid w:val="007D689A"/>
    <w:rsid w:val="007E1693"/>
    <w:rsid w:val="007E2135"/>
    <w:rsid w:val="007E2796"/>
    <w:rsid w:val="007E753B"/>
    <w:rsid w:val="00802812"/>
    <w:rsid w:val="00804E9E"/>
    <w:rsid w:val="00804F48"/>
    <w:rsid w:val="00807901"/>
    <w:rsid w:val="00816F5F"/>
    <w:rsid w:val="008211C8"/>
    <w:rsid w:val="00822C33"/>
    <w:rsid w:val="008231D1"/>
    <w:rsid w:val="00825D94"/>
    <w:rsid w:val="00826067"/>
    <w:rsid w:val="0082681D"/>
    <w:rsid w:val="00833B3B"/>
    <w:rsid w:val="00837222"/>
    <w:rsid w:val="0084125F"/>
    <w:rsid w:val="00842390"/>
    <w:rsid w:val="0086185F"/>
    <w:rsid w:val="008638E0"/>
    <w:rsid w:val="00863E9E"/>
    <w:rsid w:val="0086574F"/>
    <w:rsid w:val="00867FD0"/>
    <w:rsid w:val="00870546"/>
    <w:rsid w:val="00873110"/>
    <w:rsid w:val="00876431"/>
    <w:rsid w:val="0087664F"/>
    <w:rsid w:val="0088095C"/>
    <w:rsid w:val="00880C71"/>
    <w:rsid w:val="008814F6"/>
    <w:rsid w:val="008A23FE"/>
    <w:rsid w:val="008A6ABD"/>
    <w:rsid w:val="008B4713"/>
    <w:rsid w:val="008B6C85"/>
    <w:rsid w:val="008C0B66"/>
    <w:rsid w:val="008C3715"/>
    <w:rsid w:val="008C57FC"/>
    <w:rsid w:val="008D22C2"/>
    <w:rsid w:val="008E4B21"/>
    <w:rsid w:val="008E6B98"/>
    <w:rsid w:val="009003FA"/>
    <w:rsid w:val="00901BB0"/>
    <w:rsid w:val="009040D3"/>
    <w:rsid w:val="009057F4"/>
    <w:rsid w:val="009148B9"/>
    <w:rsid w:val="00915CFC"/>
    <w:rsid w:val="00924902"/>
    <w:rsid w:val="0092574D"/>
    <w:rsid w:val="00927293"/>
    <w:rsid w:val="0092729A"/>
    <w:rsid w:val="00932F59"/>
    <w:rsid w:val="00935C27"/>
    <w:rsid w:val="00936310"/>
    <w:rsid w:val="009363F5"/>
    <w:rsid w:val="00936882"/>
    <w:rsid w:val="00936BEE"/>
    <w:rsid w:val="00936F4A"/>
    <w:rsid w:val="00937A10"/>
    <w:rsid w:val="00937F27"/>
    <w:rsid w:val="00945251"/>
    <w:rsid w:val="00954E4E"/>
    <w:rsid w:val="00955F65"/>
    <w:rsid w:val="00960A62"/>
    <w:rsid w:val="009629E2"/>
    <w:rsid w:val="00970B75"/>
    <w:rsid w:val="009753C7"/>
    <w:rsid w:val="00980915"/>
    <w:rsid w:val="009833D0"/>
    <w:rsid w:val="00983ACA"/>
    <w:rsid w:val="009948CD"/>
    <w:rsid w:val="009A1510"/>
    <w:rsid w:val="009A33E8"/>
    <w:rsid w:val="009A6A92"/>
    <w:rsid w:val="009B4BFE"/>
    <w:rsid w:val="009C0DDA"/>
    <w:rsid w:val="009C70C6"/>
    <w:rsid w:val="009D04C6"/>
    <w:rsid w:val="009D147E"/>
    <w:rsid w:val="009D5F90"/>
    <w:rsid w:val="009D68CE"/>
    <w:rsid w:val="009F05E3"/>
    <w:rsid w:val="009F24BD"/>
    <w:rsid w:val="009F43A9"/>
    <w:rsid w:val="009F541F"/>
    <w:rsid w:val="009F6731"/>
    <w:rsid w:val="00A00A9E"/>
    <w:rsid w:val="00A0184C"/>
    <w:rsid w:val="00A06799"/>
    <w:rsid w:val="00A12E7C"/>
    <w:rsid w:val="00A15548"/>
    <w:rsid w:val="00A2394F"/>
    <w:rsid w:val="00A27685"/>
    <w:rsid w:val="00A41D82"/>
    <w:rsid w:val="00A42CF0"/>
    <w:rsid w:val="00A46F33"/>
    <w:rsid w:val="00A6204B"/>
    <w:rsid w:val="00A62742"/>
    <w:rsid w:val="00A70AEF"/>
    <w:rsid w:val="00A70FD2"/>
    <w:rsid w:val="00A7119A"/>
    <w:rsid w:val="00A73FB0"/>
    <w:rsid w:val="00A74FB1"/>
    <w:rsid w:val="00A84592"/>
    <w:rsid w:val="00A85849"/>
    <w:rsid w:val="00A97C37"/>
    <w:rsid w:val="00AA6C72"/>
    <w:rsid w:val="00AB1748"/>
    <w:rsid w:val="00AC2A9E"/>
    <w:rsid w:val="00AC39C3"/>
    <w:rsid w:val="00AC5015"/>
    <w:rsid w:val="00AD04BF"/>
    <w:rsid w:val="00AD0971"/>
    <w:rsid w:val="00AD39D7"/>
    <w:rsid w:val="00AE10BC"/>
    <w:rsid w:val="00AE2F9D"/>
    <w:rsid w:val="00AE6BBA"/>
    <w:rsid w:val="00AE7DF9"/>
    <w:rsid w:val="00AF4728"/>
    <w:rsid w:val="00AF7061"/>
    <w:rsid w:val="00B02549"/>
    <w:rsid w:val="00B04967"/>
    <w:rsid w:val="00B05FBF"/>
    <w:rsid w:val="00B07CE1"/>
    <w:rsid w:val="00B26479"/>
    <w:rsid w:val="00B272E6"/>
    <w:rsid w:val="00B307D9"/>
    <w:rsid w:val="00B37B2C"/>
    <w:rsid w:val="00B42E58"/>
    <w:rsid w:val="00B45C9A"/>
    <w:rsid w:val="00B50851"/>
    <w:rsid w:val="00B533F0"/>
    <w:rsid w:val="00B6536B"/>
    <w:rsid w:val="00B708BF"/>
    <w:rsid w:val="00B72C64"/>
    <w:rsid w:val="00B7359B"/>
    <w:rsid w:val="00B8169A"/>
    <w:rsid w:val="00B85A89"/>
    <w:rsid w:val="00B90330"/>
    <w:rsid w:val="00B95448"/>
    <w:rsid w:val="00BA1680"/>
    <w:rsid w:val="00BA192F"/>
    <w:rsid w:val="00BA746B"/>
    <w:rsid w:val="00BC2345"/>
    <w:rsid w:val="00BC6348"/>
    <w:rsid w:val="00BE2D3C"/>
    <w:rsid w:val="00BE5CFF"/>
    <w:rsid w:val="00BE6C32"/>
    <w:rsid w:val="00BF06D3"/>
    <w:rsid w:val="00C01DF0"/>
    <w:rsid w:val="00C0719B"/>
    <w:rsid w:val="00C10A23"/>
    <w:rsid w:val="00C34CA6"/>
    <w:rsid w:val="00C40A38"/>
    <w:rsid w:val="00C41899"/>
    <w:rsid w:val="00C43943"/>
    <w:rsid w:val="00C46712"/>
    <w:rsid w:val="00C50222"/>
    <w:rsid w:val="00C55539"/>
    <w:rsid w:val="00C57D01"/>
    <w:rsid w:val="00C61A23"/>
    <w:rsid w:val="00C729C8"/>
    <w:rsid w:val="00C748EF"/>
    <w:rsid w:val="00C755F7"/>
    <w:rsid w:val="00C761AE"/>
    <w:rsid w:val="00C76499"/>
    <w:rsid w:val="00C7780B"/>
    <w:rsid w:val="00C779E0"/>
    <w:rsid w:val="00C8777F"/>
    <w:rsid w:val="00C9228A"/>
    <w:rsid w:val="00C96567"/>
    <w:rsid w:val="00CA00FC"/>
    <w:rsid w:val="00CA071D"/>
    <w:rsid w:val="00CA6B3B"/>
    <w:rsid w:val="00CA78EB"/>
    <w:rsid w:val="00CB19B5"/>
    <w:rsid w:val="00CB5A16"/>
    <w:rsid w:val="00CB653C"/>
    <w:rsid w:val="00CB6BCD"/>
    <w:rsid w:val="00CB7CA4"/>
    <w:rsid w:val="00CC5164"/>
    <w:rsid w:val="00CD2E83"/>
    <w:rsid w:val="00CE269D"/>
    <w:rsid w:val="00D00168"/>
    <w:rsid w:val="00D02E0A"/>
    <w:rsid w:val="00D233BD"/>
    <w:rsid w:val="00D26220"/>
    <w:rsid w:val="00D32074"/>
    <w:rsid w:val="00D33B28"/>
    <w:rsid w:val="00D3447B"/>
    <w:rsid w:val="00D36371"/>
    <w:rsid w:val="00D40BFB"/>
    <w:rsid w:val="00D44B3B"/>
    <w:rsid w:val="00D451C2"/>
    <w:rsid w:val="00D45B26"/>
    <w:rsid w:val="00D468D5"/>
    <w:rsid w:val="00D706B3"/>
    <w:rsid w:val="00D707D5"/>
    <w:rsid w:val="00D8313E"/>
    <w:rsid w:val="00D853A6"/>
    <w:rsid w:val="00D86691"/>
    <w:rsid w:val="00D8698A"/>
    <w:rsid w:val="00D90088"/>
    <w:rsid w:val="00D95263"/>
    <w:rsid w:val="00DA601C"/>
    <w:rsid w:val="00DA60FC"/>
    <w:rsid w:val="00DB3795"/>
    <w:rsid w:val="00DB7BD7"/>
    <w:rsid w:val="00DD042E"/>
    <w:rsid w:val="00DD1453"/>
    <w:rsid w:val="00DD23EE"/>
    <w:rsid w:val="00DD4B0C"/>
    <w:rsid w:val="00DE17E3"/>
    <w:rsid w:val="00DE48B1"/>
    <w:rsid w:val="00DE4E5E"/>
    <w:rsid w:val="00DE5E69"/>
    <w:rsid w:val="00DE624B"/>
    <w:rsid w:val="00DE64D5"/>
    <w:rsid w:val="00DE7C16"/>
    <w:rsid w:val="00DF1AB1"/>
    <w:rsid w:val="00DF66A8"/>
    <w:rsid w:val="00DF7204"/>
    <w:rsid w:val="00DF7B88"/>
    <w:rsid w:val="00E0534B"/>
    <w:rsid w:val="00E136C4"/>
    <w:rsid w:val="00E220AE"/>
    <w:rsid w:val="00E248D5"/>
    <w:rsid w:val="00E36858"/>
    <w:rsid w:val="00E4407C"/>
    <w:rsid w:val="00E4530D"/>
    <w:rsid w:val="00E47DFE"/>
    <w:rsid w:val="00E54326"/>
    <w:rsid w:val="00E611CD"/>
    <w:rsid w:val="00E641DA"/>
    <w:rsid w:val="00E6521E"/>
    <w:rsid w:val="00E70A23"/>
    <w:rsid w:val="00E76DAD"/>
    <w:rsid w:val="00E83C2B"/>
    <w:rsid w:val="00E8531C"/>
    <w:rsid w:val="00E91FFF"/>
    <w:rsid w:val="00EA51BB"/>
    <w:rsid w:val="00EA550A"/>
    <w:rsid w:val="00EB5DC7"/>
    <w:rsid w:val="00EF05A2"/>
    <w:rsid w:val="00EF0DF5"/>
    <w:rsid w:val="00F02538"/>
    <w:rsid w:val="00F11F45"/>
    <w:rsid w:val="00F16962"/>
    <w:rsid w:val="00F17A94"/>
    <w:rsid w:val="00F22601"/>
    <w:rsid w:val="00F25869"/>
    <w:rsid w:val="00F32371"/>
    <w:rsid w:val="00F336A3"/>
    <w:rsid w:val="00F353AE"/>
    <w:rsid w:val="00F3596F"/>
    <w:rsid w:val="00F414B4"/>
    <w:rsid w:val="00F54B55"/>
    <w:rsid w:val="00F61B42"/>
    <w:rsid w:val="00F663C0"/>
    <w:rsid w:val="00F72D85"/>
    <w:rsid w:val="00F802B5"/>
    <w:rsid w:val="00F80840"/>
    <w:rsid w:val="00F844B1"/>
    <w:rsid w:val="00F8784D"/>
    <w:rsid w:val="00F95F0A"/>
    <w:rsid w:val="00F9609C"/>
    <w:rsid w:val="00F965F2"/>
    <w:rsid w:val="00FB3058"/>
    <w:rsid w:val="00FB4B99"/>
    <w:rsid w:val="00FC03D3"/>
    <w:rsid w:val="00FC0AD9"/>
    <w:rsid w:val="00FC2191"/>
    <w:rsid w:val="00FD5985"/>
    <w:rsid w:val="00FE197A"/>
    <w:rsid w:val="00FE623A"/>
    <w:rsid w:val="00FE7433"/>
    <w:rsid w:val="00FF02BC"/>
    <w:rsid w:val="00FF1B70"/>
    <w:rsid w:val="00FF25D3"/>
    <w:rsid w:val="00FF3EB6"/>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77720775-C043-4CA2-BCE2-6AD222BB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paragraph" w:styleId="NoSpacing">
    <w:name w:val="No Spacing"/>
    <w:uiPriority w:val="1"/>
    <w:qFormat/>
    <w:rsid w:val="00C7780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346638519">
      <w:bodyDiv w:val="1"/>
      <w:marLeft w:val="0"/>
      <w:marRight w:val="0"/>
      <w:marTop w:val="0"/>
      <w:marBottom w:val="0"/>
      <w:divBdr>
        <w:top w:val="none" w:sz="0" w:space="0" w:color="auto"/>
        <w:left w:val="none" w:sz="0" w:space="0" w:color="auto"/>
        <w:bottom w:val="none" w:sz="0" w:space="0" w:color="auto"/>
        <w:right w:val="none" w:sz="0" w:space="0" w:color="auto"/>
      </w:divBdr>
      <w:divsChild>
        <w:div w:id="591738672">
          <w:marLeft w:val="0"/>
          <w:marRight w:val="0"/>
          <w:marTop w:val="0"/>
          <w:marBottom w:val="0"/>
          <w:divBdr>
            <w:top w:val="none" w:sz="0" w:space="0" w:color="auto"/>
            <w:left w:val="none" w:sz="0" w:space="0" w:color="auto"/>
            <w:bottom w:val="none" w:sz="0" w:space="0" w:color="auto"/>
            <w:right w:val="none" w:sz="0" w:space="0" w:color="auto"/>
          </w:divBdr>
          <w:divsChild>
            <w:div w:id="582646890">
              <w:marLeft w:val="0"/>
              <w:marRight w:val="0"/>
              <w:marTop w:val="0"/>
              <w:marBottom w:val="0"/>
              <w:divBdr>
                <w:top w:val="none" w:sz="0" w:space="0" w:color="auto"/>
                <w:left w:val="none" w:sz="0" w:space="0" w:color="auto"/>
                <w:bottom w:val="none" w:sz="0" w:space="0" w:color="auto"/>
                <w:right w:val="none" w:sz="0" w:space="0" w:color="auto"/>
              </w:divBdr>
              <w:divsChild>
                <w:div w:id="1925332687">
                  <w:marLeft w:val="0"/>
                  <w:marRight w:val="0"/>
                  <w:marTop w:val="0"/>
                  <w:marBottom w:val="0"/>
                  <w:divBdr>
                    <w:top w:val="none" w:sz="0" w:space="0" w:color="auto"/>
                    <w:left w:val="none" w:sz="0" w:space="0" w:color="auto"/>
                    <w:bottom w:val="none" w:sz="0" w:space="0" w:color="auto"/>
                    <w:right w:val="none" w:sz="0" w:space="0" w:color="auto"/>
                  </w:divBdr>
                  <w:divsChild>
                    <w:div w:id="20699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Nobelen@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A16F4-8AEE-4145-99E7-92365BFC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 - CSOF4</vt:lpstr>
    </vt:vector>
  </TitlesOfParts>
  <Company>CSIRO</Company>
  <LinksUpToDate>false</LinksUpToDate>
  <CharactersWithSpaces>7660</CharactersWithSpaces>
  <SharedDoc>false</SharedDoc>
  <HLinks>
    <vt:vector size="96" baseType="variant">
      <vt:variant>
        <vt:i4>10</vt:i4>
      </vt:variant>
      <vt:variant>
        <vt:i4>127</vt:i4>
      </vt:variant>
      <vt:variant>
        <vt:i4>0</vt:i4>
      </vt:variant>
      <vt:variant>
        <vt:i4>5</vt:i4>
      </vt:variant>
      <vt:variant>
        <vt:lpwstr>http://www.csiro.au/</vt:lpwstr>
      </vt:variant>
      <vt:variant>
        <vt:lpwstr/>
      </vt:variant>
      <vt:variant>
        <vt:i4>262271</vt:i4>
      </vt:variant>
      <vt:variant>
        <vt:i4>112</vt:i4>
      </vt:variant>
      <vt:variant>
        <vt:i4>0</vt:i4>
      </vt:variant>
      <vt:variant>
        <vt:i4>5</vt:i4>
      </vt:variant>
      <vt:variant>
        <vt:lpwstr>mailto:csiro-careers@csiro.au</vt:lpwstr>
      </vt:variant>
      <vt:variant>
        <vt:lpwstr/>
      </vt:variant>
      <vt:variant>
        <vt:i4>7733374</vt:i4>
      </vt:variant>
      <vt:variant>
        <vt:i4>109</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administrative, administration, services, csof4</cp:keywords>
  <dc:description>Word document containing a Position Details (PD) form for a role summary on a Administrative Services – CSOF4 Position.</dc:description>
  <cp:lastModifiedBy>Kohle, Michelle (HR, Clayton North)</cp:lastModifiedBy>
  <cp:revision>2</cp:revision>
  <cp:lastPrinted>2014-02-06T02:28:00Z</cp:lastPrinted>
  <dcterms:created xsi:type="dcterms:W3CDTF">2016-01-19T07:08:00Z</dcterms:created>
  <dcterms:modified xsi:type="dcterms:W3CDTF">2016-01-19T07:08:00Z</dcterms:modified>
</cp:coreProperties>
</file>