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sidR="00082553">
              <w:rPr>
                <w:sz w:val="22"/>
              </w:rPr>
              <w:t xml:space="preserve"> Liquid Organic Hydrogen Carriers for Mobile Applications</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08255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67574</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08255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Victoria</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rsidR="00465CAC" w:rsidRPr="00946F6C" w:rsidRDefault="0034520F" w:rsidP="00946F6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34520F"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34520F" w:rsidRPr="0093721B" w:rsidRDefault="0034520F" w:rsidP="00D83C52">
            <w:pPr>
              <w:pStyle w:val="TableText"/>
              <w:rPr>
                <w:sz w:val="22"/>
              </w:rPr>
            </w:pPr>
          </w:p>
        </w:tc>
        <w:tc>
          <w:tcPr>
            <w:tcW w:w="2965" w:type="pct"/>
          </w:tcPr>
          <w:p w:rsidR="0034520F" w:rsidRPr="0093721B"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08255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Dr Christian Hornung</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08255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90%</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08255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08255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82553">
              <w:rPr>
                <w:color w:val="auto"/>
                <w:sz w:val="22"/>
              </w:rPr>
              <w:t xml:space="preserve">Contact </w:t>
            </w:r>
            <w:r w:rsidR="00082553" w:rsidRPr="00082553">
              <w:rPr>
                <w:color w:val="auto"/>
                <w:sz w:val="22"/>
              </w:rPr>
              <w:t xml:space="preserve">Dr Hornung </w:t>
            </w:r>
            <w:r w:rsidRPr="00082553">
              <w:rPr>
                <w:color w:val="auto"/>
                <w:sz w:val="22"/>
              </w:rPr>
              <w:t xml:space="preserve">via email at </w:t>
            </w:r>
            <w:r w:rsidR="00082553" w:rsidRPr="00082553">
              <w:rPr>
                <w:color w:val="auto"/>
                <w:sz w:val="22"/>
              </w:rPr>
              <w:t>Christian.Hornung</w:t>
            </w:r>
            <w:r w:rsidRPr="00082553">
              <w:rPr>
                <w:color w:val="auto"/>
                <w:sz w:val="22"/>
              </w:rPr>
              <w:t>@csiro.au</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082553" w:rsidRDefault="00082553" w:rsidP="00082553">
      <w:pPr>
        <w:spacing w:after="180"/>
        <w:jc w:val="both"/>
      </w:pPr>
    </w:p>
    <w:p w:rsidR="00496A2F" w:rsidRDefault="002F3653" w:rsidP="00082553">
      <w:pPr>
        <w:spacing w:after="180"/>
        <w:jc w:val="both"/>
        <w:rPr>
          <w:b/>
        </w:rPr>
      </w:pPr>
      <w:r w:rsidRPr="002F3653">
        <w:t xml:space="preserve">CERC Postdoctoral Fellows </w:t>
      </w:r>
      <w:r w:rsidRPr="002F3653">
        <w:rPr>
          <w:b/>
        </w:rPr>
        <w:t xml:space="preserve">are appointed for three years or part time equivalent. </w:t>
      </w:r>
    </w:p>
    <w:p w:rsidR="00082553" w:rsidRPr="00082553" w:rsidRDefault="00082553" w:rsidP="00082553">
      <w:pPr>
        <w:spacing w:after="180"/>
        <w:jc w:val="both"/>
        <w:rPr>
          <w:i/>
        </w:rPr>
      </w:pPr>
      <w:r w:rsidRPr="00082553">
        <w:t>This CSIRO Early Research Career (CERC) Postdoctoral Fellowship aims to develop a working concept of a hydrogen-powered vehicle using liquid organic hydrogen carriers (LOHCs) as hydrogen supply, coupled with a proton-exchange membrane (PEM) fuel cell. A novel catalytic converter, for the dehydrogenation of LOHCs and in-situ production of hydrogen, will be developed. The Fellow will establish novel flow chemistry processes using CSIRO’s Catalytic Static Mixer (CSM) technology and will aim to make advancements in catalyst materials, reactor design, additive manufacturing of reactor components and overall process development for the LOHC dehydrogenation process. The outcome of this project is to develop a zero-emissions mobile LOHC technology as part of a national effort towards establishing an Australian Hydrogen economy for export and domestic use. The project will offer the Fellow the opportunity to develop a range of relevant industry skills and the chance to pursue innovative thinking and research within a multi-disciplinary team.</w:t>
      </w:r>
    </w:p>
    <w:p w:rsidR="00B50C20" w:rsidRPr="00B50C20" w:rsidRDefault="00B50C20" w:rsidP="00B50C20">
      <w:pPr>
        <w:pStyle w:val="Heading3"/>
      </w:pPr>
      <w:r w:rsidRPr="00B50C20">
        <w:t>Duties and Key Result Areas:</w:t>
      </w:r>
      <w:r w:rsidR="003E5564">
        <w:t xml:space="preserve">  </w:t>
      </w:r>
    </w:p>
    <w:p w:rsidR="00780FD0" w:rsidRDefault="00780FD0" w:rsidP="00780FD0">
      <w:pPr>
        <w:spacing w:after="60" w:line="240" w:lineRule="auto"/>
        <w:rPr>
          <w:szCs w:val="24"/>
        </w:rPr>
      </w:pPr>
      <w:r w:rsidRPr="00780FD0">
        <w:rPr>
          <w:szCs w:val="24"/>
        </w:rPr>
        <w:t>Under the direction of senior research scientists and engineers, CERC Postdoctoral Fellows:</w:t>
      </w:r>
    </w:p>
    <w:p w:rsidR="00082553" w:rsidRDefault="00082553" w:rsidP="00780FD0">
      <w:pPr>
        <w:pStyle w:val="ListParagraph"/>
        <w:numPr>
          <w:ilvl w:val="1"/>
          <w:numId w:val="34"/>
        </w:numPr>
        <w:spacing w:after="60" w:line="240" w:lineRule="auto"/>
        <w:ind w:left="360"/>
        <w:contextualSpacing w:val="0"/>
        <w:rPr>
          <w:szCs w:val="24"/>
        </w:rPr>
      </w:pPr>
      <w:r>
        <w:rPr>
          <w:szCs w:val="24"/>
        </w:rPr>
        <w:t xml:space="preserve">Design, </w:t>
      </w:r>
      <w:r w:rsidRPr="00082553">
        <w:rPr>
          <w:szCs w:val="24"/>
        </w:rPr>
        <w:t>develop and undertake experiments focussed on the reversible cycle of hydrogenation and dehydrogenation of LOHCs in a thermal chemical process using novel 3D printed structured catalysts</w:t>
      </w:r>
      <w:r>
        <w:rPr>
          <w:szCs w:val="24"/>
        </w:rPr>
        <w:t>.</w:t>
      </w:r>
    </w:p>
    <w:p w:rsidR="00082553" w:rsidRPr="00082553" w:rsidRDefault="00082553" w:rsidP="00082553">
      <w:pPr>
        <w:pStyle w:val="ListParagraph"/>
        <w:numPr>
          <w:ilvl w:val="1"/>
          <w:numId w:val="34"/>
        </w:numPr>
        <w:spacing w:after="60" w:line="240" w:lineRule="auto"/>
        <w:ind w:left="360"/>
        <w:contextualSpacing w:val="0"/>
        <w:rPr>
          <w:szCs w:val="24"/>
        </w:rPr>
      </w:pPr>
      <w:r>
        <w:rPr>
          <w:szCs w:val="24"/>
        </w:rPr>
        <w:t xml:space="preserve">Design </w:t>
      </w:r>
      <w:r w:rsidRPr="00082553">
        <w:rPr>
          <w:szCs w:val="24"/>
        </w:rPr>
        <w:t xml:space="preserve">a continuous flow catalyst system for testing of different catalyst materials and geometries and optimise the LOHC (de-)hydrogenation processes to surpass process efficiencies of conventional catalyst technologies such as packed bed systems. </w:t>
      </w:r>
    </w:p>
    <w:p w:rsidR="00082553" w:rsidRDefault="00082553" w:rsidP="00780FD0">
      <w:pPr>
        <w:pStyle w:val="ListParagraph"/>
        <w:numPr>
          <w:ilvl w:val="1"/>
          <w:numId w:val="34"/>
        </w:numPr>
        <w:spacing w:after="60" w:line="240" w:lineRule="auto"/>
        <w:ind w:left="360"/>
        <w:contextualSpacing w:val="0"/>
        <w:rPr>
          <w:szCs w:val="24"/>
        </w:rPr>
      </w:pPr>
      <w:r>
        <w:rPr>
          <w:szCs w:val="24"/>
        </w:rPr>
        <w:t xml:space="preserve">In collaboration </w:t>
      </w:r>
      <w:r w:rsidRPr="00082553">
        <w:rPr>
          <w:szCs w:val="24"/>
        </w:rPr>
        <w:t xml:space="preserve">within a team of CSIRO engineers and potentially researchers from industrial collaborators, develop an integrated solution containing the LOHC dehydrogenation unit and a PEM fuel cell, whereby the heat management between the exothermic fuel cell and the endothermic </w:t>
      </w:r>
      <w:proofErr w:type="spellStart"/>
      <w:r w:rsidRPr="00082553">
        <w:rPr>
          <w:szCs w:val="24"/>
        </w:rPr>
        <w:t>dehydrogenator</w:t>
      </w:r>
      <w:proofErr w:type="spellEnd"/>
      <w:r w:rsidRPr="00082553">
        <w:rPr>
          <w:szCs w:val="24"/>
        </w:rPr>
        <w:t xml:space="preserve"> is optimised.</w:t>
      </w:r>
    </w:p>
    <w:p w:rsidR="00082553" w:rsidRPr="00082553" w:rsidRDefault="00082553" w:rsidP="00082553">
      <w:pPr>
        <w:pStyle w:val="ListParagraph"/>
        <w:numPr>
          <w:ilvl w:val="1"/>
          <w:numId w:val="34"/>
        </w:numPr>
        <w:spacing w:after="60" w:line="240" w:lineRule="auto"/>
        <w:ind w:left="360"/>
        <w:contextualSpacing w:val="0"/>
        <w:rPr>
          <w:szCs w:val="24"/>
        </w:rPr>
      </w:pPr>
      <w:r>
        <w:rPr>
          <w:szCs w:val="24"/>
        </w:rPr>
        <w:lastRenderedPageBreak/>
        <w:t xml:space="preserve">Develop </w:t>
      </w:r>
      <w:r w:rsidRPr="00082553">
        <w:rPr>
          <w:szCs w:val="24"/>
        </w:rPr>
        <w:t>process modelling methods to get a deeper understanding of the relationship between reactor design, fluid flow and heat management and to optimise process efficiency.</w:t>
      </w:r>
    </w:p>
    <w:p w:rsidR="00082553" w:rsidRPr="00082553" w:rsidRDefault="00082553" w:rsidP="00082553">
      <w:pPr>
        <w:pStyle w:val="ListParagraph"/>
        <w:numPr>
          <w:ilvl w:val="1"/>
          <w:numId w:val="34"/>
        </w:numPr>
        <w:spacing w:after="60" w:line="240" w:lineRule="auto"/>
        <w:ind w:left="360"/>
        <w:contextualSpacing w:val="0"/>
        <w:rPr>
          <w:szCs w:val="24"/>
        </w:rPr>
      </w:pPr>
      <w:r>
        <w:rPr>
          <w:szCs w:val="24"/>
        </w:rPr>
        <w:t xml:space="preserve">Work and </w:t>
      </w:r>
      <w:r w:rsidRPr="00082553">
        <w:rPr>
          <w:szCs w:val="24"/>
        </w:rPr>
        <w:t>collaborate with a multi-disciplinary team of chemists, engineers, material scientists and modellers from two different business units (CSIRO Manufacturing and CSIRO Energy)</w:t>
      </w:r>
      <w:r>
        <w:rPr>
          <w:szCs w:val="24"/>
        </w:rPr>
        <w:t>.</w:t>
      </w:r>
    </w:p>
    <w:p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r w:rsidR="00D2269B">
        <w:rPr>
          <w:rFonts w:asciiTheme="minorHAnsi" w:hAnsiTheme="minorHAnsi" w:cstheme="minorHAnsi"/>
          <w:szCs w:val="24"/>
        </w:rPr>
        <w:t>.</w:t>
      </w:r>
    </w:p>
    <w:p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rsidR="00780FD0" w:rsidRPr="00780FD0" w:rsidRDefault="00780FD0" w:rsidP="00780FD0">
      <w:pPr>
        <w:pStyle w:val="ListParagraph"/>
        <w:spacing w:after="60"/>
        <w:ind w:left="459"/>
        <w:rPr>
          <w:szCs w:val="24"/>
        </w:rPr>
      </w:pPr>
    </w:p>
    <w:p w:rsidR="00780FD0" w:rsidRPr="00780FD0" w:rsidRDefault="00193C21" w:rsidP="00780FD0">
      <w:pPr>
        <w:pStyle w:val="ListParagraph"/>
        <w:spacing w:after="60"/>
        <w:ind w:left="102"/>
        <w:rPr>
          <w:szCs w:val="24"/>
        </w:rPr>
      </w:pPr>
      <w:hyperlink r:id="rId12"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lastRenderedPageBreak/>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5C2DA3" w:rsidRPr="005C2DA3" w:rsidRDefault="005C2DA3" w:rsidP="005C2DA3">
      <w:pPr>
        <w:numPr>
          <w:ilvl w:val="0"/>
          <w:numId w:val="25"/>
        </w:numPr>
        <w:spacing w:before="0" w:after="60" w:line="240" w:lineRule="auto"/>
        <w:rPr>
          <w:rFonts w:cs="Calibri"/>
          <w:szCs w:val="24"/>
        </w:rPr>
      </w:pPr>
      <w:r w:rsidRPr="005C2DA3">
        <w:rPr>
          <w:rFonts w:cs="Calibri"/>
          <w:szCs w:val="24"/>
        </w:rPr>
        <w:t>A doctorate (or will shortly satisfy the requirements of a PhD) in a relevant discipline area, such as</w:t>
      </w:r>
      <w:r w:rsidR="00082553">
        <w:rPr>
          <w:rFonts w:cs="Calibri"/>
          <w:szCs w:val="24"/>
        </w:rPr>
        <w:t xml:space="preserve"> chemical engineering, process engineering or renewable energy engineering.</w:t>
      </w:r>
    </w:p>
    <w:p w:rsidR="00082553" w:rsidRPr="005C2DA3" w:rsidRDefault="005C2DA3" w:rsidP="00082553">
      <w:pPr>
        <w:spacing w:before="0" w:after="60" w:line="240" w:lineRule="auto"/>
        <w:ind w:left="360"/>
        <w:rPr>
          <w:rFonts w:cs="Calibri"/>
          <w:szCs w:val="24"/>
        </w:rPr>
      </w:pPr>
      <w:r w:rsidRPr="005C2DA3">
        <w:rPr>
          <w:rFonts w:cs="Calibri"/>
          <w:szCs w:val="24"/>
        </w:rPr>
        <w:t xml:space="preserve">Please note: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rsidR="00B50C20" w:rsidRDefault="00082553" w:rsidP="00EE6E1C">
      <w:pPr>
        <w:numPr>
          <w:ilvl w:val="0"/>
          <w:numId w:val="25"/>
        </w:numPr>
        <w:spacing w:before="0" w:after="60" w:line="240" w:lineRule="auto"/>
        <w:rPr>
          <w:rFonts w:cs="Calibri"/>
          <w:szCs w:val="24"/>
        </w:rPr>
      </w:pPr>
      <w:r>
        <w:rPr>
          <w:rFonts w:cs="Calibri"/>
          <w:szCs w:val="24"/>
        </w:rPr>
        <w:t>Experience in heterogeneous and/or homogeneous catalysis.</w:t>
      </w:r>
    </w:p>
    <w:p w:rsidR="00082553" w:rsidRDefault="009B7D49" w:rsidP="00EE6E1C">
      <w:pPr>
        <w:numPr>
          <w:ilvl w:val="0"/>
          <w:numId w:val="25"/>
        </w:numPr>
        <w:spacing w:before="0" w:after="60" w:line="240" w:lineRule="auto"/>
        <w:rPr>
          <w:rFonts w:cs="Calibri"/>
          <w:szCs w:val="24"/>
        </w:rPr>
      </w:pPr>
      <w:r>
        <w:rPr>
          <w:rFonts w:cs="Calibri"/>
          <w:szCs w:val="24"/>
        </w:rPr>
        <w:t>Experience in continuous flow processing/flow chemistry.</w:t>
      </w:r>
    </w:p>
    <w:p w:rsidR="009B7D49" w:rsidRPr="00EE6E1C" w:rsidRDefault="009B7D49" w:rsidP="00EE6E1C">
      <w:pPr>
        <w:numPr>
          <w:ilvl w:val="0"/>
          <w:numId w:val="25"/>
        </w:numPr>
        <w:spacing w:before="0" w:after="60" w:line="240" w:lineRule="auto"/>
        <w:rPr>
          <w:rFonts w:cs="Calibri"/>
          <w:szCs w:val="24"/>
        </w:rPr>
      </w:pPr>
      <w:r>
        <w:rPr>
          <w:rFonts w:cs="Calibri"/>
          <w:szCs w:val="24"/>
        </w:rPr>
        <w:t>Strong experience in experimental design, development of experimental equipment and analysis and interpretation of experimental results.</w:t>
      </w:r>
    </w:p>
    <w:p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9B7D49" w:rsidRPr="009B7D49" w:rsidRDefault="009B7D49" w:rsidP="009B7D49">
      <w:pPr>
        <w:numPr>
          <w:ilvl w:val="0"/>
          <w:numId w:val="26"/>
        </w:numPr>
        <w:tabs>
          <w:tab w:val="center" w:pos="5103"/>
        </w:tabs>
        <w:spacing w:before="0" w:after="60" w:line="240" w:lineRule="auto"/>
        <w:rPr>
          <w:iCs/>
          <w:szCs w:val="24"/>
        </w:rPr>
      </w:pPr>
      <w:r w:rsidRPr="009B7D49">
        <w:rPr>
          <w:iCs/>
          <w:szCs w:val="24"/>
        </w:rPr>
        <w:t>Experience in chemical analysis techniques, such as NMR, GC, MS and others</w:t>
      </w:r>
      <w:r>
        <w:rPr>
          <w:iCs/>
          <w:szCs w:val="24"/>
        </w:rPr>
        <w:t>.</w:t>
      </w:r>
    </w:p>
    <w:p w:rsidR="009B7D49" w:rsidRPr="009B7D49" w:rsidRDefault="009B7D49" w:rsidP="009B7D49">
      <w:pPr>
        <w:numPr>
          <w:ilvl w:val="0"/>
          <w:numId w:val="26"/>
        </w:numPr>
        <w:tabs>
          <w:tab w:val="center" w:pos="5103"/>
        </w:tabs>
        <w:spacing w:before="0" w:after="60" w:line="240" w:lineRule="auto"/>
        <w:rPr>
          <w:iCs/>
          <w:szCs w:val="24"/>
        </w:rPr>
      </w:pPr>
      <w:r w:rsidRPr="009B7D49">
        <w:rPr>
          <w:iCs/>
          <w:szCs w:val="24"/>
        </w:rPr>
        <w:t xml:space="preserve">Knowledge </w:t>
      </w:r>
      <w:r>
        <w:rPr>
          <w:iCs/>
          <w:szCs w:val="24"/>
        </w:rPr>
        <w:t>of</w:t>
      </w:r>
      <w:r w:rsidRPr="009B7D49">
        <w:rPr>
          <w:iCs/>
          <w:szCs w:val="24"/>
        </w:rPr>
        <w:t xml:space="preserve"> chemical reactor engineering</w:t>
      </w:r>
      <w:r>
        <w:rPr>
          <w:iCs/>
          <w:szCs w:val="24"/>
        </w:rPr>
        <w:t>.</w:t>
      </w:r>
    </w:p>
    <w:p w:rsidR="009B7D49" w:rsidRPr="009B7D49" w:rsidRDefault="009B7D49" w:rsidP="009B7D49">
      <w:pPr>
        <w:numPr>
          <w:ilvl w:val="0"/>
          <w:numId w:val="26"/>
        </w:numPr>
        <w:tabs>
          <w:tab w:val="center" w:pos="5103"/>
        </w:tabs>
        <w:spacing w:before="0" w:after="60" w:line="240" w:lineRule="auto"/>
        <w:rPr>
          <w:iCs/>
          <w:szCs w:val="24"/>
        </w:rPr>
      </w:pPr>
      <w:r w:rsidRPr="009B7D49">
        <w:rPr>
          <w:iCs/>
          <w:szCs w:val="24"/>
        </w:rPr>
        <w:t xml:space="preserve">Knowledge </w:t>
      </w:r>
      <w:r>
        <w:rPr>
          <w:iCs/>
          <w:szCs w:val="24"/>
        </w:rPr>
        <w:t>of</w:t>
      </w:r>
      <w:r w:rsidRPr="009B7D49">
        <w:rPr>
          <w:iCs/>
          <w:szCs w:val="24"/>
        </w:rPr>
        <w:t xml:space="preserve"> gas-liquid processing</w:t>
      </w:r>
      <w:r>
        <w:rPr>
          <w:iCs/>
          <w:szCs w:val="24"/>
        </w:rPr>
        <w:t>.</w:t>
      </w:r>
    </w:p>
    <w:p w:rsidR="009B7D49" w:rsidRPr="009B7D49" w:rsidRDefault="009B7D49" w:rsidP="009B7D49">
      <w:pPr>
        <w:numPr>
          <w:ilvl w:val="0"/>
          <w:numId w:val="26"/>
        </w:numPr>
        <w:tabs>
          <w:tab w:val="center" w:pos="5103"/>
        </w:tabs>
        <w:spacing w:before="0" w:after="60" w:line="240" w:lineRule="auto"/>
        <w:rPr>
          <w:iCs/>
          <w:szCs w:val="24"/>
        </w:rPr>
      </w:pPr>
      <w:r w:rsidRPr="009B7D49">
        <w:rPr>
          <w:iCs/>
          <w:szCs w:val="24"/>
        </w:rPr>
        <w:t xml:space="preserve">Knowledge </w:t>
      </w:r>
      <w:r>
        <w:rPr>
          <w:iCs/>
          <w:szCs w:val="24"/>
        </w:rPr>
        <w:t>of</w:t>
      </w:r>
      <w:r w:rsidRPr="009B7D49">
        <w:rPr>
          <w:iCs/>
          <w:szCs w:val="24"/>
        </w:rPr>
        <w:t xml:space="preserve"> process modelling or computational fluid dynamics (CFD)</w:t>
      </w:r>
      <w:r>
        <w:rPr>
          <w:iCs/>
          <w:szCs w:val="24"/>
        </w:rPr>
        <w:t>.</w:t>
      </w:r>
    </w:p>
    <w:p w:rsidR="009B7D49" w:rsidRPr="009B7D49" w:rsidRDefault="009B7D49" w:rsidP="009B7D49">
      <w:pPr>
        <w:numPr>
          <w:ilvl w:val="0"/>
          <w:numId w:val="26"/>
        </w:numPr>
        <w:tabs>
          <w:tab w:val="center" w:pos="5103"/>
        </w:tabs>
        <w:spacing w:before="0" w:after="60" w:line="240" w:lineRule="auto"/>
        <w:rPr>
          <w:iCs/>
          <w:szCs w:val="24"/>
        </w:rPr>
      </w:pPr>
      <w:r w:rsidRPr="009B7D49">
        <w:rPr>
          <w:iCs/>
          <w:szCs w:val="24"/>
        </w:rPr>
        <w:t xml:space="preserve">Knowledge </w:t>
      </w:r>
      <w:r>
        <w:rPr>
          <w:iCs/>
          <w:szCs w:val="24"/>
        </w:rPr>
        <w:t>of</w:t>
      </w:r>
      <w:r w:rsidRPr="009B7D49">
        <w:rPr>
          <w:iCs/>
          <w:szCs w:val="24"/>
        </w:rPr>
        <w:t xml:space="preserve"> reactor design (incl. CAD) and additive manufacturing methods</w:t>
      </w:r>
      <w:r>
        <w:rPr>
          <w:iCs/>
          <w:szCs w:val="24"/>
        </w:rPr>
        <w:t>.</w:t>
      </w:r>
    </w:p>
    <w:p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rsidR="005C2DA3" w:rsidRDefault="005C2DA3" w:rsidP="005C2DA3">
      <w:pPr>
        <w:spacing w:before="0" w:after="60" w:line="240" w:lineRule="auto"/>
        <w:rPr>
          <w:iCs/>
          <w:szCs w:val="24"/>
        </w:rPr>
      </w:pPr>
    </w:p>
    <w:p w:rsidR="00946F6C" w:rsidRDefault="005C2DA3" w:rsidP="005C2DA3">
      <w:bookmarkStart w:id="2" w:name="_Hlk42852358"/>
      <w:r w:rsidRPr="005C2DA3">
        <w:t>To be appointed as a CERC Postdoctoral Fellow within CSIRO, candidates</w:t>
      </w:r>
      <w:r w:rsidR="00946F6C">
        <w:t xml:space="preserve"> will be expected to commence employment by </w:t>
      </w:r>
      <w:r w:rsidR="00193C21">
        <w:t>December</w:t>
      </w:r>
      <w:r w:rsidR="007F203C">
        <w:t xml:space="preserve"> 2020/</w:t>
      </w:r>
      <w:r w:rsidR="00193C21">
        <w:t xml:space="preserve">January </w:t>
      </w:r>
      <w:r w:rsidR="007F203C">
        <w:t>2021.</w:t>
      </w:r>
      <w:r w:rsidR="00946F6C">
        <w:t xml:space="preserve">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w:t>
      </w:r>
      <w:bookmarkStart w:id="3" w:name="_GoBack"/>
      <w:bookmarkEnd w:id="3"/>
      <w:r w:rsidRPr="005C2DA3">
        <w:lastRenderedPageBreak/>
        <w:t>date), the salary will be increased to the negotiated level and the difference will be back-paid to the Officer’s start date.</w:t>
      </w:r>
      <w:r w:rsidR="00946F6C">
        <w:t xml:space="preserve">  </w:t>
      </w:r>
    </w:p>
    <w:bookmarkEnd w:id="2"/>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9B7D49" w:rsidRDefault="00E673A0" w:rsidP="00E673A0">
      <w:pPr>
        <w:pStyle w:val="Boxedlistbullet"/>
        <w:spacing w:before="100" w:beforeAutospacing="1" w:after="100" w:afterAutospacing="1"/>
      </w:pPr>
      <w:r w:rsidRPr="009B7D49">
        <w:t>The successful candidate will</w:t>
      </w:r>
      <w:r w:rsidR="00814ACE" w:rsidRPr="009B7D49">
        <w:t xml:space="preserve"> be asked to </w:t>
      </w:r>
      <w:r w:rsidR="00D476E9" w:rsidRPr="009B7D49">
        <w:t xml:space="preserve">obtain and provide evidence of a </w:t>
      </w:r>
      <w:r w:rsidR="00814ACE" w:rsidRPr="009B7D49">
        <w:t xml:space="preserve">National </w:t>
      </w:r>
      <w:r w:rsidR="00D476E9" w:rsidRPr="009B7D49">
        <w:t>P</w:t>
      </w:r>
      <w:r w:rsidR="00814ACE" w:rsidRPr="009B7D49">
        <w:t xml:space="preserve">olice </w:t>
      </w:r>
      <w:r w:rsidR="00D476E9" w:rsidRPr="009B7D49">
        <w:t>C</w:t>
      </w:r>
      <w:r w:rsidR="00814ACE" w:rsidRPr="009B7D49">
        <w:t>heck</w:t>
      </w:r>
      <w:r w:rsidR="00D476E9" w:rsidRPr="009B7D49">
        <w:t xml:space="preserve"> or equivalent</w:t>
      </w:r>
      <w:r w:rsidR="00814ACE" w:rsidRPr="009B7D49">
        <w:t>. Please note that people with criminal records are not automatically deemed ineligible. Each application will be considered on its merits.</w:t>
      </w:r>
      <w:r w:rsidRPr="009B7D49">
        <w:t xml:space="preserve"> </w:t>
      </w:r>
    </w:p>
    <w:p w:rsidR="00E673A0" w:rsidRPr="009B7D49" w:rsidRDefault="00036D29" w:rsidP="00E673A0">
      <w:pPr>
        <w:pStyle w:val="Boxedlistbullet"/>
        <w:spacing w:before="100" w:beforeAutospacing="1" w:after="100" w:afterAutospacing="1"/>
      </w:pPr>
      <w:r w:rsidRPr="009B7D49">
        <w:t xml:space="preserve">If the successful candidate is not an Australian Citizen or Permanent Resident, they </w:t>
      </w:r>
      <w:r w:rsidR="00E673A0" w:rsidRPr="009B7D49">
        <w:t>may be required to undergo additional security clearances, which may include medical examinations and an international standardised test of English language proficiency (i.e. IELTS test</w:t>
      </w:r>
      <w:proofErr w:type="gramStart"/>
      <w:r w:rsidR="00E673A0" w:rsidRPr="009B7D49">
        <w:t>).-</w:t>
      </w:r>
      <w:proofErr w:type="gramEnd"/>
      <w:r w:rsidR="00E673A0" w:rsidRPr="009B7D49">
        <w:t xml:space="preserve"> https://ielts.com.au/ </w:t>
      </w: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3"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4" w:tooltip="CSIRO Website" w:history="1">
        <w:r w:rsidRPr="00B50C20">
          <w:rPr>
            <w:rStyle w:val="Hyperlink"/>
            <w:rFonts w:cs="Arial"/>
            <w:bCs/>
            <w:szCs w:val="24"/>
          </w:rPr>
          <w:t>online</w:t>
        </w:r>
      </w:hyperlink>
      <w:r w:rsidRPr="00B50C20">
        <w:rPr>
          <w:bCs/>
          <w:szCs w:val="24"/>
        </w:rPr>
        <w:t xml:space="preserve">! </w:t>
      </w:r>
    </w:p>
    <w:p w:rsidR="009B7D49" w:rsidRPr="00B50C20" w:rsidRDefault="009B7D49" w:rsidP="009B7D49">
      <w:pPr>
        <w:spacing w:after="180"/>
        <w:rPr>
          <w:bCs/>
          <w:szCs w:val="24"/>
        </w:rPr>
      </w:pPr>
      <w:r w:rsidRPr="00B50C20">
        <w:rPr>
          <w:bCs/>
          <w:szCs w:val="24"/>
        </w:rPr>
        <w:t xml:space="preserve">Find out more about CSIRO </w:t>
      </w:r>
      <w:hyperlink r:id="rId15" w:tooltip="Manufacturing- CSIRO Website" w:history="1">
        <w:r w:rsidRPr="00B50C20">
          <w:rPr>
            <w:rStyle w:val="Hyperlink"/>
            <w:rFonts w:cs="Arial"/>
            <w:bCs/>
            <w:szCs w:val="24"/>
          </w:rPr>
          <w:t>Manufacturing</w:t>
        </w:r>
      </w:hyperlink>
      <w:r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6" w:tooltip="Energy- CSIRO Website" w:history="1">
        <w:r w:rsidRPr="00B50C20">
          <w:rPr>
            <w:rStyle w:val="Hyperlink"/>
            <w:rFonts w:cs="Arial"/>
            <w:bCs/>
            <w:szCs w:val="24"/>
          </w:rPr>
          <w:t>Energy</w:t>
        </w:r>
      </w:hyperlink>
      <w:bookmarkEnd w:id="1"/>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CF9" w:rsidRDefault="00143CF9" w:rsidP="000A377A">
      <w:r>
        <w:separator/>
      </w:r>
    </w:p>
  </w:endnote>
  <w:endnote w:type="continuationSeparator" w:id="0">
    <w:p w:rsidR="00143CF9" w:rsidRDefault="00143CF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CF9" w:rsidRDefault="00143CF9" w:rsidP="000A377A">
      <w:r>
        <w:separator/>
      </w:r>
    </w:p>
  </w:footnote>
  <w:footnote w:type="continuationSeparator" w:id="0">
    <w:p w:rsidR="00143CF9" w:rsidRDefault="00143CF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20"/>
  </w:num>
  <w:num w:numId="37">
    <w:abstractNumId w:val="1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2553"/>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3CF9"/>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3C21"/>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231"/>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5CBE"/>
    <w:rsid w:val="00457D8D"/>
    <w:rsid w:val="00465CAC"/>
    <w:rsid w:val="00471C6C"/>
    <w:rsid w:val="004831C1"/>
    <w:rsid w:val="0048681F"/>
    <w:rsid w:val="00486F57"/>
    <w:rsid w:val="004923E1"/>
    <w:rsid w:val="0049442F"/>
    <w:rsid w:val="004968B7"/>
    <w:rsid w:val="00496A2F"/>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2CB"/>
    <w:rsid w:val="00575BE7"/>
    <w:rsid w:val="0058009B"/>
    <w:rsid w:val="00580185"/>
    <w:rsid w:val="00580E6C"/>
    <w:rsid w:val="0058164B"/>
    <w:rsid w:val="00585831"/>
    <w:rsid w:val="0058655A"/>
    <w:rsid w:val="00587ACF"/>
    <w:rsid w:val="00590A35"/>
    <w:rsid w:val="00592355"/>
    <w:rsid w:val="005937C8"/>
    <w:rsid w:val="00594CFD"/>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03C"/>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B7D49"/>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269B"/>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27C71"/>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70516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699028">
      <w:bodyDiv w:val="1"/>
      <w:marLeft w:val="0"/>
      <w:marRight w:val="0"/>
      <w:marTop w:val="0"/>
      <w:marBottom w:val="0"/>
      <w:divBdr>
        <w:top w:val="none" w:sz="0" w:space="0" w:color="auto"/>
        <w:left w:val="none" w:sz="0" w:space="0" w:color="auto"/>
        <w:bottom w:val="none" w:sz="0" w:space="0" w:color="auto"/>
        <w:right w:val="none" w:sz="0" w:space="0" w:color="auto"/>
      </w:divBdr>
    </w:div>
    <w:div w:id="198788153">
      <w:bodyDiv w:val="1"/>
      <w:marLeft w:val="0"/>
      <w:marRight w:val="0"/>
      <w:marTop w:val="0"/>
      <w:marBottom w:val="0"/>
      <w:divBdr>
        <w:top w:val="none" w:sz="0" w:space="0" w:color="auto"/>
        <w:left w:val="none" w:sz="0" w:space="0" w:color="auto"/>
        <w:bottom w:val="none" w:sz="0" w:space="0" w:color="auto"/>
        <w:right w:val="none" w:sz="0" w:space="0" w:color="auto"/>
      </w:divBdr>
    </w:div>
    <w:div w:id="867958857">
      <w:bodyDiv w:val="1"/>
      <w:marLeft w:val="0"/>
      <w:marRight w:val="0"/>
      <w:marTop w:val="0"/>
      <w:marBottom w:val="0"/>
      <w:divBdr>
        <w:top w:val="none" w:sz="0" w:space="0" w:color="auto"/>
        <w:left w:val="none" w:sz="0" w:space="0" w:color="auto"/>
        <w:bottom w:val="none" w:sz="0" w:space="0" w:color="auto"/>
        <w:right w:val="none" w:sz="0" w:space="0" w:color="auto"/>
      </w:divBdr>
    </w:div>
    <w:div w:id="1139225720">
      <w:bodyDiv w:val="1"/>
      <w:marLeft w:val="0"/>
      <w:marRight w:val="0"/>
      <w:marTop w:val="0"/>
      <w:marBottom w:val="0"/>
      <w:divBdr>
        <w:top w:val="none" w:sz="0" w:space="0" w:color="auto"/>
        <w:left w:val="none" w:sz="0" w:space="0" w:color="auto"/>
        <w:bottom w:val="none" w:sz="0" w:space="0" w:color="auto"/>
        <w:right w:val="none" w:sz="0" w:space="0" w:color="auto"/>
      </w:divBdr>
    </w:div>
    <w:div w:id="1150561848">
      <w:bodyDiv w:val="1"/>
      <w:marLeft w:val="0"/>
      <w:marRight w:val="0"/>
      <w:marTop w:val="0"/>
      <w:marBottom w:val="0"/>
      <w:divBdr>
        <w:top w:val="none" w:sz="0" w:space="0" w:color="auto"/>
        <w:left w:val="none" w:sz="0" w:space="0" w:color="auto"/>
        <w:bottom w:val="none" w:sz="0" w:space="0" w:color="auto"/>
        <w:right w:val="none" w:sz="0" w:space="0" w:color="auto"/>
      </w:divBdr>
    </w:div>
    <w:div w:id="1231229488">
      <w:bodyDiv w:val="1"/>
      <w:marLeft w:val="0"/>
      <w:marRight w:val="0"/>
      <w:marTop w:val="0"/>
      <w:marBottom w:val="0"/>
      <w:divBdr>
        <w:top w:val="none" w:sz="0" w:space="0" w:color="auto"/>
        <w:left w:val="none" w:sz="0" w:space="0" w:color="auto"/>
        <w:bottom w:val="none" w:sz="0" w:space="0" w:color="auto"/>
        <w:right w:val="none" w:sz="0" w:space="0" w:color="auto"/>
      </w:divBdr>
    </w:div>
    <w:div w:id="1723746573">
      <w:bodyDiv w:val="1"/>
      <w:marLeft w:val="0"/>
      <w:marRight w:val="0"/>
      <w:marTop w:val="0"/>
      <w:marBottom w:val="0"/>
      <w:divBdr>
        <w:top w:val="none" w:sz="0" w:space="0" w:color="auto"/>
        <w:left w:val="none" w:sz="0" w:space="0" w:color="auto"/>
        <w:bottom w:val="none" w:sz="0" w:space="0" w:color="auto"/>
        <w:right w:val="none" w:sz="0" w:space="0" w:color="auto"/>
      </w:divBdr>
    </w:div>
    <w:div w:id="189434587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69167605">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careers/postdoctoral-fellow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Research/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s://www.csiro.au/en/Research/MF" TargetMode="External"/><Relationship Id="rId10" Type="http://schemas.openxmlformats.org/officeDocument/2006/relationships/hyperlink" Target="https://jobs.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12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52327"/>
    <w:rsid w:val="00064278"/>
    <w:rsid w:val="001561B4"/>
    <w:rsid w:val="0019205C"/>
    <w:rsid w:val="002C7B2A"/>
    <w:rsid w:val="002F7F2B"/>
    <w:rsid w:val="003C6F9C"/>
    <w:rsid w:val="00414F94"/>
    <w:rsid w:val="004A459A"/>
    <w:rsid w:val="00605EB0"/>
    <w:rsid w:val="0063685B"/>
    <w:rsid w:val="006C4702"/>
    <w:rsid w:val="007C7613"/>
    <w:rsid w:val="007F31A8"/>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3.xml><?xml version="1.0" encoding="utf-8"?>
<ds:datastoreItem xmlns:ds="http://schemas.openxmlformats.org/officeDocument/2006/customXml" ds:itemID="{903F7F54-9558-4597-B664-8EA941055189}">
  <ds:schemaRefs>
    <ds:schemaRef ds:uri="http://purl.org/dc/term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1567</Words>
  <Characters>10257</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11801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Reid, Pam (Talent, Sandy Bay)</cp:lastModifiedBy>
  <cp:revision>2</cp:revision>
  <cp:lastPrinted>2012-02-01T05:32:00Z</cp:lastPrinted>
  <dcterms:created xsi:type="dcterms:W3CDTF">2020-06-24T06:01:00Z</dcterms:created>
  <dcterms:modified xsi:type="dcterms:W3CDTF">2020-06-24T06:01:00Z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